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ind w:left="480" w:firstLine="0" w:firstLineChars="0"/>
        <w:rPr>
          <w:rFonts w:cs="Times New Roman"/>
          <w:color w:val="auto"/>
        </w:rPr>
      </w:pPr>
    </w:p>
    <w:p>
      <w:pPr>
        <w:spacing w:line="600" w:lineRule="exact"/>
        <w:ind w:firstLine="560"/>
        <w:rPr>
          <w:rFonts w:eastAsia="黑体" w:cs="Times New Roman"/>
          <w:color w:val="auto"/>
          <w:sz w:val="28"/>
        </w:rPr>
      </w:pPr>
    </w:p>
    <w:p>
      <w:pPr>
        <w:pStyle w:val="61"/>
        <w:ind w:firstLine="480"/>
        <w:rPr>
          <w:rFonts w:cs="Times New Roman"/>
          <w:color w:val="auto"/>
        </w:rPr>
      </w:pPr>
    </w:p>
    <w:p>
      <w:pPr>
        <w:adjustRightInd w:val="0"/>
        <w:snapToGrid w:val="0"/>
        <w:spacing w:before="200" w:beforeLines="50" w:after="200" w:afterLines="50" w:line="240" w:lineRule="auto"/>
        <w:ind w:firstLine="0" w:firstLineChars="0"/>
        <w:jc w:val="center"/>
        <w:rPr>
          <w:rFonts w:hint="default" w:ascii="华文中宋" w:hAnsi="华文中宋" w:eastAsia="华文中宋" w:cs="Times New Roman"/>
          <w:color w:val="auto"/>
          <w:sz w:val="48"/>
          <w:szCs w:val="48"/>
          <w:lang w:val="en-US" w:eastAsia="zh-CN"/>
        </w:rPr>
      </w:pPr>
      <w:r>
        <w:rPr>
          <w:rFonts w:hint="eastAsia" w:ascii="华文中宋" w:hAnsi="华文中宋" w:eastAsia="华文中宋" w:cs="Times New Roman"/>
          <w:color w:val="auto"/>
          <w:sz w:val="48"/>
          <w:szCs w:val="48"/>
          <w:lang w:val="en-US" w:eastAsia="zh-CN"/>
        </w:rPr>
        <w:t>安康市生态环境局岚皋分局</w:t>
      </w:r>
    </w:p>
    <w:p>
      <w:pPr>
        <w:adjustRightInd w:val="0"/>
        <w:snapToGrid w:val="0"/>
        <w:spacing w:before="200" w:beforeLines="50" w:after="200" w:afterLines="50" w:line="240" w:lineRule="auto"/>
        <w:ind w:firstLine="0" w:firstLineChars="0"/>
        <w:jc w:val="center"/>
        <w:rPr>
          <w:rFonts w:ascii="华文中宋" w:hAnsi="华文中宋" w:eastAsia="华文中宋" w:cs="Times New Roman"/>
          <w:color w:val="auto"/>
          <w:spacing w:val="-24"/>
          <w:sz w:val="48"/>
          <w:szCs w:val="48"/>
        </w:rPr>
      </w:pPr>
      <w:r>
        <w:rPr>
          <w:rFonts w:hint="eastAsia" w:ascii="华文中宋" w:hAnsi="华文中宋" w:eastAsia="华文中宋" w:cs="Times New Roman"/>
          <w:color w:val="auto"/>
          <w:spacing w:val="-45"/>
          <w:sz w:val="48"/>
          <w:szCs w:val="48"/>
        </w:rPr>
        <w:t>安康市岚皋县岚河生态缓冲带保护修复项目（一期）</w:t>
      </w:r>
    </w:p>
    <w:p>
      <w:pPr>
        <w:adjustRightInd w:val="0"/>
        <w:snapToGrid w:val="0"/>
        <w:spacing w:line="240" w:lineRule="auto"/>
        <w:ind w:firstLine="0" w:firstLineChars="0"/>
        <w:jc w:val="center"/>
        <w:rPr>
          <w:rFonts w:eastAsia="华文新魏" w:cs="Times New Roman"/>
          <w:color w:val="auto"/>
          <w:sz w:val="144"/>
          <w:szCs w:val="144"/>
        </w:rPr>
      </w:pPr>
      <w:r>
        <w:rPr>
          <w:rFonts w:eastAsia="华文新魏" w:cs="Times New Roman"/>
          <w:color w:val="auto"/>
          <w:sz w:val="96"/>
          <w:szCs w:val="96"/>
        </w:rPr>
        <w:t>环境影响报</w:t>
      </w:r>
      <w:bookmarkStart w:id="120" w:name="_GoBack"/>
      <w:bookmarkEnd w:id="120"/>
      <w:r>
        <w:rPr>
          <w:rFonts w:eastAsia="华文新魏" w:cs="Times New Roman"/>
          <w:color w:val="auto"/>
          <w:sz w:val="96"/>
          <w:szCs w:val="96"/>
        </w:rPr>
        <w:t>告书</w:t>
      </w:r>
    </w:p>
    <w:p>
      <w:pPr>
        <w:adjustRightInd w:val="0"/>
        <w:snapToGrid w:val="0"/>
        <w:spacing w:before="200" w:beforeLines="50" w:after="400" w:afterLines="100" w:line="240" w:lineRule="auto"/>
        <w:ind w:firstLine="0" w:firstLineChars="0"/>
        <w:jc w:val="center"/>
        <w:rPr>
          <w:rFonts w:cs="Times New Roman"/>
          <w:b/>
          <w:color w:val="auto"/>
          <w:sz w:val="52"/>
          <w:szCs w:val="52"/>
        </w:rPr>
      </w:pPr>
      <w:r>
        <w:rPr>
          <w:rFonts w:cs="Times New Roman"/>
          <w:b/>
          <w:color w:val="auto"/>
          <w:sz w:val="40"/>
          <w:szCs w:val="40"/>
        </w:rPr>
        <w:t>（</w:t>
      </w:r>
      <w:r>
        <w:rPr>
          <w:rFonts w:hint="eastAsia" w:cs="Times New Roman"/>
          <w:b/>
          <w:color w:val="auto"/>
          <w:sz w:val="40"/>
          <w:szCs w:val="40"/>
          <w:lang w:val="en-US" w:eastAsia="zh-CN"/>
        </w:rPr>
        <w:t>送审</w:t>
      </w:r>
      <w:r>
        <w:rPr>
          <w:rFonts w:cs="Times New Roman"/>
          <w:b/>
          <w:color w:val="auto"/>
          <w:sz w:val="40"/>
          <w:szCs w:val="40"/>
        </w:rPr>
        <w:t>稿）</w:t>
      </w:r>
    </w:p>
    <w:p>
      <w:pPr>
        <w:ind w:firstLine="640"/>
        <w:rPr>
          <w:rFonts w:eastAsia="楷体_GB2312" w:cs="Times New Roman"/>
          <w:color w:val="auto"/>
          <w:sz w:val="32"/>
          <w:szCs w:val="32"/>
        </w:rPr>
      </w:pPr>
    </w:p>
    <w:p>
      <w:pPr>
        <w:ind w:firstLine="640"/>
        <w:rPr>
          <w:rFonts w:eastAsia="楷体_GB2312" w:cs="Times New Roman"/>
          <w:color w:val="auto"/>
          <w:sz w:val="32"/>
          <w:szCs w:val="32"/>
        </w:rPr>
      </w:pPr>
    </w:p>
    <w:p>
      <w:pPr>
        <w:pStyle w:val="61"/>
        <w:ind w:firstLine="640"/>
        <w:rPr>
          <w:rFonts w:eastAsia="楷体_GB2312" w:cs="Times New Roman"/>
          <w:color w:val="auto"/>
          <w:sz w:val="32"/>
          <w:szCs w:val="32"/>
        </w:rPr>
      </w:pPr>
    </w:p>
    <w:p>
      <w:pPr>
        <w:pStyle w:val="61"/>
        <w:ind w:firstLine="640"/>
        <w:rPr>
          <w:rFonts w:eastAsia="楷体_GB2312" w:cs="Times New Roman"/>
          <w:color w:val="auto"/>
          <w:sz w:val="32"/>
          <w:szCs w:val="32"/>
        </w:rPr>
      </w:pPr>
    </w:p>
    <w:p>
      <w:pPr>
        <w:pStyle w:val="61"/>
        <w:ind w:firstLine="640"/>
        <w:rPr>
          <w:rFonts w:eastAsia="楷体_GB2312" w:cs="Times New Roman"/>
          <w:color w:val="auto"/>
          <w:sz w:val="32"/>
          <w:szCs w:val="32"/>
        </w:rPr>
      </w:pPr>
    </w:p>
    <w:p>
      <w:pPr>
        <w:pStyle w:val="61"/>
        <w:ind w:firstLine="640"/>
        <w:rPr>
          <w:rFonts w:eastAsia="楷体_GB2312" w:cs="Times New Roman"/>
          <w:color w:val="auto"/>
          <w:sz w:val="32"/>
          <w:szCs w:val="32"/>
        </w:rPr>
      </w:pPr>
    </w:p>
    <w:p>
      <w:pPr>
        <w:pStyle w:val="61"/>
        <w:ind w:firstLine="640"/>
        <w:rPr>
          <w:rFonts w:eastAsia="楷体_GB2312" w:cs="Times New Roman"/>
          <w:color w:val="auto"/>
          <w:sz w:val="32"/>
          <w:szCs w:val="32"/>
        </w:rPr>
      </w:pPr>
    </w:p>
    <w:p>
      <w:pPr>
        <w:ind w:firstLine="480"/>
        <w:rPr>
          <w:rFonts w:cs="Times New Roman"/>
          <w:color w:val="auto"/>
        </w:rPr>
      </w:pPr>
    </w:p>
    <w:p>
      <w:pPr>
        <w:ind w:firstLine="2409" w:firstLineChars="753"/>
        <w:rPr>
          <w:rFonts w:hint="default" w:ascii="华文中宋" w:hAnsi="华文中宋" w:eastAsia="华文中宋" w:cs="Times New Roman"/>
          <w:color w:val="auto"/>
          <w:sz w:val="32"/>
          <w:szCs w:val="32"/>
          <w:lang w:val="en-US" w:eastAsia="zh-CN"/>
        </w:rPr>
      </w:pPr>
      <w:r>
        <w:rPr>
          <w:rFonts w:ascii="华文中宋" w:hAnsi="华文中宋" w:eastAsia="华文中宋" w:cs="Times New Roman"/>
          <w:color w:val="auto"/>
          <w:sz w:val="32"/>
          <w:szCs w:val="32"/>
        </w:rPr>
        <w:t>建设单位：</w:t>
      </w:r>
      <w:r>
        <w:rPr>
          <w:rFonts w:hint="eastAsia" w:ascii="华文中宋" w:hAnsi="华文中宋" w:eastAsia="华文中宋" w:cs="Times New Roman"/>
          <w:color w:val="auto"/>
          <w:sz w:val="32"/>
          <w:szCs w:val="32"/>
          <w:lang w:val="en-US" w:eastAsia="zh-CN"/>
        </w:rPr>
        <w:t>安康市生态环境局岚皋分局</w:t>
      </w:r>
    </w:p>
    <w:p>
      <w:pPr>
        <w:ind w:firstLine="2409" w:firstLineChars="753"/>
        <w:rPr>
          <w:rFonts w:ascii="华文中宋" w:hAnsi="华文中宋" w:eastAsia="华文中宋" w:cs="Times New Roman"/>
          <w:color w:val="auto"/>
          <w:sz w:val="32"/>
          <w:szCs w:val="32"/>
        </w:rPr>
      </w:pPr>
      <w:r>
        <w:rPr>
          <w:rFonts w:ascii="华文中宋" w:hAnsi="华文中宋" w:eastAsia="华文中宋" w:cs="Times New Roman"/>
          <w:color w:val="auto"/>
          <w:sz w:val="32"/>
          <w:szCs w:val="32"/>
        </w:rPr>
        <w:t>编制时间：二〇二三年</w:t>
      </w:r>
      <w:r>
        <w:rPr>
          <w:rFonts w:hint="eastAsia" w:ascii="华文中宋" w:hAnsi="华文中宋" w:eastAsia="华文中宋" w:cs="Times New Roman"/>
          <w:color w:val="auto"/>
          <w:sz w:val="32"/>
          <w:szCs w:val="32"/>
          <w:lang w:val="en-US" w:eastAsia="zh-CN"/>
        </w:rPr>
        <w:t>十二</w:t>
      </w:r>
      <w:r>
        <w:rPr>
          <w:rFonts w:ascii="华文中宋" w:hAnsi="华文中宋" w:eastAsia="华文中宋" w:cs="Times New Roman"/>
          <w:color w:val="auto"/>
          <w:sz w:val="32"/>
          <w:szCs w:val="32"/>
        </w:rPr>
        <w:t>月</w:t>
      </w:r>
    </w:p>
    <w:p>
      <w:pPr>
        <w:pStyle w:val="7"/>
        <w:ind w:firstLine="480"/>
        <w:rPr>
          <w:color w:val="auto"/>
        </w:rPr>
      </w:pPr>
    </w:p>
    <w:p>
      <w:pPr>
        <w:pStyle w:val="7"/>
        <w:ind w:firstLine="480"/>
        <w:rPr>
          <w:color w:val="auto"/>
        </w:rPr>
      </w:pPr>
    </w:p>
    <w:p>
      <w:pPr>
        <w:pStyle w:val="7"/>
        <w:ind w:firstLine="480"/>
        <w:rPr>
          <w:color w:val="auto"/>
        </w:rPr>
      </w:pPr>
    </w:p>
    <w:p>
      <w:pPr>
        <w:ind w:firstLine="480"/>
        <w:rPr>
          <w:rFonts w:cs="Times New Roman"/>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17" w:right="1531" w:bottom="1417" w:left="1417" w:header="850" w:footer="850" w:gutter="0"/>
          <w:pgBorders>
            <w:top w:val="none" w:sz="0" w:space="0"/>
            <w:left w:val="none" w:sz="0" w:space="0"/>
            <w:bottom w:val="none" w:sz="0" w:space="0"/>
            <w:right w:val="none" w:sz="0" w:space="0"/>
          </w:pgBorders>
          <w:pgNumType w:start="1"/>
          <w:cols w:space="0" w:num="1"/>
          <w:docGrid w:type="lines" w:linePitch="400" w:charSpace="0"/>
        </w:sectPr>
      </w:pPr>
    </w:p>
    <w:sdt>
      <w:sdtPr>
        <w:rPr>
          <w:rFonts w:ascii="Times New Roman" w:hAnsi="Times New Roman" w:eastAsia="宋体" w:cs="Times New Roman"/>
          <w:b w:val="0"/>
          <w:bCs w:val="0"/>
          <w:color w:val="auto"/>
          <w:kern w:val="2"/>
          <w:sz w:val="24"/>
          <w:szCs w:val="24"/>
          <w:lang w:val="zh-CN"/>
        </w:rPr>
        <w:id w:val="464546980"/>
      </w:sdtPr>
      <w:sdtEndPr>
        <w:rPr>
          <w:rFonts w:ascii="Times New Roman" w:hAnsi="Times New Roman" w:eastAsia="宋体" w:cs="Times New Roman"/>
          <w:b w:val="0"/>
          <w:bCs w:val="0"/>
          <w:color w:val="auto"/>
          <w:kern w:val="2"/>
          <w:sz w:val="24"/>
          <w:szCs w:val="24"/>
          <w:lang w:val="zh-CN"/>
        </w:rPr>
      </w:sdtEndPr>
      <w:sdtContent>
        <w:p>
          <w:pPr>
            <w:pStyle w:val="125"/>
            <w:spacing w:before="0"/>
            <w:ind w:firstLine="480"/>
            <w:jc w:val="center"/>
            <w:rPr>
              <w:rFonts w:ascii="Times New Roman" w:hAnsi="Times New Roman" w:cs="Times New Roman"/>
              <w:color w:val="auto"/>
            </w:rPr>
          </w:pPr>
          <w:r>
            <w:rPr>
              <w:rFonts w:ascii="Times New Roman" w:hAnsi="Times New Roman" w:cs="Times New Roman"/>
              <w:color w:val="auto"/>
              <w:lang w:val="zh-CN"/>
            </w:rPr>
            <w:t>目  录</w:t>
          </w:r>
        </w:p>
        <w:p>
          <w:pPr>
            <w:pStyle w:val="30"/>
            <w:tabs>
              <w:tab w:val="right" w:leader="dot" w:pos="8947"/>
            </w:tabs>
            <w:ind w:firstLine="480"/>
            <w:rPr>
              <w:rFonts w:asciiTheme="minorHAnsi" w:hAnsiTheme="minorHAnsi" w:eastAsiaTheme="minorEastAsia"/>
              <w:color w:val="auto"/>
              <w:sz w:val="21"/>
              <w:szCs w:val="22"/>
            </w:rPr>
          </w:pPr>
          <w:r>
            <w:rPr>
              <w:rFonts w:cs="Times New Roman"/>
              <w:color w:val="auto"/>
            </w:rPr>
            <w:fldChar w:fldCharType="begin"/>
          </w:r>
          <w:r>
            <w:rPr>
              <w:rFonts w:cs="Times New Roman"/>
              <w:color w:val="auto"/>
            </w:rPr>
            <w:instrText xml:space="preserve"> TOC \o "1-2" \h \z \u </w:instrText>
          </w:r>
          <w:r>
            <w:rPr>
              <w:rFonts w:cs="Times New Roman"/>
              <w:color w:val="auto"/>
            </w:rPr>
            <w:fldChar w:fldCharType="separate"/>
          </w:r>
          <w:r>
            <w:rPr>
              <w:color w:val="auto"/>
            </w:rPr>
            <w:fldChar w:fldCharType="begin"/>
          </w:r>
          <w:r>
            <w:rPr>
              <w:color w:val="auto"/>
            </w:rPr>
            <w:instrText xml:space="preserve"> HYPERLINK \l "_Toc142388353" </w:instrText>
          </w:r>
          <w:r>
            <w:rPr>
              <w:color w:val="auto"/>
            </w:rPr>
            <w:fldChar w:fldCharType="separate"/>
          </w:r>
          <w:r>
            <w:rPr>
              <w:rStyle w:val="52"/>
              <w:rFonts w:cs="Times New Roman"/>
              <w:color w:val="auto"/>
            </w:rPr>
            <w:t>1概述</w:t>
          </w:r>
          <w:r>
            <w:rPr>
              <w:color w:val="auto"/>
            </w:rPr>
            <w:tab/>
          </w:r>
          <w:r>
            <w:rPr>
              <w:color w:val="auto"/>
            </w:rPr>
            <w:fldChar w:fldCharType="begin"/>
          </w:r>
          <w:r>
            <w:rPr>
              <w:color w:val="auto"/>
            </w:rPr>
            <w:instrText xml:space="preserve"> PAGEREF _Toc142388353 \h </w:instrText>
          </w:r>
          <w:r>
            <w:rPr>
              <w:color w:val="auto"/>
            </w:rPr>
            <w:fldChar w:fldCharType="separate"/>
          </w:r>
          <w:r>
            <w:rPr>
              <w:color w:val="auto"/>
            </w:rPr>
            <w:t>1</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"_Toc142388354" </w:instrText>
          </w:r>
          <w:r>
            <w:rPr>
              <w:color w:val="auto"/>
            </w:rPr>
            <w:fldChar w:fldCharType="separate"/>
          </w:r>
          <w:r>
            <w:rPr>
              <w:rStyle w:val="52"/>
              <w:rFonts w:cs="Times New Roman"/>
              <w:color w:val="auto"/>
            </w:rPr>
            <w:t>1.1项目由来</w:t>
          </w:r>
          <w:r>
            <w:rPr>
              <w:color w:val="auto"/>
            </w:rPr>
            <w:tab/>
          </w:r>
          <w:r>
            <w:rPr>
              <w:color w:val="auto"/>
            </w:rPr>
            <w:fldChar w:fldCharType="begin"/>
          </w:r>
          <w:r>
            <w:rPr>
              <w:color w:val="auto"/>
            </w:rPr>
            <w:instrText xml:space="preserve"> PAGEREF _Toc142388354 \h </w:instrText>
          </w:r>
          <w:r>
            <w:rPr>
              <w:color w:val="auto"/>
            </w:rPr>
            <w:fldChar w:fldCharType="separate"/>
          </w:r>
          <w:r>
            <w:rPr>
              <w:color w:val="auto"/>
            </w:rPr>
            <w:t>1</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"_Toc142388355" </w:instrText>
          </w:r>
          <w:r>
            <w:rPr>
              <w:color w:val="auto"/>
            </w:rPr>
            <w:fldChar w:fldCharType="separate"/>
          </w:r>
          <w:r>
            <w:rPr>
              <w:rStyle w:val="52"/>
              <w:rFonts w:cs="Times New Roman"/>
              <w:color w:val="auto"/>
            </w:rPr>
            <w:t>1.2项目特点</w:t>
          </w:r>
          <w:r>
            <w:rPr>
              <w:color w:val="auto"/>
            </w:rPr>
            <w:tab/>
          </w:r>
          <w:r>
            <w:rPr>
              <w:color w:val="auto"/>
            </w:rPr>
            <w:fldChar w:fldCharType="begin"/>
          </w:r>
          <w:r>
            <w:rPr>
              <w:color w:val="auto"/>
            </w:rPr>
            <w:instrText xml:space="preserve"> PAGEREF _Toc142388355 \h </w:instrText>
          </w:r>
          <w:r>
            <w:rPr>
              <w:color w:val="auto"/>
            </w:rPr>
            <w:fldChar w:fldCharType="separate"/>
          </w:r>
          <w:r>
            <w:rPr>
              <w:color w:val="auto"/>
            </w:rPr>
            <w:t>2</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"_Toc142388356" </w:instrText>
          </w:r>
          <w:r>
            <w:rPr>
              <w:color w:val="auto"/>
            </w:rPr>
            <w:fldChar w:fldCharType="separate"/>
          </w:r>
          <w:r>
            <w:rPr>
              <w:rStyle w:val="52"/>
              <w:rFonts w:cs="Times New Roman"/>
              <w:color w:val="auto"/>
            </w:rPr>
            <w:t>1.3环境影响评价的工作过程</w:t>
          </w:r>
          <w:r>
            <w:rPr>
              <w:color w:val="auto"/>
            </w:rPr>
            <w:tab/>
          </w:r>
          <w:r>
            <w:rPr>
              <w:color w:val="auto"/>
            </w:rPr>
            <w:fldChar w:fldCharType="begin"/>
          </w:r>
          <w:r>
            <w:rPr>
              <w:color w:val="auto"/>
            </w:rPr>
            <w:instrText xml:space="preserve"> PAGEREF _Toc142388356 \h </w:instrText>
          </w:r>
          <w:r>
            <w:rPr>
              <w:color w:val="auto"/>
            </w:rPr>
            <w:fldChar w:fldCharType="separate"/>
          </w:r>
          <w:r>
            <w:rPr>
              <w:color w:val="auto"/>
            </w:rPr>
            <w:t>2</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"_Toc142388357" </w:instrText>
          </w:r>
          <w:r>
            <w:rPr>
              <w:color w:val="auto"/>
            </w:rPr>
            <w:fldChar w:fldCharType="separate"/>
          </w:r>
          <w:r>
            <w:rPr>
              <w:rStyle w:val="52"/>
              <w:rFonts w:cs="Times New Roman"/>
              <w:color w:val="auto"/>
            </w:rPr>
            <w:t>1.4分析判定相关情况</w:t>
          </w:r>
          <w:r>
            <w:rPr>
              <w:color w:val="auto"/>
            </w:rPr>
            <w:tab/>
          </w:r>
          <w:r>
            <w:rPr>
              <w:color w:val="auto"/>
            </w:rPr>
            <w:fldChar w:fldCharType="begin"/>
          </w:r>
          <w:r>
            <w:rPr>
              <w:color w:val="auto"/>
            </w:rPr>
            <w:instrText xml:space="preserve"> PAGEREF _Toc142388357 \h </w:instrText>
          </w:r>
          <w:r>
            <w:rPr>
              <w:color w:val="auto"/>
            </w:rPr>
            <w:fldChar w:fldCharType="separate"/>
          </w:r>
          <w:r>
            <w:rPr>
              <w:color w:val="auto"/>
            </w:rPr>
            <w:t>2</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"_Toc142388358" </w:instrText>
          </w:r>
          <w:r>
            <w:rPr>
              <w:color w:val="auto"/>
            </w:rPr>
            <w:fldChar w:fldCharType="separate"/>
          </w:r>
          <w:r>
            <w:rPr>
              <w:rStyle w:val="52"/>
              <w:rFonts w:cs="Times New Roman"/>
              <w:color w:val="auto"/>
            </w:rPr>
            <w:t>1.5项目关注的主要环境问题及环境影响</w:t>
          </w:r>
          <w:r>
            <w:rPr>
              <w:color w:val="auto"/>
            </w:rPr>
            <w:tab/>
          </w:r>
          <w:r>
            <w:rPr>
              <w:color w:val="auto"/>
            </w:rPr>
            <w:fldChar w:fldCharType="begin"/>
          </w:r>
          <w:r>
            <w:rPr>
              <w:color w:val="auto"/>
            </w:rPr>
            <w:instrText xml:space="preserve"> PAGEREF _Toc142388358 \h </w:instrText>
          </w:r>
          <w:r>
            <w:rPr>
              <w:color w:val="auto"/>
            </w:rPr>
            <w:fldChar w:fldCharType="separate"/>
          </w:r>
          <w:r>
            <w:rPr>
              <w:color w:val="auto"/>
            </w:rPr>
            <w:t>18</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"_Toc142388359" </w:instrText>
          </w:r>
          <w:r>
            <w:rPr>
              <w:color w:val="auto"/>
            </w:rPr>
            <w:fldChar w:fldCharType="separate"/>
          </w:r>
          <w:r>
            <w:rPr>
              <w:rStyle w:val="52"/>
              <w:rFonts w:cs="Times New Roman"/>
              <w:color w:val="auto"/>
            </w:rPr>
            <w:t>1.6环境影响评价主要结论</w:t>
          </w:r>
          <w:r>
            <w:rPr>
              <w:color w:val="auto"/>
            </w:rPr>
            <w:tab/>
          </w:r>
          <w:r>
            <w:rPr>
              <w:color w:val="auto"/>
            </w:rPr>
            <w:fldChar w:fldCharType="begin"/>
          </w:r>
          <w:r>
            <w:rPr>
              <w:color w:val="auto"/>
            </w:rPr>
            <w:instrText xml:space="preserve"> PAGEREF _Toc142388359 \h </w:instrText>
          </w:r>
          <w:r>
            <w:rPr>
              <w:color w:val="auto"/>
            </w:rPr>
            <w:fldChar w:fldCharType="separate"/>
          </w:r>
          <w:r>
            <w:rPr>
              <w:color w:val="auto"/>
            </w:rPr>
            <w:t>19</w:t>
          </w:r>
          <w:r>
            <w:rPr>
              <w:color w:val="auto"/>
            </w:rPr>
            <w:fldChar w:fldCharType="end"/>
          </w:r>
          <w:r>
            <w:rPr>
              <w:color w:val="auto"/>
            </w:rPr>
            <w:fldChar w:fldCharType="end"/>
          </w:r>
        </w:p>
        <w:p>
          <w:pPr>
            <w:pStyle w:val="30"/>
            <w:tabs>
              <w:tab w:val="right" w:leader="dot" w:pos="8947"/>
            </w:tabs>
            <w:ind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"_Toc142388360" </w:instrText>
          </w:r>
          <w:r>
            <w:rPr>
              <w:color w:val="auto"/>
            </w:rPr>
            <w:fldChar w:fldCharType="separate"/>
          </w:r>
          <w:r>
            <w:rPr>
              <w:rStyle w:val="52"/>
              <w:rFonts w:cs="Times New Roman"/>
              <w:color w:val="auto"/>
            </w:rPr>
            <w:t>2总则</w:t>
          </w:r>
          <w:r>
            <w:rPr>
              <w:color w:val="auto"/>
            </w:rPr>
            <w:tab/>
          </w:r>
          <w:r>
            <w:rPr>
              <w:color w:val="auto"/>
            </w:rPr>
            <w:fldChar w:fldCharType="begin"/>
          </w:r>
          <w:r>
            <w:rPr>
              <w:color w:val="auto"/>
            </w:rPr>
            <w:instrText xml:space="preserve"> PAGEREF _Toc142388360 \h </w:instrText>
          </w:r>
          <w:r>
            <w:rPr>
              <w:color w:val="auto"/>
            </w:rPr>
            <w:fldChar w:fldCharType="separate"/>
          </w:r>
          <w:r>
            <w:rPr>
              <w:color w:val="auto"/>
            </w:rPr>
            <w:t>20</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"_Toc142388361" </w:instrText>
          </w:r>
          <w:r>
            <w:rPr>
              <w:color w:val="auto"/>
            </w:rPr>
            <w:fldChar w:fldCharType="separate"/>
          </w:r>
          <w:r>
            <w:rPr>
              <w:rStyle w:val="52"/>
              <w:rFonts w:cs="Times New Roman"/>
              <w:color w:val="auto"/>
            </w:rPr>
            <w:t>2.1编制依据</w:t>
          </w:r>
          <w:r>
            <w:rPr>
              <w:color w:val="auto"/>
            </w:rPr>
            <w:tab/>
          </w:r>
          <w:r>
            <w:rPr>
              <w:color w:val="auto"/>
            </w:rPr>
            <w:fldChar w:fldCharType="begin"/>
          </w:r>
          <w:r>
            <w:rPr>
              <w:color w:val="auto"/>
            </w:rPr>
            <w:instrText xml:space="preserve"> PAGEREF _Toc142388361 \h </w:instrText>
          </w:r>
          <w:r>
            <w:rPr>
              <w:color w:val="auto"/>
            </w:rPr>
            <w:fldChar w:fldCharType="separate"/>
          </w:r>
          <w:r>
            <w:rPr>
              <w:color w:val="auto"/>
            </w:rPr>
            <w:t>20</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"_Toc142388362" </w:instrText>
          </w:r>
          <w:r>
            <w:rPr>
              <w:color w:val="auto"/>
            </w:rPr>
            <w:fldChar w:fldCharType="separate"/>
          </w:r>
          <w:r>
            <w:rPr>
              <w:rStyle w:val="52"/>
              <w:rFonts w:cs="Times New Roman"/>
              <w:color w:val="auto"/>
            </w:rPr>
            <w:t>2.2评价目的和评价原则</w:t>
          </w:r>
          <w:r>
            <w:rPr>
              <w:color w:val="auto"/>
            </w:rPr>
            <w:tab/>
          </w:r>
          <w:r>
            <w:rPr>
              <w:color w:val="auto"/>
            </w:rPr>
            <w:fldChar w:fldCharType="begin"/>
          </w:r>
          <w:r>
            <w:rPr>
              <w:color w:val="auto"/>
            </w:rPr>
            <w:instrText xml:space="preserve"> PAGEREF _Toc142388362 \h </w:instrText>
          </w:r>
          <w:r>
            <w:rPr>
              <w:color w:val="auto"/>
            </w:rPr>
            <w:fldChar w:fldCharType="separate"/>
          </w:r>
          <w:r>
            <w:rPr>
              <w:color w:val="auto"/>
            </w:rPr>
            <w:t>23</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"_Toc142388363" </w:instrText>
          </w:r>
          <w:r>
            <w:rPr>
              <w:color w:val="auto"/>
            </w:rPr>
            <w:fldChar w:fldCharType="separate"/>
          </w:r>
          <w:r>
            <w:rPr>
              <w:rStyle w:val="52"/>
              <w:rFonts w:cs="Times New Roman"/>
              <w:color w:val="auto"/>
            </w:rPr>
            <w:t>2.3环境影响因素识别及评价因子筛选</w:t>
          </w:r>
          <w:r>
            <w:rPr>
              <w:color w:val="auto"/>
            </w:rPr>
            <w:tab/>
          </w:r>
          <w:r>
            <w:rPr>
              <w:color w:val="auto"/>
            </w:rPr>
            <w:fldChar w:fldCharType="begin"/>
          </w:r>
          <w:r>
            <w:rPr>
              <w:color w:val="auto"/>
            </w:rPr>
            <w:instrText xml:space="preserve"> PAGEREF _Toc142388363 \h </w:instrText>
          </w:r>
          <w:r>
            <w:rPr>
              <w:color w:val="auto"/>
            </w:rPr>
            <w:fldChar w:fldCharType="separate"/>
          </w:r>
          <w:r>
            <w:rPr>
              <w:color w:val="auto"/>
            </w:rPr>
            <w:t>24</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"_Toc142388364" </w:instrText>
          </w:r>
          <w:r>
            <w:rPr>
              <w:color w:val="auto"/>
            </w:rPr>
            <w:fldChar w:fldCharType="separate"/>
          </w:r>
          <w:r>
            <w:rPr>
              <w:rStyle w:val="52"/>
              <w:rFonts w:cs="Times New Roman"/>
              <w:color w:val="auto"/>
            </w:rPr>
            <w:t>2.4评价等级及评价范围</w:t>
          </w:r>
          <w:r>
            <w:rPr>
              <w:color w:val="auto"/>
            </w:rPr>
            <w:tab/>
          </w:r>
          <w:r>
            <w:rPr>
              <w:color w:val="auto"/>
            </w:rPr>
            <w:fldChar w:fldCharType="begin"/>
          </w:r>
          <w:r>
            <w:rPr>
              <w:color w:val="auto"/>
            </w:rPr>
            <w:instrText xml:space="preserve"> PAGEREF _Toc142388364 \h </w:instrText>
          </w:r>
          <w:r>
            <w:rPr>
              <w:color w:val="auto"/>
            </w:rPr>
            <w:fldChar w:fldCharType="separate"/>
          </w:r>
          <w:r>
            <w:rPr>
              <w:color w:val="auto"/>
            </w:rPr>
            <w:t>25</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"_Toc142388365" </w:instrText>
          </w:r>
          <w:r>
            <w:rPr>
              <w:color w:val="auto"/>
            </w:rPr>
            <w:fldChar w:fldCharType="separate"/>
          </w:r>
          <w:r>
            <w:rPr>
              <w:rStyle w:val="52"/>
              <w:rFonts w:cs="Times New Roman"/>
              <w:color w:val="auto"/>
            </w:rPr>
            <w:t>2.5环境保护目标</w:t>
          </w:r>
          <w:r>
            <w:rPr>
              <w:color w:val="auto"/>
            </w:rPr>
            <w:tab/>
          </w:r>
          <w:r>
            <w:rPr>
              <w:color w:val="auto"/>
            </w:rPr>
            <w:fldChar w:fldCharType="begin"/>
          </w:r>
          <w:r>
            <w:rPr>
              <w:color w:val="auto"/>
            </w:rPr>
            <w:instrText xml:space="preserve"> PAGEREF _Toc142388365 \h </w:instrText>
          </w:r>
          <w:r>
            <w:rPr>
              <w:color w:val="auto"/>
            </w:rPr>
            <w:fldChar w:fldCharType="separate"/>
          </w:r>
          <w:r>
            <w:rPr>
              <w:color w:val="auto"/>
            </w:rPr>
            <w:t>32</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"_Toc142388366" </w:instrText>
          </w:r>
          <w:r>
            <w:rPr>
              <w:color w:val="auto"/>
            </w:rPr>
            <w:fldChar w:fldCharType="separate"/>
          </w:r>
          <w:r>
            <w:rPr>
              <w:rStyle w:val="52"/>
              <w:rFonts w:cs="Times New Roman"/>
              <w:color w:val="auto"/>
            </w:rPr>
            <w:t>2.6评价标准</w:t>
          </w:r>
          <w:r>
            <w:rPr>
              <w:color w:val="auto"/>
            </w:rPr>
            <w:tab/>
          </w:r>
          <w:r>
            <w:rPr>
              <w:color w:val="auto"/>
            </w:rPr>
            <w:fldChar w:fldCharType="begin"/>
          </w:r>
          <w:r>
            <w:rPr>
              <w:color w:val="auto"/>
            </w:rPr>
            <w:instrText xml:space="preserve"> PAGEREF _Toc142388366 \h </w:instrText>
          </w:r>
          <w:r>
            <w:rPr>
              <w:color w:val="auto"/>
            </w:rPr>
            <w:fldChar w:fldCharType="separate"/>
          </w:r>
          <w:r>
            <w:rPr>
              <w:color w:val="auto"/>
            </w:rPr>
            <w:t>33</w:t>
          </w:r>
          <w:r>
            <w:rPr>
              <w:color w:val="auto"/>
            </w:rPr>
            <w:fldChar w:fldCharType="end"/>
          </w:r>
          <w:r>
            <w:rPr>
              <w:color w:val="auto"/>
            </w:rPr>
            <w:fldChar w:fldCharType="end"/>
          </w:r>
        </w:p>
        <w:p>
          <w:pPr>
            <w:pStyle w:val="30"/>
            <w:tabs>
              <w:tab w:val="right" w:leader="dot" w:pos="8947"/>
            </w:tabs>
            <w:ind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"_Toc142388367" </w:instrText>
          </w:r>
          <w:r>
            <w:rPr>
              <w:color w:val="auto"/>
            </w:rPr>
            <w:fldChar w:fldCharType="separate"/>
          </w:r>
          <w:r>
            <w:rPr>
              <w:rStyle w:val="52"/>
              <w:rFonts w:cs="Times New Roman"/>
              <w:color w:val="auto"/>
            </w:rPr>
            <w:t>3工程概况与工程分析</w:t>
          </w:r>
          <w:r>
            <w:rPr>
              <w:color w:val="auto"/>
            </w:rPr>
            <w:tab/>
          </w:r>
          <w:r>
            <w:rPr>
              <w:color w:val="auto"/>
            </w:rPr>
            <w:fldChar w:fldCharType="begin"/>
          </w:r>
          <w:r>
            <w:rPr>
              <w:color w:val="auto"/>
            </w:rPr>
            <w:instrText xml:space="preserve"> PAGEREF _Toc142388367 \h </w:instrText>
          </w:r>
          <w:r>
            <w:rPr>
              <w:color w:val="auto"/>
            </w:rPr>
            <w:fldChar w:fldCharType="separate"/>
          </w:r>
          <w:r>
            <w:rPr>
              <w:color w:val="auto"/>
            </w:rPr>
            <w:t>38</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"_Toc142388368" </w:instrText>
          </w:r>
          <w:r>
            <w:rPr>
              <w:color w:val="auto"/>
            </w:rPr>
            <w:fldChar w:fldCharType="separate"/>
          </w:r>
          <w:r>
            <w:rPr>
              <w:rStyle w:val="52"/>
              <w:rFonts w:eastAsia="黑体" w:cs="Times New Roman"/>
              <w:color w:val="auto"/>
            </w:rPr>
            <w:t>3.1项目概况</w:t>
          </w:r>
          <w:r>
            <w:rPr>
              <w:color w:val="auto"/>
            </w:rPr>
            <w:tab/>
          </w:r>
          <w:r>
            <w:rPr>
              <w:color w:val="auto"/>
            </w:rPr>
            <w:fldChar w:fldCharType="begin"/>
          </w:r>
          <w:r>
            <w:rPr>
              <w:color w:val="auto"/>
            </w:rPr>
            <w:instrText xml:space="preserve"> PAGEREF _Toc142388368 \h </w:instrText>
          </w:r>
          <w:r>
            <w:rPr>
              <w:color w:val="auto"/>
            </w:rPr>
            <w:fldChar w:fldCharType="separate"/>
          </w:r>
          <w:r>
            <w:rPr>
              <w:color w:val="auto"/>
            </w:rPr>
            <w:t>38</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"_Toc142388369" </w:instrText>
          </w:r>
          <w:r>
            <w:rPr>
              <w:color w:val="auto"/>
            </w:rPr>
            <w:fldChar w:fldCharType="separate"/>
          </w:r>
          <w:r>
            <w:rPr>
              <w:rStyle w:val="52"/>
              <w:rFonts w:eastAsia="黑体" w:cs="Times New Roman"/>
              <w:color w:val="auto"/>
            </w:rPr>
            <w:t>3.2工程建设用地范围</w:t>
          </w:r>
          <w:r>
            <w:rPr>
              <w:color w:val="auto"/>
            </w:rPr>
            <w:tab/>
          </w:r>
          <w:r>
            <w:rPr>
              <w:color w:val="auto"/>
            </w:rPr>
            <w:fldChar w:fldCharType="begin"/>
          </w:r>
          <w:r>
            <w:rPr>
              <w:color w:val="auto"/>
            </w:rPr>
            <w:instrText xml:space="preserve"> PAGEREF _Toc142388369 \h </w:instrText>
          </w:r>
          <w:r>
            <w:rPr>
              <w:color w:val="auto"/>
            </w:rPr>
            <w:fldChar w:fldCharType="separate"/>
          </w:r>
          <w:r>
            <w:rPr>
              <w:color w:val="auto"/>
            </w:rPr>
            <w:t>58</w:t>
          </w:r>
          <w:r>
            <w:rPr>
              <w:color w:val="auto"/>
            </w:rPr>
            <w:fldChar w:fldCharType="end"/>
          </w:r>
          <w:r>
            <w:rPr>
              <w:color w:val="auto"/>
            </w:rPr>
            <w:fldChar w:fldCharType="end"/>
          </w:r>
        </w:p>
        <w:p>
          <w:pPr>
            <w:pStyle w:val="34"/>
            <w:tabs>
              <w:tab w:val="right" w:leader="dot" w:pos="8947"/>
            </w:tabs>
            <w:ind w:left="480" w:firstLine="480"/>
            <w:rPr>
              <w:rFonts w:hint="eastAsia" w:eastAsia="宋体" w:asciiTheme="minorHAnsi" w:hAnsiTheme="minorHAnsi"/>
              <w:color w:val="auto"/>
              <w:sz w:val="21"/>
              <w:szCs w:val="22"/>
              <w:lang w:val="en-US" w:eastAsia="zh-CN"/>
            </w:rPr>
          </w:pPr>
          <w:r>
            <w:rPr>
              <w:color w:val="auto"/>
            </w:rPr>
            <w:fldChar w:fldCharType="begin"/>
          </w:r>
          <w:r>
            <w:rPr>
              <w:color w:val="auto"/>
            </w:rPr>
            <w:instrText xml:space="preserve"> HYPERLINK \l "_Toc142388370" </w:instrText>
          </w:r>
          <w:r>
            <w:rPr>
              <w:color w:val="auto"/>
            </w:rPr>
            <w:fldChar w:fldCharType="separate"/>
          </w:r>
          <w:r>
            <w:rPr>
              <w:rStyle w:val="52"/>
              <w:rFonts w:eastAsia="黑体" w:cs="Times New Roman"/>
              <w:color w:val="auto"/>
            </w:rPr>
            <w:t>3.3工程设计</w:t>
          </w:r>
          <w:r>
            <w:rPr>
              <w:color w:val="auto"/>
            </w:rPr>
            <w:tab/>
          </w:r>
          <w:r>
            <w:rPr>
              <w:rFonts w:hint="eastAsia"/>
              <w:color w:val="auto"/>
              <w:lang w:val="en-US" w:eastAsia="zh-CN"/>
            </w:rPr>
            <w:t>5</w:t>
          </w:r>
          <w:r>
            <w:rPr>
              <w:color w:val="auto"/>
            </w:rPr>
            <w:fldChar w:fldCharType="end"/>
          </w:r>
          <w:r>
            <w:rPr>
              <w:rFonts w:hint="eastAsia"/>
              <w:color w:val="auto"/>
              <w:lang w:val="en-US" w:eastAsia="zh-CN"/>
            </w:rPr>
            <w:t>8</w:t>
          </w:r>
        </w:p>
        <w:p>
          <w:pPr>
            <w:pStyle w:val="34"/>
            <w:tabs>
              <w:tab w:val="right" w:leader="dot" w:pos="8947"/>
            </w:tabs>
            <w:ind w:left="480" w:firstLine="480"/>
            <w:rPr>
              <w:rFonts w:hint="eastAsia" w:eastAsia="宋体" w:asciiTheme="minorHAnsi" w:hAnsiTheme="minorHAnsi"/>
              <w:color w:val="auto"/>
              <w:sz w:val="21"/>
              <w:szCs w:val="22"/>
              <w:lang w:val="en-US" w:eastAsia="zh-CN"/>
            </w:rPr>
          </w:pPr>
          <w:r>
            <w:rPr>
              <w:color w:val="auto"/>
            </w:rPr>
            <w:fldChar w:fldCharType="begin"/>
          </w:r>
          <w:r>
            <w:rPr>
              <w:color w:val="auto"/>
            </w:rPr>
            <w:instrText xml:space="preserve"> HYPERLINK \l "_Toc142388371" </w:instrText>
          </w:r>
          <w:r>
            <w:rPr>
              <w:color w:val="auto"/>
            </w:rPr>
            <w:fldChar w:fldCharType="separate"/>
          </w:r>
          <w:r>
            <w:rPr>
              <w:rStyle w:val="52"/>
              <w:rFonts w:cs="Times New Roman"/>
              <w:color w:val="auto"/>
            </w:rPr>
            <w:t>3.4施工组织设计</w:t>
          </w:r>
          <w:r>
            <w:rPr>
              <w:color w:val="auto"/>
            </w:rPr>
            <w:tab/>
          </w:r>
          <w:r>
            <w:rPr>
              <w:rFonts w:hint="eastAsia"/>
              <w:color w:val="auto"/>
              <w:lang w:val="en-US" w:eastAsia="zh-CN"/>
            </w:rPr>
            <w:t>5</w:t>
          </w:r>
          <w:r>
            <w:rPr>
              <w:color w:val="auto"/>
            </w:rPr>
            <w:fldChar w:fldCharType="end"/>
          </w:r>
          <w:r>
            <w:rPr>
              <w:rFonts w:hint="eastAsia"/>
              <w:color w:val="auto"/>
              <w:lang w:val="en-US" w:eastAsia="zh-CN"/>
            </w:rPr>
            <w:t>8</w:t>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"_Toc142388372" </w:instrText>
          </w:r>
          <w:r>
            <w:rPr>
              <w:color w:val="auto"/>
            </w:rPr>
            <w:fldChar w:fldCharType="separate"/>
          </w:r>
          <w:r>
            <w:rPr>
              <w:rStyle w:val="52"/>
              <w:rFonts w:cs="Times New Roman"/>
              <w:color w:val="auto"/>
            </w:rPr>
            <w:t>3.5工程主要技术供应</w:t>
          </w:r>
          <w:r>
            <w:rPr>
              <w:color w:val="auto"/>
            </w:rPr>
            <w:tab/>
          </w:r>
          <w:r>
            <w:rPr>
              <w:color w:val="auto"/>
            </w:rPr>
            <w:fldChar w:fldCharType="begin"/>
          </w:r>
          <w:r>
            <w:rPr>
              <w:color w:val="auto"/>
            </w:rPr>
            <w:instrText xml:space="preserve"> PAGEREF _Toc142388372 \h </w:instrText>
          </w:r>
          <w:r>
            <w:rPr>
              <w:color w:val="auto"/>
            </w:rPr>
            <w:fldChar w:fldCharType="separate"/>
          </w:r>
          <w:r>
            <w:rPr>
              <w:color w:val="auto"/>
            </w:rPr>
            <w:t>58</w:t>
          </w:r>
          <w:r>
            <w:rPr>
              <w:color w:val="auto"/>
            </w:rPr>
            <w:fldChar w:fldCharType="end"/>
          </w:r>
          <w:r>
            <w:rPr>
              <w:color w:val="auto"/>
            </w:rPr>
            <w:fldChar w:fldCharType="end"/>
          </w:r>
        </w:p>
        <w:p>
          <w:pPr>
            <w:pStyle w:val="34"/>
            <w:tabs>
              <w:tab w:val="right" w:leader="dot" w:pos="8947"/>
            </w:tabs>
            <w:ind w:left="480" w:firstLine="480"/>
            <w:rPr>
              <w:rFonts w:hint="eastAsia" w:eastAsia="宋体" w:asciiTheme="minorHAnsi" w:hAnsiTheme="minorHAnsi"/>
              <w:color w:val="auto"/>
              <w:sz w:val="21"/>
              <w:szCs w:val="22"/>
              <w:lang w:val="en-US" w:eastAsia="zh-CN"/>
            </w:rPr>
          </w:pPr>
          <w:r>
            <w:rPr>
              <w:color w:val="auto"/>
            </w:rPr>
            <w:fldChar w:fldCharType="begin"/>
          </w:r>
          <w:r>
            <w:rPr>
              <w:color w:val="auto"/>
            </w:rPr>
            <w:instrText xml:space="preserve"> HYPERLINK \l "_Toc142388373" </w:instrText>
          </w:r>
          <w:r>
            <w:rPr>
              <w:color w:val="auto"/>
            </w:rPr>
            <w:fldChar w:fldCharType="separate"/>
          </w:r>
          <w:r>
            <w:rPr>
              <w:rStyle w:val="52"/>
              <w:rFonts w:cs="Times New Roman"/>
              <w:color w:val="auto"/>
            </w:rPr>
            <w:t>3.6产污环节和污染源强分析</w:t>
          </w:r>
          <w:r>
            <w:rPr>
              <w:color w:val="auto"/>
            </w:rPr>
            <w:tab/>
          </w:r>
          <w:r>
            <w:rPr>
              <w:rFonts w:hint="eastAsia"/>
              <w:color w:val="auto"/>
              <w:lang w:val="en-US" w:eastAsia="zh-CN"/>
            </w:rPr>
            <w:t>5</w:t>
          </w:r>
          <w:r>
            <w:rPr>
              <w:color w:val="auto"/>
            </w:rPr>
            <w:fldChar w:fldCharType="end"/>
          </w:r>
          <w:r>
            <w:rPr>
              <w:rFonts w:hint="eastAsia"/>
              <w:color w:val="auto"/>
              <w:lang w:val="en-US" w:eastAsia="zh-CN"/>
            </w:rPr>
            <w:t>9</w:t>
          </w:r>
        </w:p>
        <w:p>
          <w:pPr>
            <w:pStyle w:val="30"/>
            <w:tabs>
              <w:tab w:val="right" w:leader="dot" w:pos="8947"/>
            </w:tabs>
            <w:ind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"_Toc142388374" </w:instrText>
          </w:r>
          <w:r>
            <w:rPr>
              <w:color w:val="auto"/>
            </w:rPr>
            <w:fldChar w:fldCharType="separate"/>
          </w:r>
          <w:r>
            <w:rPr>
              <w:rStyle w:val="52"/>
              <w:rFonts w:cs="Times New Roman"/>
              <w:color w:val="auto"/>
            </w:rPr>
            <w:t>4环境现状调查与评价</w:t>
          </w:r>
          <w:r>
            <w:rPr>
              <w:color w:val="auto"/>
            </w:rPr>
            <w:tab/>
          </w:r>
          <w:r>
            <w:rPr>
              <w:color w:val="auto"/>
            </w:rPr>
            <w:fldChar w:fldCharType="begin"/>
          </w:r>
          <w:r>
            <w:rPr>
              <w:color w:val="auto"/>
            </w:rPr>
            <w:instrText xml:space="preserve"> PAGEREF _Toc142388374 \h </w:instrText>
          </w:r>
          <w:r>
            <w:rPr>
              <w:color w:val="auto"/>
            </w:rPr>
            <w:fldChar w:fldCharType="separate"/>
          </w:r>
          <w:r>
            <w:rPr>
              <w:color w:val="auto"/>
            </w:rPr>
            <w:t>71</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"_Toc142388375" </w:instrText>
          </w:r>
          <w:r>
            <w:rPr>
              <w:color w:val="auto"/>
            </w:rPr>
            <w:fldChar w:fldCharType="separate"/>
          </w:r>
          <w:r>
            <w:rPr>
              <w:rStyle w:val="52"/>
              <w:rFonts w:cs="Times New Roman"/>
              <w:color w:val="auto"/>
            </w:rPr>
            <w:t>4.1自然环境现状调查与评价</w:t>
          </w:r>
          <w:r>
            <w:rPr>
              <w:color w:val="auto"/>
            </w:rPr>
            <w:tab/>
          </w:r>
          <w:r>
            <w:rPr>
              <w:color w:val="auto"/>
            </w:rPr>
            <w:fldChar w:fldCharType="begin"/>
          </w:r>
          <w:r>
            <w:rPr>
              <w:color w:val="auto"/>
            </w:rPr>
            <w:instrText xml:space="preserve"> PAGEREF _Toc142388375 \h </w:instrText>
          </w:r>
          <w:r>
            <w:rPr>
              <w:color w:val="auto"/>
            </w:rPr>
            <w:fldChar w:fldCharType="separate"/>
          </w:r>
          <w:r>
            <w:rPr>
              <w:color w:val="auto"/>
            </w:rPr>
            <w:t>71</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"_Toc142388376" </w:instrText>
          </w:r>
          <w:r>
            <w:rPr>
              <w:color w:val="auto"/>
            </w:rPr>
            <w:fldChar w:fldCharType="separate"/>
          </w:r>
          <w:r>
            <w:rPr>
              <w:rStyle w:val="52"/>
              <w:rFonts w:cs="Times New Roman"/>
              <w:color w:val="auto"/>
            </w:rPr>
            <w:t>4.2环境质量现状调查与评价</w:t>
          </w:r>
          <w:r>
            <w:rPr>
              <w:color w:val="auto"/>
            </w:rPr>
            <w:tab/>
          </w:r>
          <w:r>
            <w:rPr>
              <w:color w:val="auto"/>
            </w:rPr>
            <w:fldChar w:fldCharType="begin"/>
          </w:r>
          <w:r>
            <w:rPr>
              <w:color w:val="auto"/>
            </w:rPr>
            <w:instrText xml:space="preserve"> PAGEREF _Toc142388376 \h </w:instrText>
          </w:r>
          <w:r>
            <w:rPr>
              <w:color w:val="auto"/>
            </w:rPr>
            <w:fldChar w:fldCharType="separate"/>
          </w:r>
          <w:r>
            <w:rPr>
              <w:color w:val="auto"/>
            </w:rPr>
            <w:t>73</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"_Toc142388377" </w:instrText>
          </w:r>
          <w:r>
            <w:rPr>
              <w:color w:val="auto"/>
            </w:rPr>
            <w:fldChar w:fldCharType="separate"/>
          </w:r>
          <w:r>
            <w:rPr>
              <w:rStyle w:val="52"/>
              <w:rFonts w:cs="Times New Roman"/>
              <w:color w:val="auto"/>
            </w:rPr>
            <w:t>4.3生态环境现状调查</w:t>
          </w:r>
          <w:r>
            <w:rPr>
              <w:color w:val="auto"/>
            </w:rPr>
            <w:tab/>
          </w:r>
          <w:r>
            <w:rPr>
              <w:color w:val="auto"/>
            </w:rPr>
            <w:fldChar w:fldCharType="begin"/>
          </w:r>
          <w:r>
            <w:rPr>
              <w:color w:val="auto"/>
            </w:rPr>
            <w:instrText xml:space="preserve"> PAGEREF _Toc142388377 \h </w:instrText>
          </w:r>
          <w:r>
            <w:rPr>
              <w:color w:val="auto"/>
            </w:rPr>
            <w:fldChar w:fldCharType="separate"/>
          </w:r>
          <w:r>
            <w:rPr>
              <w:color w:val="auto"/>
            </w:rPr>
            <w:t>76</w:t>
          </w:r>
          <w:r>
            <w:rPr>
              <w:color w:val="auto"/>
            </w:rPr>
            <w:fldChar w:fldCharType="end"/>
          </w:r>
          <w:r>
            <w:rPr>
              <w:color w:val="auto"/>
            </w:rPr>
            <w:fldChar w:fldCharType="end"/>
          </w:r>
        </w:p>
        <w:p>
          <w:pPr>
            <w:pStyle w:val="30"/>
            <w:tabs>
              <w:tab w:val="right" w:leader="dot" w:pos="8947"/>
            </w:tabs>
            <w:ind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"_Toc142388378" </w:instrText>
          </w:r>
          <w:r>
            <w:rPr>
              <w:color w:val="auto"/>
            </w:rPr>
            <w:fldChar w:fldCharType="separate"/>
          </w:r>
          <w:r>
            <w:rPr>
              <w:rStyle w:val="52"/>
              <w:rFonts w:cs="Times New Roman"/>
              <w:color w:val="auto"/>
            </w:rPr>
            <w:t>5环境影响预测与评价</w:t>
          </w:r>
          <w:r>
            <w:rPr>
              <w:color w:val="auto"/>
            </w:rPr>
            <w:tab/>
          </w:r>
          <w:r>
            <w:rPr>
              <w:color w:val="auto"/>
            </w:rPr>
            <w:fldChar w:fldCharType="begin"/>
          </w:r>
          <w:r>
            <w:rPr>
              <w:color w:val="auto"/>
            </w:rPr>
            <w:instrText xml:space="preserve"> PAGEREF _Toc142388378 \h </w:instrText>
          </w:r>
          <w:r>
            <w:rPr>
              <w:color w:val="auto"/>
            </w:rPr>
            <w:fldChar w:fldCharType="separate"/>
          </w:r>
          <w:r>
            <w:rPr>
              <w:color w:val="auto"/>
            </w:rPr>
            <w:t>93</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"_Toc142388379" </w:instrText>
          </w:r>
          <w:r>
            <w:rPr>
              <w:color w:val="auto"/>
            </w:rPr>
            <w:fldChar w:fldCharType="separate"/>
          </w:r>
          <w:r>
            <w:rPr>
              <w:rStyle w:val="52"/>
              <w:rFonts w:cs="Times New Roman"/>
              <w:color w:val="auto"/>
            </w:rPr>
            <w:t>5.1施工期影响预测与分析</w:t>
          </w:r>
          <w:r>
            <w:rPr>
              <w:color w:val="auto"/>
            </w:rPr>
            <w:tab/>
          </w:r>
          <w:r>
            <w:rPr>
              <w:color w:val="auto"/>
            </w:rPr>
            <w:fldChar w:fldCharType="begin"/>
          </w:r>
          <w:r>
            <w:rPr>
              <w:color w:val="auto"/>
            </w:rPr>
            <w:instrText xml:space="preserve"> PAGEREF _Toc142388379 \h </w:instrText>
          </w:r>
          <w:r>
            <w:rPr>
              <w:color w:val="auto"/>
            </w:rPr>
            <w:fldChar w:fldCharType="separate"/>
          </w:r>
          <w:r>
            <w:rPr>
              <w:color w:val="auto"/>
            </w:rPr>
            <w:t>93</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"_Toc142388380" </w:instrText>
          </w:r>
          <w:r>
            <w:rPr>
              <w:color w:val="auto"/>
            </w:rPr>
            <w:fldChar w:fldCharType="separate"/>
          </w:r>
          <w:r>
            <w:rPr>
              <w:rStyle w:val="52"/>
              <w:rFonts w:cs="Times New Roman"/>
              <w:color w:val="auto"/>
            </w:rPr>
            <w:t>5.2运行期环境影响预测与评价</w:t>
          </w:r>
          <w:r>
            <w:rPr>
              <w:color w:val="auto"/>
            </w:rPr>
            <w:tab/>
          </w:r>
          <w:r>
            <w:rPr>
              <w:color w:val="auto"/>
            </w:rPr>
            <w:fldChar w:fldCharType="begin"/>
          </w:r>
          <w:r>
            <w:rPr>
              <w:color w:val="auto"/>
            </w:rPr>
            <w:instrText xml:space="preserve"> PAGEREF _Toc142388380 \h </w:instrText>
          </w:r>
          <w:r>
            <w:rPr>
              <w:color w:val="auto"/>
            </w:rPr>
            <w:fldChar w:fldCharType="separate"/>
          </w:r>
          <w:r>
            <w:rPr>
              <w:color w:val="auto"/>
            </w:rPr>
            <w:t>103</w:t>
          </w:r>
          <w:r>
            <w:rPr>
              <w:color w:val="auto"/>
            </w:rPr>
            <w:fldChar w:fldCharType="end"/>
          </w:r>
          <w:r>
            <w:rPr>
              <w:color w:val="auto"/>
            </w:rPr>
            <w:fldChar w:fldCharType="end"/>
          </w:r>
        </w:p>
        <w:p>
          <w:pPr>
            <w:pStyle w:val="30"/>
            <w:tabs>
              <w:tab w:val="right" w:leader="dot" w:pos="8947"/>
            </w:tabs>
            <w:ind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"_Toc142388381" </w:instrText>
          </w:r>
          <w:r>
            <w:rPr>
              <w:color w:val="auto"/>
            </w:rPr>
            <w:fldChar w:fldCharType="separate"/>
          </w:r>
          <w:r>
            <w:rPr>
              <w:rStyle w:val="52"/>
              <w:rFonts w:eastAsia="黑体" w:cs="Times New Roman"/>
              <w:b/>
              <w:color w:val="auto"/>
              <w:kern w:val="44"/>
            </w:rPr>
            <w:t>6</w:t>
          </w:r>
          <w:r>
            <w:rPr>
              <w:rStyle w:val="52"/>
              <w:rFonts w:eastAsia="黑体" w:cs="Times New Roman"/>
              <w:color w:val="auto"/>
              <w:kern w:val="44"/>
            </w:rPr>
            <w:t>环境保护措施及其可行性论证</w:t>
          </w:r>
          <w:r>
            <w:rPr>
              <w:color w:val="auto"/>
            </w:rPr>
            <w:tab/>
          </w:r>
          <w:r>
            <w:rPr>
              <w:color w:val="auto"/>
            </w:rPr>
            <w:fldChar w:fldCharType="begin"/>
          </w:r>
          <w:r>
            <w:rPr>
              <w:color w:val="auto"/>
            </w:rPr>
            <w:instrText xml:space="preserve"> PAGEREF _Toc142388381 \h </w:instrText>
          </w:r>
          <w:r>
            <w:rPr>
              <w:color w:val="auto"/>
            </w:rPr>
            <w:fldChar w:fldCharType="separate"/>
          </w:r>
          <w:r>
            <w:rPr>
              <w:color w:val="auto"/>
            </w:rPr>
            <w:t>106</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"_Toc142388382" </w:instrText>
          </w:r>
          <w:r>
            <w:rPr>
              <w:color w:val="auto"/>
            </w:rPr>
            <w:fldChar w:fldCharType="separate"/>
          </w:r>
          <w:r>
            <w:rPr>
              <w:rStyle w:val="52"/>
              <w:rFonts w:cs="Times New Roman"/>
              <w:color w:val="auto"/>
            </w:rPr>
            <w:t>6.1施工期污染防治措施可行性论证</w:t>
          </w:r>
          <w:r>
            <w:rPr>
              <w:color w:val="auto"/>
            </w:rPr>
            <w:tab/>
          </w:r>
          <w:r>
            <w:rPr>
              <w:color w:val="auto"/>
            </w:rPr>
            <w:fldChar w:fldCharType="begin"/>
          </w:r>
          <w:r>
            <w:rPr>
              <w:color w:val="auto"/>
            </w:rPr>
            <w:instrText xml:space="preserve"> PAGEREF _Toc142388382 \h </w:instrText>
          </w:r>
          <w:r>
            <w:rPr>
              <w:color w:val="auto"/>
            </w:rPr>
            <w:fldChar w:fldCharType="separate"/>
          </w:r>
          <w:r>
            <w:rPr>
              <w:color w:val="auto"/>
            </w:rPr>
            <w:t>106</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"_Toc142388383" </w:instrText>
          </w:r>
          <w:r>
            <w:rPr>
              <w:color w:val="auto"/>
            </w:rPr>
            <w:fldChar w:fldCharType="separate"/>
          </w:r>
          <w:r>
            <w:rPr>
              <w:rStyle w:val="52"/>
              <w:rFonts w:cs="Times New Roman"/>
              <w:color w:val="auto"/>
            </w:rPr>
            <w:t>6.2运营期污染防治措施可行性论证</w:t>
          </w:r>
          <w:r>
            <w:rPr>
              <w:color w:val="auto"/>
            </w:rPr>
            <w:tab/>
          </w:r>
          <w:r>
            <w:rPr>
              <w:color w:val="auto"/>
            </w:rPr>
            <w:fldChar w:fldCharType="begin"/>
          </w:r>
          <w:r>
            <w:rPr>
              <w:color w:val="auto"/>
            </w:rPr>
            <w:instrText xml:space="preserve"> PAGEREF _Toc142388383 \h </w:instrText>
          </w:r>
          <w:r>
            <w:rPr>
              <w:color w:val="auto"/>
            </w:rPr>
            <w:fldChar w:fldCharType="separate"/>
          </w:r>
          <w:r>
            <w:rPr>
              <w:color w:val="auto"/>
            </w:rPr>
            <w:t>117</w:t>
          </w:r>
          <w:r>
            <w:rPr>
              <w:color w:val="auto"/>
            </w:rPr>
            <w:fldChar w:fldCharType="end"/>
          </w:r>
          <w:r>
            <w:rPr>
              <w:color w:val="auto"/>
            </w:rPr>
            <w:fldChar w:fldCharType="end"/>
          </w:r>
        </w:p>
        <w:p>
          <w:pPr>
            <w:pStyle w:val="30"/>
            <w:tabs>
              <w:tab w:val="right" w:leader="dot" w:pos="8947"/>
            </w:tabs>
            <w:ind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"_Toc142388384" </w:instrText>
          </w:r>
          <w:r>
            <w:rPr>
              <w:color w:val="auto"/>
            </w:rPr>
            <w:fldChar w:fldCharType="separate"/>
          </w:r>
          <w:r>
            <w:rPr>
              <w:rStyle w:val="52"/>
              <w:rFonts w:cs="Times New Roman"/>
              <w:color w:val="auto"/>
            </w:rPr>
            <w:t>7环境风险分析</w:t>
          </w:r>
          <w:r>
            <w:rPr>
              <w:color w:val="auto"/>
            </w:rPr>
            <w:tab/>
          </w:r>
          <w:r>
            <w:rPr>
              <w:color w:val="auto"/>
            </w:rPr>
            <w:fldChar w:fldCharType="begin"/>
          </w:r>
          <w:r>
            <w:rPr>
              <w:color w:val="auto"/>
            </w:rPr>
            <w:instrText xml:space="preserve"> PAGEREF _Toc142388384 \h </w:instrText>
          </w:r>
          <w:r>
            <w:rPr>
              <w:color w:val="auto"/>
            </w:rPr>
            <w:fldChar w:fldCharType="separate"/>
          </w:r>
          <w:r>
            <w:rPr>
              <w:color w:val="auto"/>
            </w:rPr>
            <w:t>118</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"_Toc142388385" </w:instrText>
          </w:r>
          <w:r>
            <w:rPr>
              <w:color w:val="auto"/>
            </w:rPr>
            <w:fldChar w:fldCharType="separate"/>
          </w:r>
          <w:r>
            <w:rPr>
              <w:rStyle w:val="52"/>
              <w:rFonts w:cs="Times New Roman"/>
              <w:color w:val="auto"/>
            </w:rPr>
            <w:t>7.1环境风险识别</w:t>
          </w:r>
          <w:r>
            <w:rPr>
              <w:color w:val="auto"/>
            </w:rPr>
            <w:tab/>
          </w:r>
          <w:r>
            <w:rPr>
              <w:color w:val="auto"/>
            </w:rPr>
            <w:fldChar w:fldCharType="begin"/>
          </w:r>
          <w:r>
            <w:rPr>
              <w:color w:val="auto"/>
            </w:rPr>
            <w:instrText xml:space="preserve"> PAGEREF _Toc142388385 \h </w:instrText>
          </w:r>
          <w:r>
            <w:rPr>
              <w:color w:val="auto"/>
            </w:rPr>
            <w:fldChar w:fldCharType="separate"/>
          </w:r>
          <w:r>
            <w:rPr>
              <w:color w:val="auto"/>
            </w:rPr>
            <w:t>118</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"_Toc142388386" </w:instrText>
          </w:r>
          <w:r>
            <w:rPr>
              <w:color w:val="auto"/>
            </w:rPr>
            <w:fldChar w:fldCharType="separate"/>
          </w:r>
          <w:r>
            <w:rPr>
              <w:rStyle w:val="52"/>
              <w:rFonts w:cs="Times New Roman"/>
              <w:color w:val="auto"/>
            </w:rPr>
            <w:t>7.2环境风险分析</w:t>
          </w:r>
          <w:r>
            <w:rPr>
              <w:color w:val="auto"/>
            </w:rPr>
            <w:tab/>
          </w:r>
          <w:r>
            <w:rPr>
              <w:color w:val="auto"/>
            </w:rPr>
            <w:fldChar w:fldCharType="begin"/>
          </w:r>
          <w:r>
            <w:rPr>
              <w:color w:val="auto"/>
            </w:rPr>
            <w:instrText xml:space="preserve"> PAGEREF _Toc142388386 \h </w:instrText>
          </w:r>
          <w:r>
            <w:rPr>
              <w:color w:val="auto"/>
            </w:rPr>
            <w:fldChar w:fldCharType="separate"/>
          </w:r>
          <w:r>
            <w:rPr>
              <w:color w:val="auto"/>
            </w:rPr>
            <w:t>118</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"_Toc142388387" </w:instrText>
          </w:r>
          <w:r>
            <w:rPr>
              <w:color w:val="auto"/>
            </w:rPr>
            <w:fldChar w:fldCharType="separate"/>
          </w:r>
          <w:r>
            <w:rPr>
              <w:rStyle w:val="52"/>
              <w:rFonts w:cs="Times New Roman"/>
              <w:color w:val="auto"/>
            </w:rPr>
            <w:t>7.3风险事故防范对策和措施</w:t>
          </w:r>
          <w:r>
            <w:rPr>
              <w:color w:val="auto"/>
            </w:rPr>
            <w:tab/>
          </w:r>
          <w:r>
            <w:rPr>
              <w:color w:val="auto"/>
            </w:rPr>
            <w:fldChar w:fldCharType="begin"/>
          </w:r>
          <w:r>
            <w:rPr>
              <w:color w:val="auto"/>
            </w:rPr>
            <w:instrText xml:space="preserve"> PAGEREF _Toc142388387 \h </w:instrText>
          </w:r>
          <w:r>
            <w:rPr>
              <w:color w:val="auto"/>
            </w:rPr>
            <w:fldChar w:fldCharType="separate"/>
          </w:r>
          <w:r>
            <w:rPr>
              <w:color w:val="auto"/>
            </w:rPr>
            <w:t>122</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"_Toc142388388" </w:instrText>
          </w:r>
          <w:r>
            <w:rPr>
              <w:color w:val="auto"/>
            </w:rPr>
            <w:fldChar w:fldCharType="separate"/>
          </w:r>
          <w:r>
            <w:rPr>
              <w:rStyle w:val="52"/>
              <w:rFonts w:cs="Times New Roman"/>
              <w:color w:val="auto"/>
            </w:rPr>
            <w:t>7.4环境风险评价结论</w:t>
          </w:r>
          <w:r>
            <w:rPr>
              <w:color w:val="auto"/>
            </w:rPr>
            <w:tab/>
          </w:r>
          <w:r>
            <w:rPr>
              <w:color w:val="auto"/>
            </w:rPr>
            <w:fldChar w:fldCharType="begin"/>
          </w:r>
          <w:r>
            <w:rPr>
              <w:color w:val="auto"/>
            </w:rPr>
            <w:instrText xml:space="preserve"> PAGEREF _Toc142388388 \h </w:instrText>
          </w:r>
          <w:r>
            <w:rPr>
              <w:color w:val="auto"/>
            </w:rPr>
            <w:fldChar w:fldCharType="separate"/>
          </w:r>
          <w:r>
            <w:rPr>
              <w:color w:val="auto"/>
            </w:rPr>
            <w:t>125</w:t>
          </w:r>
          <w:r>
            <w:rPr>
              <w:color w:val="auto"/>
            </w:rPr>
            <w:fldChar w:fldCharType="end"/>
          </w:r>
          <w:r>
            <w:rPr>
              <w:color w:val="auto"/>
            </w:rPr>
            <w:fldChar w:fldCharType="end"/>
          </w:r>
        </w:p>
        <w:p>
          <w:pPr>
            <w:pStyle w:val="30"/>
            <w:tabs>
              <w:tab w:val="right" w:leader="dot" w:pos="8947"/>
            </w:tabs>
            <w:ind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"_Toc142388389" </w:instrText>
          </w:r>
          <w:r>
            <w:rPr>
              <w:color w:val="auto"/>
            </w:rPr>
            <w:fldChar w:fldCharType="separate"/>
          </w:r>
          <w:r>
            <w:rPr>
              <w:rStyle w:val="52"/>
              <w:rFonts w:cs="Times New Roman"/>
              <w:color w:val="auto"/>
            </w:rPr>
            <w:t>8环境影响经济损益分析</w:t>
          </w:r>
          <w:r>
            <w:rPr>
              <w:color w:val="auto"/>
            </w:rPr>
            <w:tab/>
          </w:r>
          <w:r>
            <w:rPr>
              <w:color w:val="auto"/>
            </w:rPr>
            <w:fldChar w:fldCharType="begin"/>
          </w:r>
          <w:r>
            <w:rPr>
              <w:color w:val="auto"/>
            </w:rPr>
            <w:instrText xml:space="preserve"> PAGEREF _Toc142388389 \h </w:instrText>
          </w:r>
          <w:r>
            <w:rPr>
              <w:color w:val="auto"/>
            </w:rPr>
            <w:fldChar w:fldCharType="separate"/>
          </w:r>
          <w:r>
            <w:rPr>
              <w:color w:val="auto"/>
            </w:rPr>
            <w:t>126</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"_Toc142388390" </w:instrText>
          </w:r>
          <w:r>
            <w:rPr>
              <w:color w:val="auto"/>
            </w:rPr>
            <w:fldChar w:fldCharType="separate"/>
          </w:r>
          <w:r>
            <w:rPr>
              <w:rStyle w:val="52"/>
              <w:rFonts w:cs="Times New Roman"/>
              <w:color w:val="auto"/>
            </w:rPr>
            <w:t>8.1环境影响损失</w:t>
          </w:r>
          <w:r>
            <w:rPr>
              <w:color w:val="auto"/>
            </w:rPr>
            <w:tab/>
          </w:r>
          <w:r>
            <w:rPr>
              <w:color w:val="auto"/>
            </w:rPr>
            <w:fldChar w:fldCharType="begin"/>
          </w:r>
          <w:r>
            <w:rPr>
              <w:color w:val="auto"/>
            </w:rPr>
            <w:instrText xml:space="preserve"> PAGEREF _Toc142388390 \h </w:instrText>
          </w:r>
          <w:r>
            <w:rPr>
              <w:color w:val="auto"/>
            </w:rPr>
            <w:fldChar w:fldCharType="separate"/>
          </w:r>
          <w:r>
            <w:rPr>
              <w:color w:val="auto"/>
            </w:rPr>
            <w:t>126</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"_Toc142388391" </w:instrText>
          </w:r>
          <w:r>
            <w:rPr>
              <w:color w:val="auto"/>
            </w:rPr>
            <w:fldChar w:fldCharType="separate"/>
          </w:r>
          <w:r>
            <w:rPr>
              <w:rStyle w:val="52"/>
              <w:rFonts w:cs="Times New Roman"/>
              <w:color w:val="auto"/>
            </w:rPr>
            <w:t>8.2环境经济效益分析</w:t>
          </w:r>
          <w:r>
            <w:rPr>
              <w:color w:val="auto"/>
            </w:rPr>
            <w:tab/>
          </w:r>
          <w:r>
            <w:rPr>
              <w:color w:val="auto"/>
            </w:rPr>
            <w:fldChar w:fldCharType="begin"/>
          </w:r>
          <w:r>
            <w:rPr>
              <w:color w:val="auto"/>
            </w:rPr>
            <w:instrText xml:space="preserve"> PAGEREF _Toc142388391 \h </w:instrText>
          </w:r>
          <w:r>
            <w:rPr>
              <w:color w:val="auto"/>
            </w:rPr>
            <w:fldChar w:fldCharType="separate"/>
          </w:r>
          <w:r>
            <w:rPr>
              <w:color w:val="auto"/>
            </w:rPr>
            <w:t>127</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"_Toc142388392" </w:instrText>
          </w:r>
          <w:r>
            <w:rPr>
              <w:color w:val="auto"/>
            </w:rPr>
            <w:fldChar w:fldCharType="separate"/>
          </w:r>
          <w:r>
            <w:rPr>
              <w:rStyle w:val="52"/>
              <w:rFonts w:cs="Times New Roman"/>
              <w:color w:val="auto"/>
            </w:rPr>
            <w:t>8.3环保投资估算</w:t>
          </w:r>
          <w:r>
            <w:rPr>
              <w:color w:val="auto"/>
            </w:rPr>
            <w:tab/>
          </w:r>
          <w:r>
            <w:rPr>
              <w:color w:val="auto"/>
            </w:rPr>
            <w:fldChar w:fldCharType="begin"/>
          </w:r>
          <w:r>
            <w:rPr>
              <w:color w:val="auto"/>
            </w:rPr>
            <w:instrText xml:space="preserve"> PAGEREF _Toc142388392 \h </w:instrText>
          </w:r>
          <w:r>
            <w:rPr>
              <w:color w:val="auto"/>
            </w:rPr>
            <w:fldChar w:fldCharType="separate"/>
          </w:r>
          <w:r>
            <w:rPr>
              <w:color w:val="auto"/>
            </w:rPr>
            <w:t>127</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"_Toc142388393" </w:instrText>
          </w:r>
          <w:r>
            <w:rPr>
              <w:color w:val="auto"/>
            </w:rPr>
            <w:fldChar w:fldCharType="separate"/>
          </w:r>
          <w:r>
            <w:rPr>
              <w:rStyle w:val="52"/>
              <w:rFonts w:cs="Times New Roman"/>
              <w:color w:val="auto"/>
            </w:rPr>
            <w:t>8.4生态效益分析</w:t>
          </w:r>
          <w:r>
            <w:rPr>
              <w:color w:val="auto"/>
            </w:rPr>
            <w:tab/>
          </w:r>
          <w:r>
            <w:rPr>
              <w:color w:val="auto"/>
            </w:rPr>
            <w:fldChar w:fldCharType="begin"/>
          </w:r>
          <w:r>
            <w:rPr>
              <w:color w:val="auto"/>
            </w:rPr>
            <w:instrText xml:space="preserve"> PAGEREF _Toc142388393 \h </w:instrText>
          </w:r>
          <w:r>
            <w:rPr>
              <w:color w:val="auto"/>
            </w:rPr>
            <w:fldChar w:fldCharType="separate"/>
          </w:r>
          <w:r>
            <w:rPr>
              <w:color w:val="auto"/>
            </w:rPr>
            <w:t>128</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"_Toc142388394" </w:instrText>
          </w:r>
          <w:r>
            <w:rPr>
              <w:color w:val="auto"/>
            </w:rPr>
            <w:fldChar w:fldCharType="separate"/>
          </w:r>
          <w:r>
            <w:rPr>
              <w:rStyle w:val="52"/>
              <w:rFonts w:cs="Times New Roman"/>
              <w:color w:val="auto"/>
            </w:rPr>
            <w:t>8.5社会效益分析</w:t>
          </w:r>
          <w:r>
            <w:rPr>
              <w:color w:val="auto"/>
            </w:rPr>
            <w:tab/>
          </w:r>
          <w:r>
            <w:rPr>
              <w:color w:val="auto"/>
            </w:rPr>
            <w:fldChar w:fldCharType="begin"/>
          </w:r>
          <w:r>
            <w:rPr>
              <w:color w:val="auto"/>
            </w:rPr>
            <w:instrText xml:space="preserve"> PAGEREF _Toc142388394 \h </w:instrText>
          </w:r>
          <w:r>
            <w:rPr>
              <w:color w:val="auto"/>
            </w:rPr>
            <w:fldChar w:fldCharType="separate"/>
          </w:r>
          <w:r>
            <w:rPr>
              <w:color w:val="auto"/>
            </w:rPr>
            <w:t>129</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"_Toc142388395" </w:instrText>
          </w:r>
          <w:r>
            <w:rPr>
              <w:color w:val="auto"/>
            </w:rPr>
            <w:fldChar w:fldCharType="separate"/>
          </w:r>
          <w:r>
            <w:rPr>
              <w:rStyle w:val="52"/>
              <w:rFonts w:cs="Times New Roman"/>
              <w:color w:val="auto"/>
            </w:rPr>
            <w:t>8.6经济效益</w:t>
          </w:r>
          <w:r>
            <w:rPr>
              <w:color w:val="auto"/>
            </w:rPr>
            <w:tab/>
          </w:r>
          <w:r>
            <w:rPr>
              <w:color w:val="auto"/>
            </w:rPr>
            <w:fldChar w:fldCharType="begin"/>
          </w:r>
          <w:r>
            <w:rPr>
              <w:color w:val="auto"/>
            </w:rPr>
            <w:instrText xml:space="preserve"> PAGEREF _Toc142388395 \h </w:instrText>
          </w:r>
          <w:r>
            <w:rPr>
              <w:color w:val="auto"/>
            </w:rPr>
            <w:fldChar w:fldCharType="separate"/>
          </w:r>
          <w:r>
            <w:rPr>
              <w:color w:val="auto"/>
            </w:rPr>
            <w:t>129</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"_Toc142388396" </w:instrText>
          </w:r>
          <w:r>
            <w:rPr>
              <w:color w:val="auto"/>
            </w:rPr>
            <w:fldChar w:fldCharType="separate"/>
          </w:r>
          <w:r>
            <w:rPr>
              <w:rStyle w:val="52"/>
              <w:rFonts w:cs="Times New Roman"/>
              <w:color w:val="auto"/>
            </w:rPr>
            <w:t>8.7结论</w:t>
          </w:r>
          <w:r>
            <w:rPr>
              <w:color w:val="auto"/>
            </w:rPr>
            <w:tab/>
          </w:r>
          <w:r>
            <w:rPr>
              <w:color w:val="auto"/>
            </w:rPr>
            <w:fldChar w:fldCharType="begin"/>
          </w:r>
          <w:r>
            <w:rPr>
              <w:color w:val="auto"/>
            </w:rPr>
            <w:instrText xml:space="preserve"> PAGEREF _Toc142388396 \h </w:instrText>
          </w:r>
          <w:r>
            <w:rPr>
              <w:color w:val="auto"/>
            </w:rPr>
            <w:fldChar w:fldCharType="separate"/>
          </w:r>
          <w:r>
            <w:rPr>
              <w:color w:val="auto"/>
            </w:rPr>
            <w:t>129</w:t>
          </w:r>
          <w:r>
            <w:rPr>
              <w:color w:val="auto"/>
            </w:rPr>
            <w:fldChar w:fldCharType="end"/>
          </w:r>
          <w:r>
            <w:rPr>
              <w:color w:val="auto"/>
            </w:rPr>
            <w:fldChar w:fldCharType="end"/>
          </w:r>
        </w:p>
        <w:p>
          <w:pPr>
            <w:pStyle w:val="30"/>
            <w:tabs>
              <w:tab w:val="right" w:leader="dot" w:pos="8947"/>
            </w:tabs>
            <w:ind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"_Toc142388397" </w:instrText>
          </w:r>
          <w:r>
            <w:rPr>
              <w:color w:val="auto"/>
            </w:rPr>
            <w:fldChar w:fldCharType="separate"/>
          </w:r>
          <w:r>
            <w:rPr>
              <w:rStyle w:val="52"/>
              <w:rFonts w:cs="Times New Roman"/>
              <w:color w:val="auto"/>
            </w:rPr>
            <w:t>9环境管理与监测计划</w:t>
          </w:r>
          <w:r>
            <w:rPr>
              <w:color w:val="auto"/>
            </w:rPr>
            <w:tab/>
          </w:r>
          <w:r>
            <w:rPr>
              <w:color w:val="auto"/>
            </w:rPr>
            <w:fldChar w:fldCharType="begin"/>
          </w:r>
          <w:r>
            <w:rPr>
              <w:color w:val="auto"/>
            </w:rPr>
            <w:instrText xml:space="preserve"> PAGEREF _Toc142388397 \h </w:instrText>
          </w:r>
          <w:r>
            <w:rPr>
              <w:color w:val="auto"/>
            </w:rPr>
            <w:fldChar w:fldCharType="separate"/>
          </w:r>
          <w:r>
            <w:rPr>
              <w:color w:val="auto"/>
            </w:rPr>
            <w:t>131</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"_Toc142388398" </w:instrText>
          </w:r>
          <w:r>
            <w:rPr>
              <w:color w:val="auto"/>
            </w:rPr>
            <w:fldChar w:fldCharType="separate"/>
          </w:r>
          <w:r>
            <w:rPr>
              <w:rStyle w:val="52"/>
              <w:rFonts w:cs="Times New Roman"/>
              <w:color w:val="auto"/>
            </w:rPr>
            <w:t>9.1环境管理</w:t>
          </w:r>
          <w:r>
            <w:rPr>
              <w:color w:val="auto"/>
            </w:rPr>
            <w:tab/>
          </w:r>
          <w:r>
            <w:rPr>
              <w:color w:val="auto"/>
            </w:rPr>
            <w:fldChar w:fldCharType="begin"/>
          </w:r>
          <w:r>
            <w:rPr>
              <w:color w:val="auto"/>
            </w:rPr>
            <w:instrText xml:space="preserve"> PAGEREF _Toc142388398 \h </w:instrText>
          </w:r>
          <w:r>
            <w:rPr>
              <w:color w:val="auto"/>
            </w:rPr>
            <w:fldChar w:fldCharType="separate"/>
          </w:r>
          <w:r>
            <w:rPr>
              <w:color w:val="auto"/>
            </w:rPr>
            <w:t>131</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"_Toc142388399" </w:instrText>
          </w:r>
          <w:r>
            <w:rPr>
              <w:color w:val="auto"/>
            </w:rPr>
            <w:fldChar w:fldCharType="separate"/>
          </w:r>
          <w:r>
            <w:rPr>
              <w:rStyle w:val="52"/>
              <w:rFonts w:cs="Times New Roman"/>
              <w:color w:val="auto"/>
            </w:rPr>
            <w:t>9.2环境监测计划</w:t>
          </w:r>
          <w:r>
            <w:rPr>
              <w:color w:val="auto"/>
            </w:rPr>
            <w:tab/>
          </w:r>
          <w:r>
            <w:rPr>
              <w:color w:val="auto"/>
            </w:rPr>
            <w:fldChar w:fldCharType="begin"/>
          </w:r>
          <w:r>
            <w:rPr>
              <w:color w:val="auto"/>
            </w:rPr>
            <w:instrText xml:space="preserve"> PAGEREF _Toc142388399 \h </w:instrText>
          </w:r>
          <w:r>
            <w:rPr>
              <w:color w:val="auto"/>
            </w:rPr>
            <w:fldChar w:fldCharType="separate"/>
          </w:r>
          <w:r>
            <w:rPr>
              <w:color w:val="auto"/>
            </w:rPr>
            <w:t>132</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"_Toc142388400" </w:instrText>
          </w:r>
          <w:r>
            <w:rPr>
              <w:color w:val="auto"/>
            </w:rPr>
            <w:fldChar w:fldCharType="separate"/>
          </w:r>
          <w:r>
            <w:rPr>
              <w:rStyle w:val="52"/>
              <w:rFonts w:cs="Times New Roman"/>
              <w:color w:val="auto"/>
            </w:rPr>
            <w:t>9.3建设项目竣工环境保护验收内容</w:t>
          </w:r>
          <w:r>
            <w:rPr>
              <w:color w:val="auto"/>
            </w:rPr>
            <w:tab/>
          </w:r>
          <w:r>
            <w:rPr>
              <w:color w:val="auto"/>
            </w:rPr>
            <w:fldChar w:fldCharType="begin"/>
          </w:r>
          <w:r>
            <w:rPr>
              <w:color w:val="auto"/>
            </w:rPr>
            <w:instrText xml:space="preserve"> PAGEREF _Toc142388400 \h </w:instrText>
          </w:r>
          <w:r>
            <w:rPr>
              <w:color w:val="auto"/>
            </w:rPr>
            <w:fldChar w:fldCharType="separate"/>
          </w:r>
          <w:r>
            <w:rPr>
              <w:color w:val="auto"/>
            </w:rPr>
            <w:t>133</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"_Toc142388401" </w:instrText>
          </w:r>
          <w:r>
            <w:rPr>
              <w:color w:val="auto"/>
            </w:rPr>
            <w:fldChar w:fldCharType="separate"/>
          </w:r>
          <w:r>
            <w:rPr>
              <w:rStyle w:val="52"/>
              <w:rFonts w:cs="Times New Roman"/>
              <w:color w:val="auto"/>
            </w:rPr>
            <w:t>9.4环境保护“三同时”验收一览表</w:t>
          </w:r>
          <w:r>
            <w:rPr>
              <w:color w:val="auto"/>
            </w:rPr>
            <w:tab/>
          </w:r>
          <w:r>
            <w:rPr>
              <w:color w:val="auto"/>
            </w:rPr>
            <w:fldChar w:fldCharType="begin"/>
          </w:r>
          <w:r>
            <w:rPr>
              <w:color w:val="auto"/>
            </w:rPr>
            <w:instrText xml:space="preserve"> PAGEREF _Toc142388401 \h </w:instrText>
          </w:r>
          <w:r>
            <w:rPr>
              <w:color w:val="auto"/>
            </w:rPr>
            <w:fldChar w:fldCharType="separate"/>
          </w:r>
          <w:r>
            <w:rPr>
              <w:color w:val="auto"/>
            </w:rPr>
            <w:t>134</w:t>
          </w:r>
          <w:r>
            <w:rPr>
              <w:color w:val="auto"/>
            </w:rPr>
            <w:fldChar w:fldCharType="end"/>
          </w:r>
          <w:r>
            <w:rPr>
              <w:color w:val="auto"/>
            </w:rPr>
            <w:fldChar w:fldCharType="end"/>
          </w:r>
        </w:p>
        <w:p>
          <w:pPr>
            <w:pStyle w:val="30"/>
            <w:tabs>
              <w:tab w:val="right" w:leader="dot" w:pos="8947"/>
            </w:tabs>
            <w:ind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"_Toc142388402" </w:instrText>
          </w:r>
          <w:r>
            <w:rPr>
              <w:color w:val="auto"/>
            </w:rPr>
            <w:fldChar w:fldCharType="separate"/>
          </w:r>
          <w:r>
            <w:rPr>
              <w:rStyle w:val="52"/>
              <w:rFonts w:cs="Times New Roman"/>
              <w:color w:val="auto"/>
            </w:rPr>
            <w:t>10结论与建议</w:t>
          </w:r>
          <w:r>
            <w:rPr>
              <w:color w:val="auto"/>
            </w:rPr>
            <w:tab/>
          </w:r>
          <w:r>
            <w:rPr>
              <w:color w:val="auto"/>
            </w:rPr>
            <w:fldChar w:fldCharType="begin"/>
          </w:r>
          <w:r>
            <w:rPr>
              <w:color w:val="auto"/>
            </w:rPr>
            <w:instrText xml:space="preserve"> PAGEREF _Toc142388402 \h </w:instrText>
          </w:r>
          <w:r>
            <w:rPr>
              <w:color w:val="auto"/>
            </w:rPr>
            <w:fldChar w:fldCharType="separate"/>
          </w:r>
          <w:r>
            <w:rPr>
              <w:color w:val="auto"/>
            </w:rPr>
            <w:t>137</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"_Toc142388403" </w:instrText>
          </w:r>
          <w:r>
            <w:rPr>
              <w:color w:val="auto"/>
            </w:rPr>
            <w:fldChar w:fldCharType="separate"/>
          </w:r>
          <w:r>
            <w:rPr>
              <w:rStyle w:val="52"/>
              <w:rFonts w:cs="Times New Roman"/>
              <w:color w:val="auto"/>
            </w:rPr>
            <w:t>10.1结论</w:t>
          </w:r>
          <w:r>
            <w:rPr>
              <w:color w:val="auto"/>
            </w:rPr>
            <w:tab/>
          </w:r>
          <w:r>
            <w:rPr>
              <w:color w:val="auto"/>
            </w:rPr>
            <w:fldChar w:fldCharType="begin"/>
          </w:r>
          <w:r>
            <w:rPr>
              <w:color w:val="auto"/>
            </w:rPr>
            <w:instrText xml:space="preserve"> PAGEREF _Toc142388403 \h </w:instrText>
          </w:r>
          <w:r>
            <w:rPr>
              <w:color w:val="auto"/>
            </w:rPr>
            <w:fldChar w:fldCharType="separate"/>
          </w:r>
          <w:r>
            <w:rPr>
              <w:color w:val="auto"/>
            </w:rPr>
            <w:t>137</w:t>
          </w:r>
          <w:r>
            <w:rPr>
              <w:color w:val="auto"/>
            </w:rPr>
            <w:fldChar w:fldCharType="end"/>
          </w:r>
          <w:r>
            <w:rPr>
              <w:color w:val="auto"/>
            </w:rPr>
            <w:fldChar w:fldCharType="end"/>
          </w:r>
        </w:p>
        <w:p>
          <w:pPr>
            <w:pStyle w:val="34"/>
            <w:tabs>
              <w:tab w:val="right" w:leader="dot" w:pos="8947"/>
            </w:tabs>
            <w:ind w:left="480" w:firstLine="480"/>
            <w:rPr>
              <w:rFonts w:asciiTheme="minorHAnsi" w:hAnsiTheme="minorHAnsi" w:eastAsiaTheme="minorEastAsia"/>
              <w:color w:val="auto"/>
              <w:sz w:val="21"/>
              <w:szCs w:val="22"/>
            </w:rPr>
          </w:pPr>
          <w:r>
            <w:rPr>
              <w:color w:val="auto"/>
            </w:rPr>
            <w:fldChar w:fldCharType="begin"/>
          </w:r>
          <w:r>
            <w:rPr>
              <w:color w:val="auto"/>
            </w:rPr>
            <w:instrText xml:space="preserve"> HYPERLINK \l "_Toc142388404" </w:instrText>
          </w:r>
          <w:r>
            <w:rPr>
              <w:color w:val="auto"/>
            </w:rPr>
            <w:fldChar w:fldCharType="separate"/>
          </w:r>
          <w:r>
            <w:rPr>
              <w:rStyle w:val="52"/>
              <w:rFonts w:cs="Times New Roman"/>
              <w:color w:val="auto"/>
            </w:rPr>
            <w:t>10.2建议</w:t>
          </w:r>
          <w:r>
            <w:rPr>
              <w:color w:val="auto"/>
            </w:rPr>
            <w:tab/>
          </w:r>
          <w:r>
            <w:rPr>
              <w:color w:val="auto"/>
            </w:rPr>
            <w:fldChar w:fldCharType="begin"/>
          </w:r>
          <w:r>
            <w:rPr>
              <w:color w:val="auto"/>
            </w:rPr>
            <w:instrText xml:space="preserve"> PAGEREF _Toc142388404 \h </w:instrText>
          </w:r>
          <w:r>
            <w:rPr>
              <w:color w:val="auto"/>
            </w:rPr>
            <w:fldChar w:fldCharType="separate"/>
          </w:r>
          <w:r>
            <w:rPr>
              <w:color w:val="auto"/>
            </w:rPr>
            <w:t>141</w:t>
          </w:r>
          <w:r>
            <w:rPr>
              <w:color w:val="auto"/>
            </w:rPr>
            <w:fldChar w:fldCharType="end"/>
          </w:r>
          <w:r>
            <w:rPr>
              <w:color w:val="auto"/>
            </w:rPr>
            <w:fldChar w:fldCharType="end"/>
          </w:r>
        </w:p>
        <w:p>
          <w:pPr>
            <w:ind w:firstLine="0" w:firstLineChars="0"/>
            <w:rPr>
              <w:rFonts w:cs="Times New Roman"/>
              <w:color w:val="auto"/>
            </w:rPr>
          </w:pPr>
          <w:r>
            <w:rPr>
              <w:rFonts w:cs="Times New Roman"/>
              <w:color w:val="auto"/>
            </w:rPr>
            <w:fldChar w:fldCharType="end"/>
          </w:r>
        </w:p>
      </w:sdtContent>
    </w:sdt>
    <w:p>
      <w:pPr>
        <w:pStyle w:val="61"/>
        <w:ind w:firstLine="0" w:firstLineChars="0"/>
        <w:rPr>
          <w:rFonts w:cs="Times New Roman"/>
          <w:b/>
          <w:bCs/>
          <w:color w:val="auto"/>
        </w:rPr>
      </w:pPr>
    </w:p>
    <w:p>
      <w:pPr>
        <w:pStyle w:val="61"/>
        <w:ind w:firstLine="0" w:firstLineChars="0"/>
        <w:rPr>
          <w:rFonts w:cs="Times New Roman"/>
          <w:color w:val="auto"/>
        </w:rPr>
      </w:pPr>
      <w:r>
        <w:rPr>
          <w:rFonts w:hint="eastAsia" w:cs="Times New Roman"/>
          <w:b/>
          <w:bCs/>
          <w:color w:val="auto"/>
        </w:rPr>
        <w:t>附表：</w:t>
      </w:r>
    </w:p>
    <w:p>
      <w:pPr>
        <w:pStyle w:val="61"/>
        <w:ind w:firstLine="480"/>
        <w:rPr>
          <w:rFonts w:cs="Times New Roman"/>
          <w:color w:val="auto"/>
        </w:rPr>
      </w:pPr>
      <w:r>
        <w:rPr>
          <w:rFonts w:hint="eastAsia" w:cs="Times New Roman"/>
          <w:color w:val="auto"/>
        </w:rPr>
        <w:t>建设项目环境影响报告书审批基础信息表</w:t>
      </w:r>
    </w:p>
    <w:p>
      <w:pPr>
        <w:pStyle w:val="61"/>
        <w:ind w:firstLine="0" w:firstLineChars="0"/>
        <w:rPr>
          <w:rFonts w:cs="Times New Roman"/>
          <w:color w:val="auto"/>
        </w:rPr>
      </w:pPr>
      <w:r>
        <w:rPr>
          <w:rFonts w:hint="eastAsia" w:cs="Times New Roman"/>
          <w:b/>
          <w:bCs/>
          <w:color w:val="auto"/>
        </w:rPr>
        <w:t>附图：</w:t>
      </w:r>
    </w:p>
    <w:p>
      <w:pPr>
        <w:pStyle w:val="61"/>
        <w:snapToGrid w:val="0"/>
        <w:ind w:firstLine="480"/>
        <w:rPr>
          <w:rFonts w:cs="Times New Roman"/>
          <w:color w:val="auto"/>
        </w:rPr>
      </w:pPr>
      <w:r>
        <w:rPr>
          <w:rFonts w:cs="Times New Roman"/>
          <w:color w:val="auto"/>
        </w:rPr>
        <w:t>1.</w:t>
      </w:r>
      <w:r>
        <w:rPr>
          <w:rFonts w:hint="eastAsia" w:cs="Times New Roman"/>
          <w:color w:val="auto"/>
        </w:rPr>
        <w:t>工程地理位置图</w:t>
      </w:r>
    </w:p>
    <w:p>
      <w:pPr>
        <w:pStyle w:val="61"/>
        <w:snapToGrid w:val="0"/>
        <w:ind w:firstLine="480"/>
        <w:rPr>
          <w:rFonts w:cs="Times New Roman"/>
          <w:color w:val="auto"/>
        </w:rPr>
      </w:pPr>
      <w:r>
        <w:rPr>
          <w:rFonts w:cs="Times New Roman"/>
          <w:color w:val="auto"/>
        </w:rPr>
        <w:t>2.</w:t>
      </w:r>
      <w:r>
        <w:rPr>
          <w:rFonts w:hint="eastAsia" w:cs="Times New Roman"/>
          <w:color w:val="auto"/>
        </w:rPr>
        <w:t>工程所在区域水系分布图</w:t>
      </w:r>
    </w:p>
    <w:p>
      <w:pPr>
        <w:pStyle w:val="61"/>
        <w:snapToGrid w:val="0"/>
        <w:ind w:firstLine="480"/>
        <w:rPr>
          <w:rFonts w:cs="Times New Roman"/>
          <w:color w:val="auto"/>
        </w:rPr>
      </w:pPr>
      <w:r>
        <w:rPr>
          <w:rFonts w:cs="Times New Roman"/>
          <w:color w:val="auto"/>
        </w:rPr>
        <w:t>3.</w:t>
      </w:r>
      <w:r>
        <w:rPr>
          <w:rFonts w:hint="eastAsia" w:cs="Times New Roman"/>
          <w:color w:val="auto"/>
        </w:rPr>
        <w:t>项目与陕西省生态功能区比对图</w:t>
      </w:r>
    </w:p>
    <w:p>
      <w:pPr>
        <w:pStyle w:val="61"/>
        <w:snapToGrid w:val="0"/>
        <w:ind w:firstLine="480"/>
        <w:rPr>
          <w:rFonts w:cs="Times New Roman"/>
          <w:color w:val="auto"/>
        </w:rPr>
      </w:pPr>
      <w:r>
        <w:rPr>
          <w:rFonts w:hint="eastAsia" w:cs="Times New Roman"/>
          <w:color w:val="auto"/>
        </w:rPr>
        <w:t>4</w:t>
      </w:r>
      <w:r>
        <w:rPr>
          <w:rFonts w:cs="Times New Roman"/>
          <w:color w:val="auto"/>
        </w:rPr>
        <w:t>.</w:t>
      </w:r>
      <w:r>
        <w:rPr>
          <w:rFonts w:hint="eastAsia" w:cs="Times New Roman"/>
          <w:color w:val="auto"/>
        </w:rPr>
        <w:t>项目与安康市环境管控单元位置图</w:t>
      </w:r>
    </w:p>
    <w:p>
      <w:pPr>
        <w:pStyle w:val="61"/>
        <w:snapToGrid w:val="0"/>
        <w:ind w:firstLine="480"/>
        <w:rPr>
          <w:rFonts w:cs="Times New Roman"/>
          <w:color w:val="auto"/>
        </w:rPr>
      </w:pPr>
      <w:r>
        <w:rPr>
          <w:rFonts w:cs="Times New Roman"/>
          <w:color w:val="auto"/>
        </w:rPr>
        <w:t>5.</w:t>
      </w:r>
      <w:r>
        <w:rPr>
          <w:rFonts w:hint="eastAsia" w:cs="Times New Roman"/>
          <w:color w:val="auto"/>
        </w:rPr>
        <w:t>工程总平面布置图</w:t>
      </w:r>
    </w:p>
    <w:p>
      <w:pPr>
        <w:pStyle w:val="61"/>
        <w:snapToGrid w:val="0"/>
        <w:ind w:firstLine="480"/>
        <w:rPr>
          <w:rFonts w:cs="Times New Roman"/>
          <w:color w:val="auto"/>
        </w:rPr>
      </w:pPr>
      <w:r>
        <w:rPr>
          <w:rFonts w:cs="Times New Roman"/>
          <w:color w:val="auto"/>
        </w:rPr>
        <w:t>6.</w:t>
      </w:r>
      <w:r>
        <w:rPr>
          <w:rFonts w:hint="eastAsia" w:cs="Times New Roman"/>
          <w:color w:val="auto"/>
        </w:rPr>
        <w:t>项目声、生态、地下水环境评价范围图</w:t>
      </w:r>
    </w:p>
    <w:p>
      <w:pPr>
        <w:pStyle w:val="61"/>
        <w:snapToGrid w:val="0"/>
        <w:ind w:firstLine="480"/>
        <w:rPr>
          <w:rFonts w:cs="Times New Roman"/>
          <w:color w:val="auto"/>
        </w:rPr>
      </w:pPr>
      <w:r>
        <w:rPr>
          <w:rFonts w:cs="Times New Roman"/>
          <w:color w:val="auto"/>
        </w:rPr>
        <w:t>7.</w:t>
      </w:r>
      <w:r>
        <w:rPr>
          <w:rFonts w:hint="eastAsia" w:cs="Times New Roman"/>
          <w:color w:val="auto"/>
        </w:rPr>
        <w:t>项目地表水环境评价范围图</w:t>
      </w:r>
    </w:p>
    <w:p>
      <w:pPr>
        <w:pStyle w:val="61"/>
        <w:snapToGrid w:val="0"/>
        <w:ind w:firstLine="480"/>
        <w:rPr>
          <w:rFonts w:cs="Times New Roman"/>
          <w:color w:val="auto"/>
        </w:rPr>
      </w:pPr>
      <w:r>
        <w:rPr>
          <w:rFonts w:cs="Times New Roman"/>
          <w:color w:val="auto"/>
        </w:rPr>
        <w:t>8.</w:t>
      </w:r>
      <w:r>
        <w:rPr>
          <w:rFonts w:hint="eastAsia" w:cs="Times New Roman"/>
          <w:color w:val="auto"/>
        </w:rPr>
        <w:t>项目区周边敏感点分布图</w:t>
      </w:r>
    </w:p>
    <w:p>
      <w:pPr>
        <w:pStyle w:val="61"/>
        <w:snapToGrid w:val="0"/>
        <w:ind w:firstLine="480"/>
        <w:rPr>
          <w:rFonts w:cs="Times New Roman"/>
          <w:color w:val="auto"/>
        </w:rPr>
      </w:pPr>
      <w:r>
        <w:rPr>
          <w:rFonts w:cs="Times New Roman"/>
          <w:color w:val="auto"/>
        </w:rPr>
        <w:t>9.</w:t>
      </w:r>
      <w:r>
        <w:rPr>
          <w:rFonts w:hint="eastAsia" w:cs="Times New Roman"/>
          <w:color w:val="auto"/>
        </w:rPr>
        <w:t>项目区生态系统分布图</w:t>
      </w:r>
    </w:p>
    <w:p>
      <w:pPr>
        <w:pStyle w:val="61"/>
        <w:snapToGrid w:val="0"/>
        <w:ind w:firstLine="480"/>
        <w:rPr>
          <w:rFonts w:cs="Times New Roman"/>
          <w:color w:val="auto"/>
        </w:rPr>
      </w:pPr>
      <w:r>
        <w:rPr>
          <w:rFonts w:cs="Times New Roman"/>
          <w:color w:val="auto"/>
        </w:rPr>
        <w:t>10.</w:t>
      </w:r>
      <w:r>
        <w:rPr>
          <w:rFonts w:hint="eastAsia" w:cs="Times New Roman"/>
          <w:color w:val="auto"/>
        </w:rPr>
        <w:t>项目区植被类型图</w:t>
      </w:r>
    </w:p>
    <w:p>
      <w:pPr>
        <w:pStyle w:val="61"/>
        <w:snapToGrid w:val="0"/>
        <w:ind w:firstLine="480"/>
        <w:rPr>
          <w:rFonts w:cs="Times New Roman"/>
          <w:color w:val="auto"/>
        </w:rPr>
      </w:pPr>
      <w:r>
        <w:rPr>
          <w:rFonts w:cs="Times New Roman"/>
          <w:color w:val="auto"/>
        </w:rPr>
        <w:t>11.</w:t>
      </w:r>
      <w:r>
        <w:rPr>
          <w:rFonts w:hint="eastAsia" w:cs="Times New Roman"/>
          <w:color w:val="auto"/>
        </w:rPr>
        <w:t>项目区植被覆盖图</w:t>
      </w:r>
    </w:p>
    <w:p>
      <w:pPr>
        <w:pStyle w:val="61"/>
        <w:snapToGrid w:val="0"/>
        <w:ind w:firstLine="480"/>
        <w:rPr>
          <w:rFonts w:cs="Times New Roman"/>
          <w:color w:val="auto"/>
        </w:rPr>
      </w:pPr>
      <w:r>
        <w:rPr>
          <w:rFonts w:hint="eastAsia" w:cs="Times New Roman"/>
          <w:color w:val="auto"/>
        </w:rPr>
        <w:t>1</w:t>
      </w:r>
      <w:r>
        <w:rPr>
          <w:rFonts w:cs="Times New Roman"/>
          <w:color w:val="auto"/>
        </w:rPr>
        <w:t>2.</w:t>
      </w:r>
      <w:r>
        <w:rPr>
          <w:rFonts w:hint="eastAsia" w:cs="Times New Roman"/>
          <w:color w:val="auto"/>
        </w:rPr>
        <w:t>项目区土地利用类型图</w:t>
      </w:r>
    </w:p>
    <w:p>
      <w:pPr>
        <w:pStyle w:val="61"/>
        <w:snapToGrid w:val="0"/>
        <w:ind w:firstLine="480"/>
        <w:rPr>
          <w:rFonts w:cs="Times New Roman"/>
          <w:color w:val="auto"/>
        </w:rPr>
      </w:pPr>
      <w:r>
        <w:rPr>
          <w:rFonts w:hint="eastAsia" w:cs="Times New Roman"/>
          <w:color w:val="auto"/>
        </w:rPr>
        <w:t>1</w:t>
      </w:r>
      <w:r>
        <w:rPr>
          <w:rFonts w:cs="Times New Roman"/>
          <w:color w:val="auto"/>
        </w:rPr>
        <w:t>3</w:t>
      </w:r>
      <w:r>
        <w:rPr>
          <w:rFonts w:hint="eastAsia" w:cs="Times New Roman"/>
          <w:color w:val="auto"/>
        </w:rPr>
        <w:t>.</w:t>
      </w:r>
      <w:r>
        <w:rPr>
          <w:rFonts w:hint="eastAsia" w:cs="Times New Roman"/>
          <w:color w:val="auto"/>
          <w:lang w:val="en-US" w:eastAsia="zh-CN"/>
        </w:rPr>
        <w:t>土壤侵蚀</w:t>
      </w:r>
      <w:r>
        <w:rPr>
          <w:rFonts w:hint="eastAsia" w:cs="Times New Roman"/>
          <w:color w:val="auto"/>
        </w:rPr>
        <w:t>图</w:t>
      </w:r>
    </w:p>
    <w:p>
      <w:pPr>
        <w:pStyle w:val="61"/>
        <w:ind w:firstLine="0" w:firstLineChars="0"/>
        <w:rPr>
          <w:rFonts w:cs="Times New Roman"/>
          <w:color w:val="auto"/>
        </w:rPr>
      </w:pPr>
      <w:r>
        <w:rPr>
          <w:rFonts w:hint="eastAsia" w:cs="Times New Roman"/>
          <w:b/>
          <w:bCs/>
          <w:color w:val="auto"/>
        </w:rPr>
        <w:t>附件：</w:t>
      </w:r>
    </w:p>
    <w:p>
      <w:pPr>
        <w:pStyle w:val="61"/>
        <w:snapToGrid w:val="0"/>
        <w:ind w:firstLine="480"/>
        <w:rPr>
          <w:rFonts w:cs="Times New Roman"/>
          <w:color w:val="auto"/>
        </w:rPr>
      </w:pPr>
      <w:r>
        <w:rPr>
          <w:rFonts w:hint="eastAsia" w:cs="Times New Roman"/>
          <w:color w:val="auto"/>
        </w:rPr>
        <w:t>1</w:t>
      </w:r>
      <w:r>
        <w:rPr>
          <w:rFonts w:cs="Times New Roman"/>
          <w:color w:val="auto"/>
        </w:rPr>
        <w:t>.</w:t>
      </w:r>
      <w:r>
        <w:rPr>
          <w:rFonts w:hint="eastAsia" w:cs="Times New Roman"/>
          <w:color w:val="auto"/>
        </w:rPr>
        <w:t>建设项目环评委托书；</w:t>
      </w:r>
    </w:p>
    <w:p>
      <w:pPr>
        <w:pStyle w:val="61"/>
        <w:snapToGrid w:val="0"/>
        <w:ind w:firstLine="480"/>
        <w:rPr>
          <w:rFonts w:hint="eastAsia" w:cs="Times New Roman"/>
          <w:color w:val="auto"/>
        </w:rPr>
      </w:pPr>
      <w:r>
        <w:rPr>
          <w:rFonts w:hint="eastAsia" w:cs="Times New Roman"/>
          <w:color w:val="auto"/>
        </w:rPr>
        <w:t>2</w:t>
      </w:r>
      <w:r>
        <w:rPr>
          <w:rFonts w:cs="Times New Roman"/>
          <w:color w:val="auto"/>
        </w:rPr>
        <w:t>.</w:t>
      </w:r>
      <w:r>
        <w:rPr>
          <w:rFonts w:hint="eastAsia" w:cs="Times New Roman"/>
          <w:color w:val="auto"/>
          <w:lang w:val="en-US" w:eastAsia="zh-CN"/>
        </w:rPr>
        <w:t>岚皋县</w:t>
      </w:r>
      <w:r>
        <w:rPr>
          <w:rFonts w:hint="eastAsia" w:cs="Times New Roman"/>
          <w:color w:val="auto"/>
        </w:rPr>
        <w:t>发展和改革局《岚皋县岚河生态缓冲带保护修复项目</w:t>
      </w:r>
      <w:r>
        <w:rPr>
          <w:rFonts w:hint="eastAsia" w:cs="Times New Roman"/>
          <w:color w:val="auto"/>
          <w:lang w:val="en-US" w:eastAsia="zh-CN"/>
        </w:rPr>
        <w:t>可行性研究报告</w:t>
      </w:r>
      <w:r>
        <w:rPr>
          <w:rFonts w:hint="eastAsia" w:cs="Times New Roman"/>
          <w:color w:val="auto"/>
        </w:rPr>
        <w:t>的批复》（</w:t>
      </w:r>
      <w:r>
        <w:rPr>
          <w:rFonts w:hint="eastAsia" w:cs="Times New Roman"/>
          <w:color w:val="auto"/>
          <w:lang w:val="en-US" w:eastAsia="zh-CN"/>
        </w:rPr>
        <w:t>岚发改环资〔2022〕183号</w:t>
      </w:r>
      <w:r>
        <w:rPr>
          <w:rFonts w:hint="eastAsia" w:cs="Times New Roman"/>
          <w:color w:val="auto"/>
        </w:rPr>
        <w:t>）；</w:t>
      </w:r>
    </w:p>
    <w:p>
      <w:pPr>
        <w:pStyle w:val="61"/>
        <w:snapToGrid w:val="0"/>
        <w:ind w:firstLine="480"/>
        <w:rPr>
          <w:rFonts w:hint="eastAsia" w:eastAsia="宋体" w:cs="Times New Roman"/>
          <w:color w:val="auto"/>
          <w:lang w:val="en-US" w:eastAsia="zh-CN"/>
        </w:rPr>
      </w:pPr>
      <w:r>
        <w:rPr>
          <w:rFonts w:hint="eastAsia" w:cs="Times New Roman"/>
          <w:color w:val="auto"/>
          <w:lang w:val="en-US" w:eastAsia="zh-CN"/>
        </w:rPr>
        <w:t>3.安康市生态环境局</w:t>
      </w:r>
      <w:r>
        <w:rPr>
          <w:rFonts w:hint="eastAsia" w:cs="Times New Roman"/>
          <w:color w:val="auto"/>
        </w:rPr>
        <w:t>《</w:t>
      </w:r>
      <w:r>
        <w:rPr>
          <w:rFonts w:hint="eastAsia" w:cs="Times New Roman"/>
          <w:color w:val="auto"/>
          <w:lang w:val="en-US" w:eastAsia="zh-CN"/>
        </w:rPr>
        <w:t>关于下达2023年第一批中央水污染防治资金项目计划的通知</w:t>
      </w:r>
      <w:r>
        <w:rPr>
          <w:rFonts w:hint="eastAsia" w:cs="Times New Roman"/>
          <w:color w:val="auto"/>
        </w:rPr>
        <w:t>》</w:t>
      </w:r>
      <w:r>
        <w:rPr>
          <w:rFonts w:hint="eastAsia" w:cs="Times New Roman"/>
          <w:color w:val="auto"/>
          <w:lang w:eastAsia="zh-CN"/>
        </w:rPr>
        <w:t>；</w:t>
      </w:r>
    </w:p>
    <w:p>
      <w:pPr>
        <w:pStyle w:val="61"/>
        <w:snapToGrid w:val="0"/>
        <w:ind w:firstLine="480"/>
        <w:rPr>
          <w:rFonts w:cs="Times New Roman"/>
          <w:color w:val="auto"/>
        </w:rPr>
      </w:pPr>
      <w:r>
        <w:rPr>
          <w:rFonts w:hint="eastAsia" w:cs="Times New Roman"/>
          <w:color w:val="auto"/>
          <w:lang w:val="en-US" w:eastAsia="zh-CN"/>
        </w:rPr>
        <w:t>4</w:t>
      </w:r>
      <w:r>
        <w:rPr>
          <w:rFonts w:cs="Times New Roman"/>
          <w:color w:val="auto"/>
        </w:rPr>
        <w:t>.</w:t>
      </w:r>
      <w:r>
        <w:rPr>
          <w:rFonts w:hint="eastAsia" w:cs="Times New Roman"/>
          <w:color w:val="auto"/>
          <w:lang w:val="en-US" w:eastAsia="zh-CN"/>
        </w:rPr>
        <w:t>岚皋县</w:t>
      </w:r>
      <w:r>
        <w:rPr>
          <w:rFonts w:hint="eastAsia" w:cs="Times New Roman"/>
          <w:color w:val="auto"/>
        </w:rPr>
        <w:t>发展和改革局《安康市岚皋县岚河生态缓冲带保护修复项目（一期）初步设计的批复》（</w:t>
      </w:r>
      <w:r>
        <w:rPr>
          <w:rFonts w:hint="eastAsia" w:cs="Times New Roman"/>
          <w:color w:val="auto"/>
          <w:lang w:val="en-US" w:eastAsia="zh-CN"/>
        </w:rPr>
        <w:t>岚发改环资〔2023〕811号</w:t>
      </w:r>
      <w:r>
        <w:rPr>
          <w:rFonts w:hint="eastAsia" w:cs="Times New Roman"/>
          <w:color w:val="auto"/>
        </w:rPr>
        <w:t>）；</w:t>
      </w:r>
    </w:p>
    <w:p>
      <w:pPr>
        <w:pStyle w:val="61"/>
        <w:snapToGrid w:val="0"/>
        <w:ind w:firstLine="480"/>
        <w:rPr>
          <w:rFonts w:hint="eastAsia" w:cs="Times New Roman"/>
          <w:color w:val="auto"/>
          <w:lang w:val="en-US" w:eastAsia="zh-CN"/>
        </w:rPr>
      </w:pPr>
      <w:r>
        <w:rPr>
          <w:rFonts w:hint="eastAsia" w:cs="Times New Roman"/>
          <w:color w:val="auto"/>
          <w:lang w:val="en-US" w:eastAsia="zh-CN"/>
        </w:rPr>
        <w:t>5</w:t>
      </w:r>
      <w:r>
        <w:rPr>
          <w:rFonts w:cs="Times New Roman"/>
          <w:color w:val="auto"/>
        </w:rPr>
        <w:t>.</w:t>
      </w:r>
      <w:r>
        <w:rPr>
          <w:rFonts w:hint="eastAsia" w:cs="Times New Roman"/>
          <w:color w:val="auto"/>
        </w:rPr>
        <w:t>环境质量现状监测报告</w:t>
      </w:r>
      <w:r>
        <w:rPr>
          <w:rFonts w:hint="eastAsia" w:cs="Times New Roman"/>
          <w:color w:val="auto"/>
          <w:lang w:val="en-US" w:eastAsia="zh-CN"/>
        </w:rPr>
        <w:t>。</w:t>
      </w: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pStyle w:val="61"/>
        <w:snapToGrid w:val="0"/>
        <w:ind w:firstLine="480"/>
        <w:rPr>
          <w:rFonts w:hint="eastAsia" w:cs="Times New Roman"/>
          <w:color w:val="auto"/>
          <w:lang w:val="en-US" w:eastAsia="zh-CN"/>
        </w:rPr>
      </w:pPr>
    </w:p>
    <w:p>
      <w:pPr>
        <w:ind w:left="0" w:leftChars="0" w:firstLine="0" w:firstLineChars="0"/>
        <w:rPr>
          <w:rFonts w:hint="eastAsia" w:eastAsia="宋体" w:cs="Times New Roman"/>
          <w:b/>
          <w:color w:val="auto"/>
          <w:lang w:eastAsia="zh-CN"/>
        </w:rPr>
      </w:pPr>
    </w:p>
    <w:p>
      <w:pPr>
        <w:ind w:firstLine="482"/>
        <w:rPr>
          <w:rFonts w:cs="Times New Roman"/>
          <w:b/>
          <w:color w:val="auto"/>
        </w:rPr>
      </w:pPr>
    </w:p>
    <w:p>
      <w:pPr>
        <w:pStyle w:val="61"/>
        <w:ind w:firstLine="480"/>
        <w:rPr>
          <w:rFonts w:cs="Times New Roman"/>
          <w:color w:val="auto"/>
        </w:rPr>
        <w:sectPr>
          <w:headerReference r:id="rId11" w:type="default"/>
          <w:footerReference r:id="rId12" w:type="default"/>
          <w:pgSz w:w="11906" w:h="16838"/>
          <w:pgMar w:top="1418" w:right="1531" w:bottom="1418" w:left="1418" w:header="851" w:footer="851" w:gutter="0"/>
          <w:pgBorders>
            <w:top w:val="none" w:sz="0" w:space="0"/>
            <w:left w:val="none" w:sz="0" w:space="0"/>
            <w:bottom w:val="none" w:sz="0" w:space="0"/>
            <w:right w:val="none" w:sz="0" w:space="0"/>
          </w:pgBorders>
          <w:pgNumType w:start="1"/>
          <w:cols w:space="0" w:num="1"/>
          <w:docGrid w:linePitch="400" w:charSpace="103714"/>
        </w:sectPr>
      </w:pPr>
    </w:p>
    <w:p>
      <w:pPr>
        <w:pStyle w:val="2"/>
        <w:numPr>
          <w:ilvl w:val="0"/>
          <w:numId w:val="0"/>
        </w:numPr>
        <w:snapToGrid w:val="0"/>
        <w:ind w:left="429" w:hanging="428" w:hangingChars="134"/>
        <w:rPr>
          <w:rFonts w:cs="Times New Roman"/>
          <w:b w:val="0"/>
          <w:color w:val="auto"/>
        </w:rPr>
      </w:pPr>
      <w:bookmarkStart w:id="0" w:name="_Toc142388353"/>
      <w:r>
        <w:rPr>
          <w:rFonts w:cs="Times New Roman"/>
          <w:b w:val="0"/>
          <w:color w:val="auto"/>
        </w:rPr>
        <w:t>1概述</w:t>
      </w:r>
      <w:bookmarkEnd w:id="0"/>
    </w:p>
    <w:p>
      <w:pPr>
        <w:pStyle w:val="3"/>
        <w:numPr>
          <w:ilvl w:val="1"/>
          <w:numId w:val="0"/>
        </w:numPr>
        <w:ind w:firstLine="560" w:firstLineChars="200"/>
        <w:rPr>
          <w:rFonts w:cs="Times New Roman"/>
          <w:b w:val="0"/>
          <w:color w:val="auto"/>
        </w:rPr>
      </w:pPr>
      <w:bookmarkStart w:id="1" w:name="_Toc142388354"/>
      <w:r>
        <w:rPr>
          <w:rFonts w:cs="Times New Roman"/>
          <w:b w:val="0"/>
          <w:color w:val="auto"/>
        </w:rPr>
        <w:t>1.1项目由来</w:t>
      </w:r>
      <w:bookmarkEnd w:id="1"/>
    </w:p>
    <w:p>
      <w:pPr>
        <w:pStyle w:val="61"/>
        <w:snapToGrid w:val="0"/>
        <w:ind w:firstLine="480"/>
        <w:rPr>
          <w:rFonts w:hint="eastAsia" w:cs="Times New Roman"/>
          <w:color w:val="auto"/>
        </w:rPr>
      </w:pPr>
      <w:r>
        <w:rPr>
          <w:rFonts w:hint="eastAsia" w:cs="Times New Roman"/>
          <w:color w:val="auto"/>
        </w:rPr>
        <w:t>十三五以来，特别是近三年以来，岚河水质基本为Ⅱ类，岚河流域水环境质量总体良好，然而在人类活动和自然因素的双重因素胁迫下，岚河依然存在河流滨水空间受到侵占、面源污染较严重、水生态功能退化等水生态环境问题。岚河河滨缓冲带遭到破坏，两岸滩地目前部分为农田和荒滩，扰动频繁，河道自然缓冲带总量减少，其截污纳污、涵养水源的生态功能减弱。随着岚河流域沿线的城镇化建设发展，岚河流域水污染负荷也会增加，境内雨污混流口接纳污水量逐年增加，水质污染负荷不断增加，“十四五”期间岚河湘子坝国考断面稳定达到Ⅱ类水质目标存在一定的隐患，同时也会影响汉江干流水质达标。</w:t>
      </w:r>
    </w:p>
    <w:p>
      <w:pPr>
        <w:pStyle w:val="61"/>
        <w:snapToGrid w:val="0"/>
        <w:ind w:firstLine="480"/>
        <w:rPr>
          <w:rFonts w:cs="Times New Roman"/>
          <w:color w:val="auto"/>
        </w:rPr>
      </w:pPr>
      <w:r>
        <w:rPr>
          <w:rFonts w:hint="eastAsia" w:cs="Times New Roman"/>
          <w:color w:val="auto"/>
        </w:rPr>
        <w:t>根据对比安康市生态环境局岚皋分局2023年4月、6月、7月3次委托第三方专业检测公司针对岚河入汉江国考断面、岚河六口水文站省控断面的水质检测报告结果显示，3次检测结果COD、BOD、NH</w:t>
      </w:r>
      <w:r>
        <w:rPr>
          <w:rFonts w:hint="eastAsia" w:cs="Times New Roman"/>
          <w:color w:val="auto"/>
          <w:vertAlign w:val="subscript"/>
        </w:rPr>
        <w:t>3</w:t>
      </w:r>
      <w:r>
        <w:rPr>
          <w:rFonts w:hint="eastAsia" w:cs="Times New Roman"/>
          <w:color w:val="auto"/>
        </w:rPr>
        <w:t>-N、TP的浓度变化幅度均较大，同时各项数据均存在较接近《地表水环境质量标准》（GB3838-2002）Ⅱ类水标准限值的情况，显现了岚河流域的水质存在着潜在的超标风险、岚河沿岸的面源污染对岚河流域水质的潜在威胁，需要通过工程手段来对各种直接流入岚河面源污染物进行防治</w:t>
      </w:r>
      <w:r>
        <w:rPr>
          <w:rFonts w:cs="Times New Roman"/>
          <w:color w:val="auto"/>
        </w:rPr>
        <w:t>。</w:t>
      </w:r>
      <w:r>
        <w:rPr>
          <w:rFonts w:hint="eastAsia" w:cs="Times New Roman"/>
          <w:color w:val="auto"/>
        </w:rPr>
        <w:t>于是岚皋县政府启动了安康市岚皋县岚河生态缓冲带保护修复项目，由安康市生态环境局岚皋分局牵头实施。</w:t>
      </w:r>
    </w:p>
    <w:p>
      <w:pPr>
        <w:pStyle w:val="61"/>
        <w:snapToGrid w:val="0"/>
        <w:ind w:firstLine="480"/>
        <w:rPr>
          <w:rFonts w:hint="eastAsia" w:eastAsia="宋体" w:cs="Times New Roman"/>
          <w:color w:val="auto"/>
          <w:lang w:val="en-US" w:eastAsia="zh-CN"/>
        </w:rPr>
      </w:pPr>
      <w:r>
        <w:rPr>
          <w:rFonts w:hint="eastAsia" w:cs="Times New Roman"/>
          <w:color w:val="auto"/>
          <w:lang w:val="en-US" w:eastAsia="zh-CN"/>
        </w:rPr>
        <w:t>2022年3月24日.岚皋县发展和改革局印发《岚皋县岚河生态缓冲带保护修复项目可行性研究报告的批复》（岚发改环资〔2022〕183号），2023年8月16日安康市生态环境局印发</w:t>
      </w:r>
      <w:r>
        <w:rPr>
          <w:rFonts w:hint="eastAsia" w:cs="Times New Roman"/>
          <w:color w:val="auto"/>
        </w:rPr>
        <w:t>《</w:t>
      </w:r>
      <w:r>
        <w:rPr>
          <w:rFonts w:hint="eastAsia" w:cs="Times New Roman"/>
          <w:color w:val="auto"/>
          <w:lang w:val="en-US" w:eastAsia="zh-CN"/>
        </w:rPr>
        <w:t>关于下达2023年第一批中央水污染防治资金项目计划的通知</w:t>
      </w:r>
      <w:r>
        <w:rPr>
          <w:rFonts w:hint="eastAsia" w:cs="Times New Roman"/>
          <w:color w:val="auto"/>
        </w:rPr>
        <w:t>》</w:t>
      </w:r>
      <w:r>
        <w:rPr>
          <w:rFonts w:hint="eastAsia" w:cs="Times New Roman"/>
          <w:color w:val="auto"/>
          <w:lang w:eastAsia="zh-CN"/>
        </w:rPr>
        <w:t>，</w:t>
      </w:r>
      <w:r>
        <w:rPr>
          <w:rFonts w:hint="eastAsia" w:cs="Times New Roman"/>
          <w:color w:val="auto"/>
          <w:lang w:val="en-US" w:eastAsia="zh-CN"/>
        </w:rPr>
        <w:t>2023年11月22日岚皋县</w:t>
      </w:r>
      <w:r>
        <w:rPr>
          <w:rFonts w:hint="eastAsia" w:cs="Times New Roman"/>
          <w:color w:val="auto"/>
        </w:rPr>
        <w:t>发展和改革局</w:t>
      </w:r>
      <w:r>
        <w:rPr>
          <w:rFonts w:hint="eastAsia" w:cs="Times New Roman"/>
          <w:color w:val="auto"/>
          <w:lang w:val="en-US" w:eastAsia="zh-CN"/>
        </w:rPr>
        <w:t>印发</w:t>
      </w:r>
      <w:r>
        <w:rPr>
          <w:rFonts w:hint="eastAsia" w:cs="Times New Roman"/>
          <w:color w:val="auto"/>
        </w:rPr>
        <w:t>《安康市岚皋县岚河生态缓冲带保护修复项目（一期）初步设计的批复》（</w:t>
      </w:r>
      <w:r>
        <w:rPr>
          <w:rFonts w:hint="eastAsia" w:cs="Times New Roman"/>
          <w:color w:val="auto"/>
          <w:lang w:val="en-US" w:eastAsia="zh-CN"/>
        </w:rPr>
        <w:t>岚发改环资〔2023〕811号</w:t>
      </w:r>
      <w:r>
        <w:rPr>
          <w:rFonts w:hint="eastAsia" w:cs="Times New Roman"/>
          <w:color w:val="auto"/>
        </w:rPr>
        <w:t>）</w:t>
      </w:r>
      <w:r>
        <w:rPr>
          <w:rFonts w:hint="eastAsia" w:cs="Times New Roman"/>
          <w:color w:val="auto"/>
          <w:lang w:eastAsia="zh-CN"/>
        </w:rPr>
        <w:t>。</w:t>
      </w:r>
    </w:p>
    <w:p>
      <w:pPr>
        <w:pStyle w:val="61"/>
        <w:snapToGrid w:val="0"/>
        <w:ind w:firstLine="480"/>
        <w:rPr>
          <w:rFonts w:cs="Times New Roman"/>
          <w:color w:val="auto"/>
        </w:rPr>
      </w:pPr>
      <w:r>
        <w:rPr>
          <w:rFonts w:cs="Times New Roman"/>
          <w:color w:val="auto"/>
        </w:rPr>
        <w:t>根据《安康市岚皋县岚河生态缓冲带保护修复项目</w:t>
      </w:r>
      <w:r>
        <w:rPr>
          <w:rFonts w:hint="eastAsia" w:cs="Times New Roman"/>
          <w:color w:val="auto"/>
          <w:lang w:val="en-US" w:eastAsia="zh-CN"/>
        </w:rPr>
        <w:t>实施方案</w:t>
      </w:r>
      <w:r>
        <w:rPr>
          <w:rFonts w:cs="Times New Roman"/>
          <w:color w:val="auto"/>
        </w:rPr>
        <w:t>》</w:t>
      </w:r>
      <w:r>
        <w:rPr>
          <w:rFonts w:hint="eastAsia" w:cs="Times New Roman"/>
          <w:color w:val="auto"/>
        </w:rPr>
        <w:t>，项目建设地点位于岚皋县岚河流域河滩地，建设项目均位于河道管理范围内，涉及岚皋县佐龙镇、城关镇、蔺河镇、南宫山镇、孟石岭镇。项目实施新建生态缓冲带15.78hm</w:t>
      </w:r>
      <w:r>
        <w:rPr>
          <w:rFonts w:hint="eastAsia" w:cs="Times New Roman"/>
          <w:color w:val="auto"/>
          <w:vertAlign w:val="superscript"/>
        </w:rPr>
        <w:t>2</w:t>
      </w:r>
      <w:r>
        <w:rPr>
          <w:rFonts w:hint="eastAsia" w:cs="Times New Roman"/>
          <w:color w:val="auto"/>
        </w:rPr>
        <w:t>，新建沟渠湿地0.30hm</w:t>
      </w:r>
      <w:r>
        <w:rPr>
          <w:rFonts w:hint="eastAsia" w:cs="Times New Roman"/>
          <w:color w:val="auto"/>
          <w:vertAlign w:val="superscript"/>
        </w:rPr>
        <w:t>2</w:t>
      </w:r>
      <w:r>
        <w:rPr>
          <w:rFonts w:hint="eastAsia" w:cs="Times New Roman"/>
          <w:color w:val="auto"/>
        </w:rPr>
        <w:t>，新建河床渗滤湿地0.62hm</w:t>
      </w:r>
      <w:r>
        <w:rPr>
          <w:rFonts w:hint="eastAsia" w:cs="Times New Roman"/>
          <w:color w:val="auto"/>
          <w:vertAlign w:val="superscript"/>
        </w:rPr>
        <w:t>2</w:t>
      </w:r>
      <w:r>
        <w:rPr>
          <w:rFonts w:hint="eastAsia" w:cs="Times New Roman"/>
          <w:color w:val="auto"/>
        </w:rPr>
        <w:t>，新建河道湿地1.34hm</w:t>
      </w:r>
      <w:r>
        <w:rPr>
          <w:rFonts w:hint="eastAsia" w:cs="Times New Roman"/>
          <w:color w:val="auto"/>
          <w:vertAlign w:val="superscript"/>
        </w:rPr>
        <w:t>2</w:t>
      </w:r>
      <w:r>
        <w:rPr>
          <w:rFonts w:hint="eastAsia" w:cs="Times New Roman"/>
          <w:color w:val="auto"/>
        </w:rPr>
        <w:t>，新建生态护坡1.44hm</w:t>
      </w:r>
      <w:r>
        <w:rPr>
          <w:rFonts w:hint="eastAsia" w:cs="Times New Roman"/>
          <w:color w:val="auto"/>
          <w:vertAlign w:val="superscript"/>
        </w:rPr>
        <w:t>2</w:t>
      </w:r>
      <w:r>
        <w:rPr>
          <w:rFonts w:hint="eastAsia" w:cs="Times New Roman"/>
          <w:color w:val="auto"/>
        </w:rPr>
        <w:t>，现状河堤加高250.81m，太阳能复氧曝气机15台。</w:t>
      </w:r>
    </w:p>
    <w:p>
      <w:pPr>
        <w:pStyle w:val="3"/>
        <w:numPr>
          <w:ilvl w:val="1"/>
          <w:numId w:val="0"/>
        </w:numPr>
        <w:ind w:firstLine="560" w:firstLineChars="200"/>
        <w:rPr>
          <w:rFonts w:cs="Times New Roman"/>
          <w:b w:val="0"/>
          <w:color w:val="auto"/>
        </w:rPr>
      </w:pPr>
      <w:bookmarkStart w:id="2" w:name="_Toc142388355"/>
      <w:r>
        <w:rPr>
          <w:rFonts w:cs="Times New Roman"/>
          <w:b w:val="0"/>
          <w:color w:val="auto"/>
        </w:rPr>
        <w:t>1.2项目特点</w:t>
      </w:r>
      <w:bookmarkEnd w:id="2"/>
    </w:p>
    <w:p>
      <w:pPr>
        <w:pStyle w:val="61"/>
        <w:snapToGrid w:val="0"/>
        <w:ind w:firstLine="480"/>
        <w:rPr>
          <w:rFonts w:cs="Times New Roman"/>
          <w:color w:val="auto"/>
        </w:rPr>
      </w:pPr>
      <w:r>
        <w:rPr>
          <w:rFonts w:cs="Times New Roman"/>
          <w:color w:val="auto"/>
        </w:rPr>
        <w:t>本项目为新建项目，为《国民经济行业分类》（GB/T4754-2017）中的E4822河湖治理及防洪设施工程建筑。本项目属于生态效益为主、兼顾一定的社会效益公益性工程，并不以盈利为目的。主要特点如下：</w:t>
      </w:r>
    </w:p>
    <w:p>
      <w:pPr>
        <w:pStyle w:val="61"/>
        <w:snapToGrid w:val="0"/>
        <w:ind w:firstLine="480"/>
        <w:rPr>
          <w:rFonts w:cs="Times New Roman"/>
          <w:color w:val="auto"/>
        </w:rPr>
      </w:pPr>
      <w:r>
        <w:rPr>
          <w:rFonts w:cs="Times New Roman"/>
          <w:color w:val="auto"/>
        </w:rPr>
        <w:t>（1）项目建设内容包括</w:t>
      </w:r>
      <w:r>
        <w:rPr>
          <w:rFonts w:hint="eastAsia" w:cs="Times New Roman"/>
          <w:color w:val="auto"/>
        </w:rPr>
        <w:t>生态缓冲带</w:t>
      </w:r>
      <w:r>
        <w:rPr>
          <w:rFonts w:hint="eastAsia" w:cs="Times New Roman"/>
          <w:color w:val="auto"/>
          <w:lang w:eastAsia="zh-CN"/>
        </w:rPr>
        <w:t>、</w:t>
      </w:r>
      <w:r>
        <w:rPr>
          <w:rFonts w:hint="eastAsia" w:cs="Times New Roman"/>
          <w:color w:val="auto"/>
        </w:rPr>
        <w:t>新建沟渠湿地</w:t>
      </w:r>
      <w:r>
        <w:rPr>
          <w:rFonts w:hint="eastAsia" w:cs="Times New Roman"/>
          <w:color w:val="auto"/>
          <w:lang w:eastAsia="zh-CN"/>
        </w:rPr>
        <w:t>、</w:t>
      </w:r>
      <w:r>
        <w:rPr>
          <w:rFonts w:hint="eastAsia" w:cs="Times New Roman"/>
          <w:color w:val="auto"/>
        </w:rPr>
        <w:t>新建河床渗滤湿地</w:t>
      </w:r>
      <w:r>
        <w:rPr>
          <w:rFonts w:hint="eastAsia" w:cs="Times New Roman"/>
          <w:color w:val="auto"/>
          <w:lang w:eastAsia="zh-CN"/>
        </w:rPr>
        <w:t>、</w:t>
      </w:r>
      <w:r>
        <w:rPr>
          <w:rFonts w:hint="eastAsia" w:cs="Times New Roman"/>
          <w:color w:val="auto"/>
        </w:rPr>
        <w:t>新建河道湿地</w:t>
      </w:r>
      <w:r>
        <w:rPr>
          <w:rFonts w:cs="Times New Roman"/>
          <w:color w:val="auto"/>
        </w:rPr>
        <w:t>。本项目属于河道治理工程，非工业污染型建设项目。项目实施后有利于河道行洪及生态环境的改善。</w:t>
      </w:r>
    </w:p>
    <w:p>
      <w:pPr>
        <w:pStyle w:val="61"/>
        <w:snapToGrid w:val="0"/>
        <w:ind w:firstLine="480"/>
        <w:rPr>
          <w:rFonts w:cs="Times New Roman"/>
          <w:color w:val="auto"/>
        </w:rPr>
      </w:pPr>
      <w:r>
        <w:rPr>
          <w:rFonts w:cs="Times New Roman"/>
          <w:color w:val="auto"/>
        </w:rPr>
        <w:t>（2）本工程为非污染生态类水利项目，沿线不涉及自然保护区、风景名胜区等</w:t>
      </w:r>
      <w:r>
        <w:rPr>
          <w:rFonts w:hint="eastAsia" w:cs="Times New Roman"/>
          <w:color w:val="auto"/>
        </w:rPr>
        <w:t>，涉及</w:t>
      </w:r>
      <w:r>
        <w:rPr>
          <w:rFonts w:hint="eastAsia" w:cs="Times New Roman"/>
          <w:color w:val="auto"/>
          <w:lang w:val="en-US" w:eastAsia="zh-CN"/>
        </w:rPr>
        <w:t>岚河湿地</w:t>
      </w:r>
      <w:r>
        <w:rPr>
          <w:rFonts w:hint="eastAsia" w:cs="Times New Roman"/>
          <w:color w:val="auto"/>
        </w:rPr>
        <w:t>，</w:t>
      </w:r>
      <w:r>
        <w:rPr>
          <w:rFonts w:cs="Times New Roman"/>
          <w:color w:val="auto"/>
        </w:rPr>
        <w:t>项目关注的重点环境问题是施工期对项目所在地的生态环境、大气环境、水环境、声环境</w:t>
      </w:r>
      <w:r>
        <w:rPr>
          <w:rFonts w:hint="eastAsia" w:cs="Times New Roman"/>
          <w:color w:val="auto"/>
        </w:rPr>
        <w:t>以及</w:t>
      </w:r>
      <w:r>
        <w:rPr>
          <w:rFonts w:hint="eastAsia" w:cs="Times New Roman"/>
          <w:color w:val="auto"/>
          <w:lang w:val="en-US" w:eastAsia="zh-CN"/>
        </w:rPr>
        <w:t>岚河湿地</w:t>
      </w:r>
      <w:r>
        <w:rPr>
          <w:rFonts w:cs="Times New Roman"/>
          <w:color w:val="auto"/>
        </w:rPr>
        <w:t>等产生的影响。</w:t>
      </w:r>
    </w:p>
    <w:p>
      <w:pPr>
        <w:pStyle w:val="3"/>
        <w:numPr>
          <w:ilvl w:val="1"/>
          <w:numId w:val="0"/>
        </w:numPr>
        <w:ind w:firstLine="560" w:firstLineChars="200"/>
        <w:rPr>
          <w:rFonts w:cs="Times New Roman"/>
          <w:b w:val="0"/>
          <w:color w:val="auto"/>
        </w:rPr>
      </w:pPr>
      <w:bookmarkStart w:id="3" w:name="_Toc142388356"/>
      <w:r>
        <w:rPr>
          <w:rFonts w:cs="Times New Roman"/>
          <w:b w:val="0"/>
          <w:color w:val="auto"/>
        </w:rPr>
        <w:t>1.3环境影响评价的工作过程</w:t>
      </w:r>
      <w:bookmarkEnd w:id="3"/>
    </w:p>
    <w:p>
      <w:pPr>
        <w:pStyle w:val="61"/>
        <w:snapToGrid w:val="0"/>
        <w:ind w:firstLine="480"/>
        <w:rPr>
          <w:rFonts w:cs="Times New Roman"/>
          <w:color w:val="auto"/>
        </w:rPr>
      </w:pPr>
      <w:r>
        <w:rPr>
          <w:rFonts w:cs="Times New Roman"/>
          <w:color w:val="auto"/>
        </w:rPr>
        <w:t>依据《中华人民共和国环境保护法》《中华人民共和国环境影响评价法》以及《建设项目环境影响评价分类管理名录》（2021年版），本工程属于“五十一、水利128.河湖整治（不含农村塘堰、水渠）”，</w:t>
      </w:r>
      <w:r>
        <w:rPr>
          <w:rFonts w:hint="eastAsia" w:cs="Times New Roman"/>
          <w:color w:val="auto"/>
        </w:rPr>
        <w:t>其中</w:t>
      </w:r>
      <w:r>
        <w:rPr>
          <w:rFonts w:hint="eastAsia" w:cs="Times New Roman"/>
          <w:color w:val="auto"/>
          <w:lang w:val="en-US" w:eastAsia="zh-CN"/>
        </w:rPr>
        <w:t>岚河</w:t>
      </w:r>
      <w:r>
        <w:rPr>
          <w:rFonts w:hint="eastAsia" w:cs="Times New Roman"/>
          <w:color w:val="auto"/>
        </w:rPr>
        <w:t>流域工程影响范围</w:t>
      </w:r>
      <w:r>
        <w:rPr>
          <w:rFonts w:cs="Times New Roman"/>
          <w:color w:val="auto"/>
        </w:rPr>
        <w:t>涉及环境敏感区“重要湿地”，需编制环境影响报告书。</w:t>
      </w:r>
    </w:p>
    <w:p>
      <w:pPr>
        <w:pStyle w:val="61"/>
        <w:snapToGrid w:val="0"/>
        <w:ind w:firstLine="480"/>
        <w:rPr>
          <w:rFonts w:cs="Times New Roman"/>
          <w:color w:val="auto"/>
        </w:rPr>
      </w:pPr>
      <w:r>
        <w:rPr>
          <w:rFonts w:cs="Times New Roman"/>
          <w:color w:val="auto"/>
        </w:rPr>
        <w:t>2023年</w:t>
      </w:r>
      <w:r>
        <w:rPr>
          <w:rFonts w:hint="eastAsia" w:cs="Times New Roman"/>
          <w:color w:val="auto"/>
          <w:lang w:val="en-US" w:eastAsia="zh-CN"/>
        </w:rPr>
        <w:t>11</w:t>
      </w:r>
      <w:r>
        <w:rPr>
          <w:rFonts w:cs="Times New Roman"/>
          <w:color w:val="auto"/>
        </w:rPr>
        <w:t>月，</w:t>
      </w:r>
      <w:r>
        <w:rPr>
          <w:rFonts w:hint="eastAsia" w:cs="Times New Roman"/>
          <w:color w:val="auto"/>
          <w:lang w:val="en-US" w:eastAsia="zh-CN"/>
        </w:rPr>
        <w:t>安康市生态环境局岚皋分局</w:t>
      </w:r>
      <w:r>
        <w:rPr>
          <w:rFonts w:cs="Times New Roman"/>
          <w:color w:val="auto"/>
        </w:rPr>
        <w:t>委托安康市环境工程设计有限公司承担本项目的环境影响评价工作。</w:t>
      </w:r>
      <w:r>
        <w:rPr>
          <w:rFonts w:hint="eastAsia" w:cs="Times New Roman"/>
          <w:color w:val="auto"/>
        </w:rPr>
        <w:t>我公司接受委托后织相关技术人员开展现场踏勘、资料收集等工作。环评技术人员根据相关环境影响评价技术导则，结合本项目特点及工程区环境状况，与环境监测等单位合作，于</w:t>
      </w:r>
      <w:r>
        <w:rPr>
          <w:rFonts w:cs="Times New Roman"/>
          <w:color w:val="auto"/>
        </w:rPr>
        <w:t>2023</w:t>
      </w:r>
      <w:r>
        <w:rPr>
          <w:rFonts w:hint="eastAsia" w:cs="Times New Roman"/>
          <w:color w:val="auto"/>
        </w:rPr>
        <w:t>年</w:t>
      </w:r>
      <w:r>
        <w:rPr>
          <w:rFonts w:hint="eastAsia" w:cs="Times New Roman"/>
          <w:color w:val="auto"/>
          <w:lang w:val="en-US" w:eastAsia="zh-CN"/>
        </w:rPr>
        <w:t>12</w:t>
      </w:r>
      <w:r>
        <w:rPr>
          <w:rFonts w:hint="eastAsia" w:cs="Times New Roman"/>
          <w:color w:val="auto"/>
        </w:rPr>
        <w:t>月编制完成《安康市岚皋县岚河生态缓冲带保护修复项目环境影响报告书（送审版）》，供建设单位上报审批。</w:t>
      </w:r>
    </w:p>
    <w:p>
      <w:pPr>
        <w:pStyle w:val="3"/>
        <w:numPr>
          <w:ilvl w:val="1"/>
          <w:numId w:val="0"/>
        </w:numPr>
        <w:ind w:firstLine="560" w:firstLineChars="200"/>
        <w:rPr>
          <w:rFonts w:cs="Times New Roman"/>
          <w:b w:val="0"/>
          <w:color w:val="auto"/>
        </w:rPr>
      </w:pPr>
      <w:bookmarkStart w:id="4" w:name="_Toc142388357"/>
      <w:r>
        <w:rPr>
          <w:rFonts w:cs="Times New Roman"/>
          <w:b w:val="0"/>
          <w:color w:val="auto"/>
        </w:rPr>
        <w:t>1.4分析判定相关情况</w:t>
      </w:r>
      <w:bookmarkEnd w:id="4"/>
    </w:p>
    <w:p>
      <w:pPr>
        <w:pStyle w:val="4"/>
        <w:numPr>
          <w:ilvl w:val="2"/>
          <w:numId w:val="0"/>
        </w:numPr>
        <w:snapToGrid w:val="0"/>
        <w:ind w:firstLine="480" w:firstLineChars="200"/>
        <w:rPr>
          <w:rFonts w:cs="Times New Roman"/>
          <w:color w:val="auto"/>
        </w:rPr>
      </w:pPr>
      <w:r>
        <w:rPr>
          <w:rFonts w:cs="Times New Roman"/>
          <w:color w:val="auto"/>
        </w:rPr>
        <w:t>1.4.1产业政策分析</w:t>
      </w:r>
    </w:p>
    <w:p>
      <w:pPr>
        <w:pStyle w:val="61"/>
        <w:snapToGrid w:val="0"/>
        <w:ind w:firstLine="480"/>
        <w:rPr>
          <w:rFonts w:cs="Times New Roman"/>
          <w:color w:val="auto"/>
        </w:rPr>
      </w:pPr>
      <w:r>
        <w:rPr>
          <w:rFonts w:cs="Times New Roman"/>
          <w:color w:val="auto"/>
        </w:rPr>
        <w:t>本项目为安康市岚皋县岚河生态缓冲带保护修复项目，根据《国民经济行业分类》（GB/T4754-2017）项目行业代码为“E4822河湖治理及防洪设施工程建筑”；</w:t>
      </w:r>
      <w:r>
        <w:rPr>
          <w:rFonts w:cs="Times New Roman"/>
          <w:color w:val="auto"/>
          <w:lang w:val="en-GB"/>
        </w:rPr>
        <w:t>根据</w:t>
      </w:r>
      <w:r>
        <w:rPr>
          <w:rFonts w:cs="Times New Roman"/>
          <w:color w:val="auto"/>
        </w:rPr>
        <w:t>《产业结构调整指导目录》</w:t>
      </w:r>
      <w:r>
        <w:rPr>
          <w:rFonts w:cs="Times New Roman"/>
          <w:color w:val="auto"/>
          <w:lang w:val="en-GB"/>
        </w:rPr>
        <w:t>（201</w:t>
      </w:r>
      <w:r>
        <w:rPr>
          <w:rFonts w:cs="Times New Roman"/>
          <w:color w:val="auto"/>
        </w:rPr>
        <w:t>9</w:t>
      </w:r>
      <w:r>
        <w:rPr>
          <w:rFonts w:cs="Times New Roman"/>
          <w:color w:val="auto"/>
          <w:lang w:val="en-GB"/>
        </w:rPr>
        <w:t>年本）</w:t>
      </w:r>
      <w:r>
        <w:rPr>
          <w:rFonts w:cs="Times New Roman"/>
          <w:color w:val="auto"/>
        </w:rPr>
        <w:t>（中华人民共和国国家发展和改革委员会令第29号）</w:t>
      </w:r>
      <w:r>
        <w:rPr>
          <w:rFonts w:cs="Times New Roman"/>
          <w:color w:val="auto"/>
          <w:lang w:val="en-GB"/>
        </w:rPr>
        <w:t>本项目</w:t>
      </w:r>
      <w:r>
        <w:rPr>
          <w:rFonts w:cs="Times New Roman"/>
          <w:color w:val="auto"/>
        </w:rPr>
        <w:t>属于</w:t>
      </w:r>
      <w:r>
        <w:rPr>
          <w:rFonts w:cs="Times New Roman"/>
          <w:color w:val="auto"/>
          <w:lang w:val="en-GB"/>
        </w:rPr>
        <w:t>“第一类 鼓励类”中的“二、水利”、“1、江河湖海堤防建设及河道治理工程”项目，属鼓励类项目</w:t>
      </w:r>
      <w:r>
        <w:rPr>
          <w:rFonts w:cs="Times New Roman"/>
          <w:color w:val="auto"/>
        </w:rPr>
        <w:t>。</w:t>
      </w:r>
      <w:r>
        <w:rPr>
          <w:rFonts w:cs="Times New Roman"/>
          <w:color w:val="auto"/>
        </w:rPr>
        <w:t>本项目于</w:t>
      </w:r>
      <w:r>
        <w:rPr>
          <w:rFonts w:hint="eastAsia" w:cs="Times New Roman"/>
          <w:color w:val="auto"/>
          <w:lang w:val="en-US" w:eastAsia="zh-CN"/>
        </w:rPr>
        <w:t>2022年3月24日取得岚皋县发展和改革局《岚皋县岚河生态缓冲带保护修复项目可行性研究报告的批复》（岚发改环资〔2022〕183号），2023年11月22日取得岚皋县</w:t>
      </w:r>
      <w:r>
        <w:rPr>
          <w:rFonts w:hint="eastAsia" w:cs="Times New Roman"/>
          <w:color w:val="auto"/>
        </w:rPr>
        <w:t>发展和改革局《安康市岚皋县岚河生态缓冲带保护修复项目（一期）初步设计的批复》（</w:t>
      </w:r>
      <w:r>
        <w:rPr>
          <w:rFonts w:hint="eastAsia" w:cs="Times New Roman"/>
          <w:color w:val="auto"/>
          <w:lang w:val="en-US" w:eastAsia="zh-CN"/>
        </w:rPr>
        <w:t>岚发改环资〔2023〕811号</w:t>
      </w:r>
      <w:r>
        <w:rPr>
          <w:rFonts w:hint="eastAsia" w:cs="Times New Roman"/>
          <w:color w:val="auto"/>
        </w:rPr>
        <w:t>）</w:t>
      </w:r>
      <w:r>
        <w:rPr>
          <w:rFonts w:cs="Times New Roman"/>
          <w:color w:val="auto"/>
        </w:rPr>
        <w:t>。因此，本工程符合国家产业政策。</w:t>
      </w:r>
    </w:p>
    <w:p>
      <w:pPr>
        <w:pStyle w:val="4"/>
        <w:numPr>
          <w:ilvl w:val="2"/>
          <w:numId w:val="0"/>
        </w:numPr>
        <w:snapToGrid w:val="0"/>
        <w:ind w:firstLine="480" w:firstLineChars="200"/>
        <w:rPr>
          <w:rFonts w:cs="Times New Roman"/>
          <w:color w:val="auto"/>
        </w:rPr>
      </w:pPr>
      <w:r>
        <w:rPr>
          <w:rFonts w:cs="Times New Roman"/>
          <w:color w:val="auto"/>
        </w:rPr>
        <w:t>1.4.2“三线一单”符合性分析</w:t>
      </w:r>
    </w:p>
    <w:p>
      <w:pPr>
        <w:snapToGrid w:val="0"/>
        <w:ind w:firstLine="480"/>
        <w:rPr>
          <w:rFonts w:cs="Times New Roman"/>
          <w:color w:val="auto"/>
          <w:kern w:val="44"/>
        </w:rPr>
      </w:pPr>
      <w:r>
        <w:rPr>
          <w:rFonts w:hint="eastAsia" w:cs="Times New Roman"/>
          <w:color w:val="auto"/>
          <w:kern w:val="44"/>
        </w:rPr>
        <w:t>（1）与“三线一单”符合性分析</w:t>
      </w:r>
    </w:p>
    <w:p>
      <w:pPr>
        <w:autoSpaceDE w:val="0"/>
        <w:autoSpaceDN w:val="0"/>
        <w:snapToGrid w:val="0"/>
        <w:ind w:firstLine="480"/>
        <w:rPr>
          <w:color w:val="auto"/>
          <w:kern w:val="0"/>
        </w:rPr>
      </w:pPr>
      <w:bookmarkStart w:id="5" w:name="_Toc5339"/>
      <w:r>
        <w:rPr>
          <w:color w:val="auto"/>
          <w:kern w:val="0"/>
        </w:rPr>
        <w:t>项目</w:t>
      </w:r>
      <w:r>
        <w:rPr>
          <w:rFonts w:hint="eastAsia"/>
          <w:color w:val="auto"/>
          <w:kern w:val="0"/>
        </w:rPr>
        <w:t>“</w:t>
      </w:r>
      <w:r>
        <w:rPr>
          <w:color w:val="auto"/>
          <w:kern w:val="0"/>
        </w:rPr>
        <w:t>三线一单</w:t>
      </w:r>
      <w:r>
        <w:rPr>
          <w:rFonts w:hint="eastAsia"/>
          <w:color w:val="auto"/>
          <w:kern w:val="0"/>
        </w:rPr>
        <w:t>”</w:t>
      </w:r>
      <w:r>
        <w:rPr>
          <w:color w:val="auto"/>
          <w:kern w:val="0"/>
        </w:rPr>
        <w:t>符合性分析见表</w:t>
      </w:r>
      <w:r>
        <w:rPr>
          <w:rFonts w:hint="eastAsia"/>
          <w:color w:val="auto"/>
          <w:kern w:val="0"/>
        </w:rPr>
        <w:t>1</w:t>
      </w:r>
      <w:r>
        <w:rPr>
          <w:color w:val="auto"/>
          <w:kern w:val="0"/>
        </w:rPr>
        <w:t>.4</w:t>
      </w:r>
      <w:r>
        <w:rPr>
          <w:rFonts w:hint="eastAsia"/>
          <w:color w:val="auto"/>
          <w:kern w:val="0"/>
        </w:rPr>
        <w:t>-</w:t>
      </w:r>
      <w:r>
        <w:rPr>
          <w:color w:val="auto"/>
          <w:kern w:val="0"/>
        </w:rPr>
        <w:t>1。</w:t>
      </w:r>
      <w:bookmarkEnd w:id="5"/>
    </w:p>
    <w:p>
      <w:pPr>
        <w:overflowPunct w:val="0"/>
        <w:adjustRightInd w:val="0"/>
        <w:snapToGrid w:val="0"/>
        <w:spacing w:before="200" w:beforeLines="50" w:line="240" w:lineRule="auto"/>
        <w:ind w:firstLine="482"/>
        <w:jc w:val="center"/>
        <w:rPr>
          <w:rFonts w:cs="Times New Roman"/>
          <w:b/>
          <w:color w:val="auto"/>
          <w:kern w:val="0"/>
        </w:rPr>
      </w:pPr>
      <w:r>
        <w:rPr>
          <w:rFonts w:cs="Times New Roman"/>
          <w:b/>
          <w:color w:val="auto"/>
          <w:kern w:val="0"/>
        </w:rPr>
        <w:t>表1.4-1  项目与“三线一单”的相符性分析表</w:t>
      </w:r>
    </w:p>
    <w:tbl>
      <w:tblPr>
        <w:tblStyle w:val="42"/>
        <w:tblW w:w="517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60"/>
        <w:gridCol w:w="415"/>
        <w:gridCol w:w="4852"/>
        <w:gridCol w:w="2576"/>
        <w:gridCol w:w="7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blHeader/>
          <w:jc w:val="center"/>
        </w:trPr>
        <w:tc>
          <w:tcPr>
            <w:tcW w:w="405" w:type="pct"/>
            <w:tcBorders>
              <w:top w:val="single" w:color="000000" w:sz="12" w:space="0"/>
              <w:bottom w:val="single" w:color="000000" w:sz="12" w:space="0"/>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center"/>
              <w:rPr>
                <w:rFonts w:cs="Times New Roman"/>
                <w:b/>
                <w:bCs/>
                <w:color w:val="auto"/>
                <w:sz w:val="21"/>
                <w:szCs w:val="21"/>
                <w:lang w:bidi="en-US"/>
              </w:rPr>
            </w:pPr>
            <w:r>
              <w:rPr>
                <w:rFonts w:cs="Times New Roman"/>
                <w:b/>
                <w:bCs/>
                <w:color w:val="auto"/>
                <w:sz w:val="21"/>
                <w:szCs w:val="21"/>
                <w:lang w:bidi="en-US"/>
              </w:rPr>
              <w:t>名称</w:t>
            </w:r>
          </w:p>
        </w:tc>
        <w:tc>
          <w:tcPr>
            <w:tcW w:w="2805" w:type="pct"/>
            <w:gridSpan w:val="2"/>
            <w:tcBorders>
              <w:top w:val="single" w:color="000000" w:sz="12" w:space="0"/>
              <w:bottom w:val="single" w:color="000000" w:sz="12" w:space="0"/>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center"/>
              <w:rPr>
                <w:rFonts w:cs="Times New Roman"/>
                <w:b/>
                <w:bCs/>
                <w:color w:val="auto"/>
                <w:sz w:val="21"/>
                <w:szCs w:val="21"/>
                <w:lang w:bidi="en-US"/>
              </w:rPr>
            </w:pPr>
            <w:r>
              <w:rPr>
                <w:rFonts w:cs="Times New Roman"/>
                <w:b/>
                <w:bCs/>
                <w:color w:val="auto"/>
                <w:sz w:val="21"/>
                <w:szCs w:val="21"/>
                <w:lang w:bidi="en-US"/>
              </w:rPr>
              <w:t>要求</w:t>
            </w:r>
          </w:p>
        </w:tc>
        <w:tc>
          <w:tcPr>
            <w:tcW w:w="1372" w:type="pct"/>
            <w:tcBorders>
              <w:top w:val="single" w:color="000000" w:sz="12" w:space="0"/>
              <w:bottom w:val="single" w:color="000000" w:sz="12" w:space="0"/>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center"/>
              <w:rPr>
                <w:rFonts w:cs="Times New Roman"/>
                <w:b/>
                <w:bCs/>
                <w:color w:val="auto"/>
                <w:sz w:val="21"/>
                <w:szCs w:val="21"/>
                <w:lang w:bidi="en-US"/>
              </w:rPr>
            </w:pPr>
            <w:r>
              <w:rPr>
                <w:rFonts w:cs="Times New Roman"/>
                <w:b/>
                <w:bCs/>
                <w:color w:val="auto"/>
                <w:sz w:val="21"/>
                <w:szCs w:val="21"/>
                <w:lang w:bidi="en-US"/>
              </w:rPr>
              <w:t>本项目情况</w:t>
            </w:r>
          </w:p>
        </w:tc>
        <w:tc>
          <w:tcPr>
            <w:tcW w:w="418" w:type="pct"/>
            <w:tcBorders>
              <w:top w:val="single" w:color="000000" w:sz="12" w:space="0"/>
              <w:bottom w:val="single" w:color="000000" w:sz="12" w:space="0"/>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center"/>
              <w:rPr>
                <w:rFonts w:cs="Times New Roman"/>
                <w:b/>
                <w:bCs/>
                <w:color w:val="auto"/>
                <w:sz w:val="21"/>
                <w:szCs w:val="21"/>
                <w:lang w:bidi="en-US"/>
              </w:rPr>
            </w:pPr>
            <w:r>
              <w:rPr>
                <w:rFonts w:cs="Times New Roman"/>
                <w:b/>
                <w:bCs/>
                <w:color w:val="auto"/>
                <w:sz w:val="21"/>
                <w:szCs w:val="21"/>
                <w:lang w:bidi="en-US"/>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05" w:type="pct"/>
            <w:vMerge w:val="restart"/>
            <w:tcBorders>
              <w:top w:val="single" w:color="000000" w:sz="6" w:space="0"/>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hint="eastAsia" w:cs="Times New Roman"/>
                <w:b/>
                <w:bCs/>
                <w:color w:val="auto"/>
                <w:sz w:val="21"/>
                <w:szCs w:val="21"/>
              </w:rPr>
              <w:t>“</w:t>
            </w:r>
            <w:r>
              <w:rPr>
                <w:rFonts w:cs="Times New Roman"/>
                <w:b/>
                <w:bCs/>
                <w:color w:val="auto"/>
                <w:sz w:val="21"/>
                <w:szCs w:val="21"/>
              </w:rPr>
              <w:t>三线</w:t>
            </w:r>
          </w:p>
          <w:p>
            <w:pPr>
              <w:widowControl/>
              <w:topLinePunct/>
              <w:adjustRightInd w:val="0"/>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一单</w:t>
            </w:r>
            <w:r>
              <w:rPr>
                <w:rFonts w:hint="eastAsia" w:cs="Times New Roman"/>
                <w:b/>
                <w:bCs/>
                <w:color w:val="auto"/>
                <w:sz w:val="21"/>
                <w:szCs w:val="21"/>
              </w:rPr>
              <w:t>”</w:t>
            </w:r>
          </w:p>
          <w:p>
            <w:pPr>
              <w:widowControl/>
              <w:topLinePunct/>
              <w:adjustRightInd w:val="0"/>
              <w:snapToGrid w:val="0"/>
              <w:spacing w:line="240" w:lineRule="atLeast"/>
              <w:ind w:firstLine="0" w:firstLineChars="0"/>
              <w:jc w:val="center"/>
              <w:rPr>
                <w:rFonts w:cs="Times New Roman"/>
                <w:b/>
                <w:bCs/>
                <w:color w:val="auto"/>
                <w:sz w:val="21"/>
                <w:szCs w:val="21"/>
              </w:rPr>
            </w:pPr>
          </w:p>
        </w:tc>
        <w:tc>
          <w:tcPr>
            <w:tcW w:w="221" w:type="pct"/>
            <w:tcBorders>
              <w:top w:val="single" w:color="000000" w:sz="6" w:space="0"/>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生态保护红线</w:t>
            </w:r>
          </w:p>
        </w:tc>
        <w:tc>
          <w:tcPr>
            <w:tcW w:w="2584" w:type="pct"/>
            <w:tcBorders>
              <w:top w:val="single" w:color="000000" w:sz="6" w:space="0"/>
            </w:tcBorders>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cs="Times New Roman"/>
                <w:color w:val="auto"/>
                <w:sz w:val="21"/>
                <w:szCs w:val="21"/>
              </w:rPr>
              <w:t>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372" w:type="pct"/>
            <w:tcBorders>
              <w:top w:val="single" w:color="000000" w:sz="6" w:space="0"/>
            </w:tcBorders>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cs="Times New Roman"/>
                <w:color w:val="auto"/>
                <w:sz w:val="21"/>
                <w:szCs w:val="21"/>
              </w:rPr>
              <w:t>本项目的</w:t>
            </w:r>
            <w:r>
              <w:rPr>
                <w:rFonts w:hint="eastAsia" w:cs="Times New Roman"/>
                <w:color w:val="auto"/>
                <w:sz w:val="21"/>
                <w:szCs w:val="21"/>
              </w:rPr>
              <w:t>影响范围涉及</w:t>
            </w:r>
            <w:r>
              <w:rPr>
                <w:rFonts w:cs="Times New Roman"/>
                <w:color w:val="auto"/>
                <w:sz w:val="21"/>
                <w:szCs w:val="21"/>
              </w:rPr>
              <w:t>陕西</w:t>
            </w:r>
            <w:r>
              <w:rPr>
                <w:rFonts w:hint="eastAsia" w:cs="Times New Roman"/>
                <w:color w:val="auto"/>
                <w:sz w:val="21"/>
                <w:szCs w:val="21"/>
                <w:lang w:val="en-US" w:eastAsia="zh-CN"/>
              </w:rPr>
              <w:t>岚河</w:t>
            </w:r>
            <w:r>
              <w:rPr>
                <w:rFonts w:cs="Times New Roman"/>
                <w:color w:val="auto"/>
                <w:sz w:val="21"/>
                <w:szCs w:val="21"/>
              </w:rPr>
              <w:t>湿地</w:t>
            </w:r>
            <w:r>
              <w:rPr>
                <w:rFonts w:hint="eastAsia" w:cs="Times New Roman"/>
                <w:color w:val="auto"/>
                <w:sz w:val="21"/>
                <w:szCs w:val="21"/>
              </w:rPr>
              <w:t>生态保护红线。根据《安康市人民政府关于印发安康市“三线一单”生态环境分区管控方案》，生态红线</w:t>
            </w:r>
            <w:r>
              <w:rPr>
                <w:rFonts w:cs="Times New Roman"/>
                <w:color w:val="auto"/>
                <w:sz w:val="21"/>
                <w:szCs w:val="21"/>
              </w:rPr>
              <w:t>原则上按禁止开发区的要求进行管理</w:t>
            </w:r>
            <w:r>
              <w:rPr>
                <w:rFonts w:hint="eastAsia" w:cs="Times New Roman"/>
                <w:color w:val="auto"/>
                <w:sz w:val="21"/>
                <w:szCs w:val="21"/>
              </w:rPr>
              <w:t>，</w:t>
            </w:r>
            <w:r>
              <w:rPr>
                <w:rFonts w:cs="Times New Roman"/>
                <w:color w:val="auto"/>
                <w:sz w:val="21"/>
                <w:szCs w:val="21"/>
              </w:rPr>
              <w:t>在符合现行法律法规前提下，除国家重大战略项目外，仅允许对生态功能不造成破坏的有限人为活动</w:t>
            </w:r>
            <w:r>
              <w:rPr>
                <w:rFonts w:hint="eastAsia" w:cs="Times New Roman"/>
                <w:color w:val="auto"/>
                <w:sz w:val="21"/>
                <w:szCs w:val="21"/>
              </w:rPr>
              <w:t>。本项目属于水环境综合治理项目，主要包括生态缓冲带</w:t>
            </w:r>
            <w:r>
              <w:rPr>
                <w:rFonts w:hint="eastAsia" w:cs="Times New Roman"/>
                <w:color w:val="auto"/>
                <w:sz w:val="21"/>
                <w:szCs w:val="21"/>
                <w:lang w:eastAsia="zh-CN"/>
              </w:rPr>
              <w:t>、</w:t>
            </w:r>
            <w:r>
              <w:rPr>
                <w:rFonts w:hint="eastAsia" w:cs="Times New Roman"/>
                <w:color w:val="auto"/>
                <w:sz w:val="21"/>
                <w:szCs w:val="21"/>
              </w:rPr>
              <w:t>新建沟渠湿地</w:t>
            </w:r>
            <w:r>
              <w:rPr>
                <w:rFonts w:hint="eastAsia" w:cs="Times New Roman"/>
                <w:color w:val="auto"/>
                <w:sz w:val="21"/>
                <w:szCs w:val="21"/>
                <w:lang w:eastAsia="zh-CN"/>
              </w:rPr>
              <w:t>、</w:t>
            </w:r>
            <w:r>
              <w:rPr>
                <w:rFonts w:hint="eastAsia" w:cs="Times New Roman"/>
                <w:color w:val="auto"/>
                <w:sz w:val="21"/>
                <w:szCs w:val="21"/>
              </w:rPr>
              <w:t>新建河床渗滤湿地</w:t>
            </w:r>
            <w:r>
              <w:rPr>
                <w:rFonts w:hint="eastAsia" w:cs="Times New Roman"/>
                <w:color w:val="auto"/>
                <w:sz w:val="21"/>
                <w:szCs w:val="21"/>
                <w:lang w:eastAsia="zh-CN"/>
              </w:rPr>
              <w:t>、</w:t>
            </w:r>
            <w:r>
              <w:rPr>
                <w:rFonts w:hint="eastAsia" w:cs="Times New Roman"/>
                <w:color w:val="auto"/>
                <w:sz w:val="21"/>
                <w:szCs w:val="21"/>
              </w:rPr>
              <w:t>新建河道湿地，属于“生态红线内</w:t>
            </w:r>
            <w:r>
              <w:rPr>
                <w:rFonts w:cs="Times New Roman"/>
                <w:color w:val="auto"/>
                <w:sz w:val="21"/>
                <w:szCs w:val="21"/>
              </w:rPr>
              <w:t>允许对生态功能不造成破坏的有限人为活动</w:t>
            </w:r>
            <w:r>
              <w:rPr>
                <w:rFonts w:hint="eastAsia" w:cs="Times New Roman"/>
                <w:color w:val="auto"/>
                <w:sz w:val="21"/>
                <w:szCs w:val="21"/>
              </w:rPr>
              <w:t>”类型</w:t>
            </w:r>
            <w:r>
              <w:rPr>
                <w:rFonts w:hint="eastAsia" w:cs="Times New Roman"/>
                <w:color w:val="auto"/>
                <w:sz w:val="21"/>
                <w:szCs w:val="21"/>
                <w:lang w:eastAsia="zh-CN"/>
              </w:rPr>
              <w:t>，项目的实施不会影响湿地面积和规模，相反改善湿地公园内的水质环境，增加湿地水力连通，提升湿地内生态功能。</w:t>
            </w:r>
          </w:p>
        </w:tc>
        <w:tc>
          <w:tcPr>
            <w:tcW w:w="418" w:type="pct"/>
            <w:tcBorders>
              <w:top w:val="single" w:color="000000" w:sz="6" w:space="0"/>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color w:val="auto"/>
                <w:sz w:val="21"/>
                <w:szCs w:val="21"/>
                <w:lang w:bidi="en-US"/>
              </w:rPr>
            </w:pPr>
            <w:r>
              <w:rPr>
                <w:rFonts w:cs="Times New Roman"/>
                <w:color w:val="auto"/>
                <w:sz w:val="21"/>
                <w:szCs w:val="21"/>
                <w:lang w:bidi="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49" w:hRule="atLeast"/>
          <w:jc w:val="center"/>
        </w:trPr>
        <w:tc>
          <w:tcPr>
            <w:tcW w:w="405" w:type="pct"/>
            <w:vMerge w:val="continue"/>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p>
        </w:tc>
        <w:tc>
          <w:tcPr>
            <w:tcW w:w="221" w:type="pct"/>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环境质量底线</w:t>
            </w:r>
          </w:p>
        </w:tc>
        <w:tc>
          <w:tcPr>
            <w:tcW w:w="2584" w:type="pct"/>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cs="Times New Roman"/>
                <w:color w:val="auto"/>
                <w:sz w:val="21"/>
                <w:szCs w:val="21"/>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tc>
        <w:tc>
          <w:tcPr>
            <w:tcW w:w="1372" w:type="pct"/>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cs="Times New Roman"/>
                <w:color w:val="auto"/>
                <w:sz w:val="21"/>
                <w:szCs w:val="21"/>
              </w:rPr>
              <w:t>本项目选址区域</w:t>
            </w:r>
            <w:r>
              <w:rPr>
                <w:rFonts w:hint="eastAsia" w:cs="Times New Roman"/>
                <w:color w:val="auto"/>
                <w:sz w:val="21"/>
                <w:szCs w:val="21"/>
              </w:rPr>
              <w:t>为达标区</w:t>
            </w:r>
            <w:r>
              <w:rPr>
                <w:rFonts w:cs="Times New Roman"/>
                <w:color w:val="auto"/>
                <w:sz w:val="21"/>
                <w:szCs w:val="21"/>
              </w:rPr>
              <w:t>，施工期大气污染物</w:t>
            </w:r>
            <w:r>
              <w:rPr>
                <w:rFonts w:hint="eastAsia" w:cs="Times New Roman"/>
                <w:color w:val="auto"/>
                <w:sz w:val="21"/>
                <w:szCs w:val="21"/>
              </w:rPr>
              <w:t>达标排放，施工废水综合利用不外排，</w:t>
            </w:r>
            <w:r>
              <w:rPr>
                <w:rFonts w:cs="Times New Roman"/>
                <w:color w:val="auto"/>
                <w:sz w:val="21"/>
                <w:szCs w:val="21"/>
              </w:rPr>
              <w:t>不会突破水环境质量底线。</w:t>
            </w:r>
          </w:p>
        </w:tc>
        <w:tc>
          <w:tcPr>
            <w:tcW w:w="418" w:type="pct"/>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color w:val="auto"/>
                <w:sz w:val="21"/>
                <w:szCs w:val="21"/>
                <w:lang w:bidi="en-US"/>
              </w:rPr>
            </w:pPr>
            <w:r>
              <w:rPr>
                <w:rFonts w:cs="Times New Roman"/>
                <w:color w:val="auto"/>
                <w:sz w:val="21"/>
                <w:szCs w:val="21"/>
                <w:lang w:bidi="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05" w:type="pct"/>
            <w:vMerge w:val="continue"/>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p>
        </w:tc>
        <w:tc>
          <w:tcPr>
            <w:tcW w:w="221" w:type="pct"/>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资源利用上线</w:t>
            </w:r>
          </w:p>
        </w:tc>
        <w:tc>
          <w:tcPr>
            <w:tcW w:w="2584" w:type="pct"/>
            <w:tcMar>
              <w:top w:w="57" w:type="dxa"/>
              <w:left w:w="57" w:type="dxa"/>
              <w:bottom w:w="57" w:type="dxa"/>
              <w:right w:w="57" w:type="dxa"/>
            </w:tcMar>
            <w:vAlign w:val="center"/>
          </w:tcPr>
          <w:p>
            <w:pPr>
              <w:widowControl/>
              <w:topLinePunct/>
              <w:adjustRightInd w:val="0"/>
              <w:snapToGrid w:val="0"/>
              <w:spacing w:line="240" w:lineRule="auto"/>
              <w:ind w:firstLine="0" w:firstLineChars="0"/>
              <w:rPr>
                <w:rFonts w:cs="Times New Roman"/>
                <w:color w:val="auto"/>
                <w:sz w:val="21"/>
                <w:szCs w:val="21"/>
              </w:rPr>
            </w:pPr>
            <w:r>
              <w:rPr>
                <w:rFonts w:cs="Times New Roman"/>
                <w:color w:val="auto"/>
                <w:sz w:val="21"/>
                <w:szCs w:val="21"/>
              </w:rPr>
              <w:t>资源是环境的载体，资源利用上线是各地区能源、水、土地等资源消耗不得突破的“天花板”。</w:t>
            </w:r>
          </w:p>
        </w:tc>
        <w:tc>
          <w:tcPr>
            <w:tcW w:w="1372" w:type="pct"/>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cs="Times New Roman"/>
                <w:color w:val="auto"/>
                <w:sz w:val="21"/>
                <w:szCs w:val="21"/>
              </w:rPr>
              <w:t>工程施工过程中的能源主要依托当地电网供电，不设永久构筑物，施工结束后临时用地进行</w:t>
            </w:r>
            <w:r>
              <w:rPr>
                <w:rFonts w:hint="eastAsia" w:cs="Times New Roman"/>
                <w:color w:val="auto"/>
                <w:sz w:val="21"/>
                <w:szCs w:val="21"/>
              </w:rPr>
              <w:t>恢复植被</w:t>
            </w:r>
            <w:r>
              <w:rPr>
                <w:rFonts w:cs="Times New Roman"/>
                <w:color w:val="auto"/>
                <w:sz w:val="21"/>
                <w:szCs w:val="21"/>
              </w:rPr>
              <w:t>。因此，项目资源利用满足要求。</w:t>
            </w:r>
          </w:p>
        </w:tc>
        <w:tc>
          <w:tcPr>
            <w:tcW w:w="418" w:type="pct"/>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05" w:type="pct"/>
            <w:vMerge w:val="continue"/>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b/>
                <w:bCs/>
                <w:color w:val="auto"/>
                <w:sz w:val="21"/>
                <w:szCs w:val="21"/>
              </w:rPr>
            </w:pPr>
          </w:p>
        </w:tc>
        <w:tc>
          <w:tcPr>
            <w:tcW w:w="221" w:type="pct"/>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生态环境准入清单</w:t>
            </w:r>
          </w:p>
        </w:tc>
        <w:tc>
          <w:tcPr>
            <w:tcW w:w="2584" w:type="pct"/>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cs="Times New Roman"/>
                <w:color w:val="auto"/>
                <w:sz w:val="21"/>
                <w:szCs w:val="21"/>
              </w:rPr>
              <w:t>环境准入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372" w:type="pct"/>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highlight w:val="yellow"/>
              </w:rPr>
            </w:pPr>
            <w:r>
              <w:rPr>
                <w:rFonts w:hint="eastAsia" w:cs="Times New Roman"/>
                <w:color w:val="auto"/>
                <w:sz w:val="21"/>
                <w:szCs w:val="21"/>
              </w:rPr>
              <w:t>本项目工程位于</w:t>
            </w:r>
            <w:r>
              <w:rPr>
                <w:rFonts w:hint="eastAsia" w:cs="Times New Roman"/>
                <w:color w:val="auto"/>
                <w:sz w:val="21"/>
                <w:szCs w:val="21"/>
                <w:lang w:val="en-US" w:eastAsia="zh-CN"/>
              </w:rPr>
              <w:t>岚皋</w:t>
            </w:r>
            <w:r>
              <w:rPr>
                <w:rFonts w:hint="eastAsia" w:cs="Times New Roman"/>
                <w:color w:val="auto"/>
                <w:sz w:val="21"/>
                <w:szCs w:val="21"/>
              </w:rPr>
              <w:t>县</w:t>
            </w:r>
            <w:r>
              <w:rPr>
                <w:rFonts w:hint="eastAsia" w:cs="Times New Roman"/>
                <w:color w:val="auto"/>
                <w:sz w:val="21"/>
                <w:szCs w:val="21"/>
                <w:lang w:eastAsia="zh-CN"/>
              </w:rPr>
              <w:t>、</w:t>
            </w:r>
            <w:r>
              <w:rPr>
                <w:rFonts w:hint="eastAsia" w:cs="Times New Roman"/>
                <w:color w:val="auto"/>
                <w:sz w:val="21"/>
                <w:szCs w:val="21"/>
                <w:lang w:val="en-US" w:eastAsia="zh-CN"/>
              </w:rPr>
              <w:t>优先管控单元、</w:t>
            </w:r>
            <w:r>
              <w:rPr>
                <w:rFonts w:hint="eastAsia" w:cs="Times New Roman"/>
                <w:color w:val="auto"/>
                <w:sz w:val="21"/>
                <w:szCs w:val="21"/>
              </w:rPr>
              <w:t>重点管控单元、一般管控单元。项目建设符合其分区的管控要求。</w:t>
            </w:r>
          </w:p>
        </w:tc>
        <w:tc>
          <w:tcPr>
            <w:tcW w:w="418" w:type="pct"/>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bl>
    <w:p>
      <w:pPr>
        <w:snapToGrid w:val="0"/>
        <w:ind w:firstLine="480"/>
        <w:rPr>
          <w:rFonts w:cs="Times New Roman"/>
          <w:color w:val="auto"/>
          <w:kern w:val="44"/>
        </w:rPr>
      </w:pPr>
      <w:r>
        <w:rPr>
          <w:rFonts w:hint="eastAsia" w:cs="Times New Roman"/>
          <w:color w:val="auto"/>
          <w:kern w:val="44"/>
        </w:rPr>
        <w:t>（2）与</w:t>
      </w:r>
      <w:r>
        <w:rPr>
          <w:rFonts w:cs="Times New Roman"/>
          <w:color w:val="auto"/>
          <w:kern w:val="44"/>
        </w:rPr>
        <w:t>安康市“三线一单”生态环境分区管控</w:t>
      </w:r>
      <w:r>
        <w:rPr>
          <w:rFonts w:hint="eastAsia" w:cs="Times New Roman"/>
          <w:color w:val="auto"/>
          <w:kern w:val="44"/>
        </w:rPr>
        <w:t>要求的符合性分析</w:t>
      </w:r>
    </w:p>
    <w:p>
      <w:pPr>
        <w:pStyle w:val="199"/>
        <w:snapToGrid w:val="0"/>
        <w:spacing w:line="360" w:lineRule="auto"/>
        <w:rPr>
          <w:color w:val="auto"/>
          <w:kern w:val="44"/>
        </w:rPr>
      </w:pPr>
      <w:r>
        <w:rPr>
          <w:rFonts w:hint="eastAsia"/>
          <w:color w:val="auto"/>
          <w:kern w:val="44"/>
        </w:rPr>
        <w:t>根据《陕西省“三线一单”生态环境分区管控应用技术指南：环境影响评价（试行）》，环评文件涉及“三线一单”生态环境分区管控符合性分析应采取“一图一表一说明”的表达方式，本项目与《安康市生态环境分区管控准入清单》符合性分析如下。</w:t>
      </w:r>
    </w:p>
    <w:p>
      <w:pPr>
        <w:pStyle w:val="199"/>
        <w:snapToGrid w:val="0"/>
        <w:spacing w:line="360" w:lineRule="auto"/>
        <w:rPr>
          <w:color w:val="auto"/>
          <w:kern w:val="44"/>
        </w:rPr>
      </w:pPr>
      <w:r>
        <w:rPr>
          <w:color w:val="auto"/>
          <w:kern w:val="44"/>
        </w:rPr>
        <w:t>①</w:t>
      </w:r>
      <w:r>
        <w:rPr>
          <w:rFonts w:hint="eastAsia"/>
          <w:color w:val="auto"/>
          <w:kern w:val="44"/>
        </w:rPr>
        <w:t>“一图”</w:t>
      </w:r>
    </w:p>
    <w:p>
      <w:pPr>
        <w:pStyle w:val="199"/>
        <w:snapToGrid w:val="0"/>
        <w:spacing w:line="360" w:lineRule="auto"/>
        <w:ind w:firstLine="488"/>
        <w:rPr>
          <w:rFonts w:hAnsi="Times New Roman"/>
          <w:color w:val="auto"/>
          <w:spacing w:val="2"/>
        </w:rPr>
      </w:pPr>
      <w:r>
        <w:rPr>
          <w:rFonts w:hint="eastAsia" w:hAnsi="Times New Roman"/>
          <w:color w:val="auto"/>
          <w:spacing w:val="2"/>
        </w:rPr>
        <w:t>通过陕西省“三线一单”数据应用系统分析比对，</w:t>
      </w:r>
      <w:r>
        <w:rPr>
          <w:rFonts w:hAnsi="Times New Roman"/>
          <w:color w:val="auto"/>
          <w:spacing w:val="2"/>
        </w:rPr>
        <w:t>本项目</w:t>
      </w:r>
      <w:r>
        <w:rPr>
          <w:rFonts w:hint="eastAsia" w:hAnsi="Times New Roman"/>
          <w:color w:val="auto"/>
          <w:spacing w:val="2"/>
          <w:lang w:val="en-US" w:eastAsia="zh-CN"/>
        </w:rPr>
        <w:t>佐龙镇段</w:t>
      </w:r>
      <w:r>
        <w:rPr>
          <w:rFonts w:hAnsi="Times New Roman"/>
          <w:color w:val="auto"/>
          <w:spacing w:val="2"/>
        </w:rPr>
        <w:t>位于</w:t>
      </w:r>
      <w:r>
        <w:rPr>
          <w:rFonts w:hint="eastAsia" w:hAnsi="Times New Roman"/>
          <w:color w:val="auto"/>
          <w:spacing w:val="2"/>
          <w:lang w:val="en-US" w:eastAsia="zh-CN"/>
        </w:rPr>
        <w:t>一般管控单元</w:t>
      </w:r>
      <w:r>
        <w:rPr>
          <w:rFonts w:hint="eastAsia" w:hAnsi="Times New Roman"/>
          <w:color w:val="auto"/>
          <w:spacing w:val="2"/>
        </w:rPr>
        <w:t>，</w:t>
      </w:r>
      <w:r>
        <w:rPr>
          <w:rFonts w:hint="eastAsia" w:hAnsi="Times New Roman"/>
          <w:color w:val="auto"/>
          <w:spacing w:val="2"/>
          <w:lang w:val="en-US" w:eastAsia="zh-CN"/>
        </w:rPr>
        <w:t>孟石岭段</w:t>
      </w:r>
      <w:r>
        <w:rPr>
          <w:rFonts w:hint="eastAsia" w:hAnsi="Times New Roman"/>
          <w:color w:val="auto"/>
          <w:spacing w:val="2"/>
        </w:rPr>
        <w:t>位于</w:t>
      </w:r>
      <w:r>
        <w:rPr>
          <w:rFonts w:hint="eastAsia" w:hAnsi="Times New Roman"/>
          <w:color w:val="auto"/>
          <w:spacing w:val="2"/>
          <w:lang w:val="en-US" w:eastAsia="zh-CN"/>
        </w:rPr>
        <w:t>优先保护</w:t>
      </w:r>
      <w:r>
        <w:rPr>
          <w:rFonts w:hint="eastAsia" w:hAnsi="Times New Roman"/>
          <w:color w:val="auto"/>
          <w:spacing w:val="2"/>
        </w:rPr>
        <w:t>单元，</w:t>
      </w:r>
      <w:r>
        <w:rPr>
          <w:rFonts w:hint="eastAsia" w:hAnsi="Times New Roman"/>
          <w:color w:val="auto"/>
          <w:spacing w:val="2"/>
          <w:lang w:val="en-US" w:eastAsia="zh-CN"/>
        </w:rPr>
        <w:t>南宫山镇段</w:t>
      </w:r>
      <w:r>
        <w:rPr>
          <w:rFonts w:hint="eastAsia" w:hAnsi="Times New Roman"/>
          <w:color w:val="auto"/>
          <w:spacing w:val="2"/>
        </w:rPr>
        <w:t>位于</w:t>
      </w:r>
      <w:r>
        <w:rPr>
          <w:rFonts w:hint="eastAsia" w:hAnsi="Times New Roman"/>
          <w:color w:val="auto"/>
          <w:spacing w:val="2"/>
          <w:lang w:val="en-US" w:eastAsia="zh-CN"/>
        </w:rPr>
        <w:t>优先保护</w:t>
      </w:r>
      <w:r>
        <w:rPr>
          <w:rFonts w:hint="eastAsia" w:hAnsi="Times New Roman"/>
          <w:color w:val="auto"/>
          <w:spacing w:val="2"/>
        </w:rPr>
        <w:t>单元，</w:t>
      </w:r>
      <w:r>
        <w:rPr>
          <w:rFonts w:hint="eastAsia" w:hAnsi="Times New Roman"/>
          <w:color w:val="auto"/>
          <w:spacing w:val="2"/>
          <w:lang w:val="en-US" w:eastAsia="zh-CN"/>
        </w:rPr>
        <w:t>蔺河镇段</w:t>
      </w:r>
      <w:r>
        <w:rPr>
          <w:rFonts w:hint="eastAsia" w:hAnsi="Times New Roman"/>
          <w:color w:val="auto"/>
          <w:spacing w:val="2"/>
        </w:rPr>
        <w:t>位于</w:t>
      </w:r>
      <w:r>
        <w:rPr>
          <w:rFonts w:hint="eastAsia" w:hAnsi="Times New Roman"/>
          <w:color w:val="auto"/>
          <w:spacing w:val="2"/>
          <w:lang w:val="en-US" w:eastAsia="zh-CN"/>
        </w:rPr>
        <w:t>优先保护单元</w:t>
      </w:r>
      <w:r>
        <w:rPr>
          <w:rFonts w:hint="eastAsia" w:hAnsi="Times New Roman"/>
          <w:color w:val="auto"/>
          <w:spacing w:val="2"/>
        </w:rPr>
        <w:t>，</w:t>
      </w:r>
      <w:r>
        <w:rPr>
          <w:rFonts w:hint="eastAsia" w:hAnsi="Times New Roman"/>
          <w:color w:val="auto"/>
          <w:spacing w:val="2"/>
          <w:lang w:val="en-US" w:eastAsia="zh-CN"/>
        </w:rPr>
        <w:t>城关镇</w:t>
      </w:r>
      <w:r>
        <w:rPr>
          <w:rFonts w:hint="eastAsia" w:hAnsi="Times New Roman"/>
          <w:color w:val="auto"/>
          <w:spacing w:val="2"/>
        </w:rPr>
        <w:t>位于</w:t>
      </w:r>
      <w:r>
        <w:rPr>
          <w:rFonts w:hint="eastAsia" w:hAnsi="Times New Roman"/>
          <w:color w:val="auto"/>
          <w:spacing w:val="2"/>
          <w:lang w:val="en-US" w:eastAsia="zh-CN"/>
        </w:rPr>
        <w:t>一般</w:t>
      </w:r>
      <w:r>
        <w:rPr>
          <w:rFonts w:hint="eastAsia" w:hAnsi="Times New Roman"/>
          <w:color w:val="auto"/>
          <w:spacing w:val="2"/>
        </w:rPr>
        <w:t>管控单元和</w:t>
      </w:r>
      <w:r>
        <w:rPr>
          <w:rFonts w:hint="eastAsia" w:hAnsi="Times New Roman"/>
          <w:color w:val="auto"/>
          <w:spacing w:val="2"/>
          <w:lang w:val="en-US" w:eastAsia="zh-CN"/>
        </w:rPr>
        <w:t>优先保护</w:t>
      </w:r>
      <w:r>
        <w:rPr>
          <w:rFonts w:hint="eastAsia" w:hAnsi="Times New Roman"/>
          <w:color w:val="auto"/>
          <w:spacing w:val="2"/>
        </w:rPr>
        <w:t>单元。本项目与安康市“三线一单”管控单元比对图见图1</w:t>
      </w:r>
      <w:r>
        <w:rPr>
          <w:rFonts w:hAnsi="Times New Roman"/>
          <w:color w:val="auto"/>
          <w:spacing w:val="2"/>
        </w:rPr>
        <w:t>.4</w:t>
      </w:r>
      <w:r>
        <w:rPr>
          <w:rFonts w:hint="eastAsia" w:hAnsi="Times New Roman"/>
          <w:color w:val="auto"/>
          <w:spacing w:val="2"/>
        </w:rPr>
        <w:t>-</w:t>
      </w:r>
      <w:r>
        <w:rPr>
          <w:rFonts w:hAnsi="Times New Roman"/>
          <w:color w:val="auto"/>
          <w:spacing w:val="2"/>
        </w:rPr>
        <w:t>1</w:t>
      </w:r>
      <w:r>
        <w:rPr>
          <w:rFonts w:hint="eastAsia" w:hAnsi="Times New Roman"/>
          <w:color w:val="auto"/>
          <w:spacing w:val="2"/>
        </w:rPr>
        <w:t>~</w:t>
      </w:r>
      <w:r>
        <w:rPr>
          <w:rFonts w:hAnsi="Times New Roman"/>
          <w:color w:val="auto"/>
          <w:spacing w:val="2"/>
        </w:rPr>
        <w:t>1.4</w:t>
      </w:r>
      <w:r>
        <w:rPr>
          <w:rFonts w:hint="eastAsia" w:hAnsi="Times New Roman"/>
          <w:color w:val="auto"/>
          <w:spacing w:val="2"/>
        </w:rPr>
        <w:t>~</w:t>
      </w:r>
      <w:r>
        <w:rPr>
          <w:rFonts w:hAnsi="Times New Roman"/>
          <w:color w:val="auto"/>
          <w:spacing w:val="2"/>
        </w:rPr>
        <w:t>5</w:t>
      </w:r>
      <w:r>
        <w:rPr>
          <w:rFonts w:hint="eastAsia" w:hAnsi="Times New Roman"/>
          <w:color w:val="auto"/>
          <w:spacing w:val="2"/>
        </w:rPr>
        <w:t>所示。</w:t>
      </w:r>
    </w:p>
    <w:p>
      <w:pPr>
        <w:pStyle w:val="199"/>
        <w:snapToGrid w:val="0"/>
        <w:spacing w:line="360" w:lineRule="auto"/>
        <w:rPr>
          <w:rFonts w:hAnsi="Times New Roman"/>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r>
        <w:rPr>
          <w:color w:val="auto"/>
        </w:rPr>
        <w:drawing>
          <wp:anchor distT="0" distB="0" distL="114300" distR="114300" simplePos="0" relativeHeight="251668480" behindDoc="0" locked="0" layoutInCell="1" allowOverlap="1">
            <wp:simplePos x="0" y="0"/>
            <wp:positionH relativeFrom="column">
              <wp:posOffset>59690</wp:posOffset>
            </wp:positionH>
            <wp:positionV relativeFrom="paragraph">
              <wp:posOffset>102235</wp:posOffset>
            </wp:positionV>
            <wp:extent cx="5610225" cy="7581900"/>
            <wp:effectExtent l="0" t="0" r="9525" b="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5610225" cy="7581900"/>
                    </a:xfrm>
                    <a:prstGeom prst="rect">
                      <a:avLst/>
                    </a:prstGeom>
                    <a:noFill/>
                    <a:ln>
                      <a:noFill/>
                    </a:ln>
                  </pic:spPr>
                </pic:pic>
              </a:graphicData>
            </a:graphic>
          </wp:anchor>
        </w:drawing>
      </w: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both"/>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r>
        <w:rPr>
          <w:rFonts w:hint="eastAsia" w:hAnsi="Times New Roman"/>
          <w:b/>
          <w:color w:val="auto"/>
          <w:spacing w:val="2"/>
        </w:rPr>
        <w:t>图1</w:t>
      </w:r>
      <w:r>
        <w:rPr>
          <w:rFonts w:hAnsi="Times New Roman"/>
          <w:b/>
          <w:color w:val="auto"/>
          <w:spacing w:val="2"/>
        </w:rPr>
        <w:t>.4</w:t>
      </w:r>
      <w:r>
        <w:rPr>
          <w:rFonts w:hint="eastAsia" w:hAnsi="Times New Roman"/>
          <w:b/>
          <w:color w:val="auto"/>
          <w:spacing w:val="2"/>
        </w:rPr>
        <w:t>-</w:t>
      </w:r>
      <w:r>
        <w:rPr>
          <w:rFonts w:hAnsi="Times New Roman"/>
          <w:b/>
          <w:color w:val="auto"/>
          <w:spacing w:val="2"/>
        </w:rPr>
        <w:t xml:space="preserve">1   </w:t>
      </w:r>
      <w:r>
        <w:rPr>
          <w:rFonts w:hint="eastAsia" w:hAnsi="Times New Roman"/>
          <w:b/>
          <w:color w:val="auto"/>
          <w:spacing w:val="2"/>
          <w:lang w:val="en-US" w:eastAsia="zh-CN"/>
        </w:rPr>
        <w:t>佐龙镇段与</w:t>
      </w:r>
      <w:r>
        <w:rPr>
          <w:rFonts w:hint="eastAsia" w:hAnsi="Times New Roman"/>
          <w:b/>
          <w:color w:val="auto"/>
          <w:spacing w:val="2"/>
        </w:rPr>
        <w:t>安康市“三线一单”管控单元比</w:t>
      </w: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r>
        <w:rPr>
          <w:color w:val="auto"/>
        </w:rPr>
        <w:drawing>
          <wp:anchor distT="0" distB="0" distL="114300" distR="114300" simplePos="0" relativeHeight="251670528" behindDoc="0" locked="0" layoutInCell="1" allowOverlap="1">
            <wp:simplePos x="0" y="0"/>
            <wp:positionH relativeFrom="column">
              <wp:posOffset>52070</wp:posOffset>
            </wp:positionH>
            <wp:positionV relativeFrom="paragraph">
              <wp:posOffset>113665</wp:posOffset>
            </wp:positionV>
            <wp:extent cx="5591175" cy="7524750"/>
            <wp:effectExtent l="0" t="0" r="9525" b="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5591175" cy="7524750"/>
                    </a:xfrm>
                    <a:prstGeom prst="rect">
                      <a:avLst/>
                    </a:prstGeom>
                    <a:noFill/>
                    <a:ln>
                      <a:noFill/>
                    </a:ln>
                  </pic:spPr>
                </pic:pic>
              </a:graphicData>
            </a:graphic>
          </wp:anchor>
        </w:drawing>
      </w: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b/>
          <w:color w:val="auto"/>
          <w:kern w:val="44"/>
        </w:rPr>
      </w:pPr>
      <w:r>
        <w:rPr>
          <w:rFonts w:hint="eastAsia" w:hAnsi="Times New Roman"/>
          <w:b/>
          <w:color w:val="auto"/>
          <w:spacing w:val="2"/>
        </w:rPr>
        <w:t>图1</w:t>
      </w:r>
      <w:r>
        <w:rPr>
          <w:rFonts w:hAnsi="Times New Roman"/>
          <w:b/>
          <w:color w:val="auto"/>
          <w:spacing w:val="2"/>
        </w:rPr>
        <w:t>.4</w:t>
      </w:r>
      <w:r>
        <w:rPr>
          <w:rFonts w:hint="eastAsia" w:hAnsi="Times New Roman"/>
          <w:b/>
          <w:color w:val="auto"/>
          <w:spacing w:val="2"/>
        </w:rPr>
        <w:t>-</w:t>
      </w:r>
      <w:r>
        <w:rPr>
          <w:rFonts w:hAnsi="Times New Roman"/>
          <w:b/>
          <w:color w:val="auto"/>
          <w:spacing w:val="2"/>
        </w:rPr>
        <w:t xml:space="preserve">2   </w:t>
      </w:r>
      <w:r>
        <w:rPr>
          <w:rFonts w:hint="eastAsia" w:hAnsi="Times New Roman"/>
          <w:b/>
          <w:color w:val="auto"/>
          <w:spacing w:val="2"/>
          <w:lang w:val="en-US" w:eastAsia="zh-CN"/>
        </w:rPr>
        <w:t>孟石岭镇段与</w:t>
      </w:r>
      <w:r>
        <w:rPr>
          <w:rFonts w:hint="eastAsia" w:hAnsi="Times New Roman"/>
          <w:b/>
          <w:color w:val="auto"/>
          <w:spacing w:val="2"/>
        </w:rPr>
        <w:t>安康市“三线一单”管控单元比对图</w:t>
      </w: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240" w:lineRule="auto"/>
        <w:ind w:firstLine="0" w:firstLineChars="0"/>
        <w:jc w:val="center"/>
        <w:rPr>
          <w:rFonts w:hint="eastAsia" w:hAnsi="Times New Roman"/>
          <w:b/>
          <w:color w:val="auto"/>
          <w:spacing w:val="2"/>
        </w:rPr>
      </w:pPr>
      <w:r>
        <w:rPr>
          <w:color w:val="auto"/>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687695" cy="7653655"/>
            <wp:effectExtent l="0" t="0" r="8255" b="4445"/>
            <wp:wrapNone/>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9"/>
                    <a:stretch>
                      <a:fillRect/>
                    </a:stretch>
                  </pic:blipFill>
                  <pic:spPr>
                    <a:xfrm>
                      <a:off x="0" y="0"/>
                      <a:ext cx="5687695" cy="7653655"/>
                    </a:xfrm>
                    <a:prstGeom prst="rect">
                      <a:avLst/>
                    </a:prstGeom>
                    <a:noFill/>
                    <a:ln>
                      <a:noFill/>
                    </a:ln>
                  </pic:spPr>
                </pic:pic>
              </a:graphicData>
            </a:graphic>
          </wp:anchor>
        </w:drawing>
      </w: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b/>
          <w:color w:val="auto"/>
          <w:kern w:val="44"/>
        </w:rPr>
      </w:pPr>
      <w:r>
        <w:rPr>
          <w:rFonts w:hint="eastAsia" w:hAnsi="Times New Roman"/>
          <w:b/>
          <w:color w:val="auto"/>
          <w:spacing w:val="2"/>
        </w:rPr>
        <w:t>图1</w:t>
      </w:r>
      <w:r>
        <w:rPr>
          <w:rFonts w:hAnsi="Times New Roman"/>
          <w:b/>
          <w:color w:val="auto"/>
          <w:spacing w:val="2"/>
        </w:rPr>
        <w:t>.4</w:t>
      </w:r>
      <w:r>
        <w:rPr>
          <w:rFonts w:hint="eastAsia" w:hAnsi="Times New Roman"/>
          <w:b/>
          <w:color w:val="auto"/>
          <w:spacing w:val="2"/>
        </w:rPr>
        <w:t>-</w:t>
      </w:r>
      <w:r>
        <w:rPr>
          <w:rFonts w:hAnsi="Times New Roman"/>
          <w:b/>
          <w:color w:val="auto"/>
          <w:spacing w:val="2"/>
        </w:rPr>
        <w:t xml:space="preserve">3   </w:t>
      </w:r>
      <w:r>
        <w:rPr>
          <w:rFonts w:hint="eastAsia" w:hAnsi="Times New Roman"/>
          <w:b/>
          <w:color w:val="auto"/>
          <w:spacing w:val="2"/>
          <w:lang w:val="en-US" w:eastAsia="zh-CN"/>
        </w:rPr>
        <w:t>南宫山镇段与</w:t>
      </w:r>
      <w:r>
        <w:rPr>
          <w:rFonts w:hint="eastAsia" w:hAnsi="Times New Roman"/>
          <w:b/>
          <w:color w:val="auto"/>
          <w:spacing w:val="2"/>
        </w:rPr>
        <w:t>安康市“三线一单”管控单元比对图</w:t>
      </w:r>
    </w:p>
    <w:p>
      <w:pPr>
        <w:pStyle w:val="199"/>
        <w:snapToGrid w:val="0"/>
        <w:spacing w:line="360" w:lineRule="auto"/>
        <w:ind w:firstLine="0" w:firstLineChars="0"/>
        <w:rPr>
          <w:color w:val="auto"/>
          <w:kern w:val="44"/>
        </w:rPr>
      </w:pPr>
    </w:p>
    <w:p>
      <w:pPr>
        <w:pStyle w:val="199"/>
        <w:snapToGrid w:val="0"/>
        <w:spacing w:line="360" w:lineRule="auto"/>
        <w:ind w:firstLine="0" w:firstLineChars="0"/>
        <w:jc w:val="center"/>
        <w:rPr>
          <w:color w:val="auto"/>
          <w:kern w:val="44"/>
        </w:rPr>
      </w:pPr>
      <w:r>
        <w:rPr>
          <w:color w:val="auto"/>
        </w:rPr>
        <w:drawing>
          <wp:anchor distT="0" distB="0" distL="114300" distR="114300" simplePos="0" relativeHeight="251672576" behindDoc="0" locked="0" layoutInCell="1" allowOverlap="1">
            <wp:simplePos x="0" y="0"/>
            <wp:positionH relativeFrom="column">
              <wp:posOffset>32385</wp:posOffset>
            </wp:positionH>
            <wp:positionV relativeFrom="paragraph">
              <wp:posOffset>225425</wp:posOffset>
            </wp:positionV>
            <wp:extent cx="5629275" cy="7553325"/>
            <wp:effectExtent l="0" t="0" r="9525" b="9525"/>
            <wp:wrapNone/>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0"/>
                    <a:stretch>
                      <a:fillRect/>
                    </a:stretch>
                  </pic:blipFill>
                  <pic:spPr>
                    <a:xfrm>
                      <a:off x="0" y="0"/>
                      <a:ext cx="5629275" cy="7553325"/>
                    </a:xfrm>
                    <a:prstGeom prst="rect">
                      <a:avLst/>
                    </a:prstGeom>
                    <a:noFill/>
                    <a:ln>
                      <a:noFill/>
                    </a:ln>
                  </pic:spPr>
                </pic:pic>
              </a:graphicData>
            </a:graphic>
          </wp:anchor>
        </w:drawing>
      </w: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360" w:lineRule="auto"/>
        <w:ind w:firstLine="0" w:firstLineChars="0"/>
        <w:jc w:val="center"/>
        <w:rPr>
          <w:color w:val="auto"/>
          <w:kern w:val="44"/>
        </w:rPr>
      </w:pPr>
    </w:p>
    <w:p>
      <w:pPr>
        <w:pStyle w:val="199"/>
        <w:snapToGrid w:val="0"/>
        <w:spacing w:line="240" w:lineRule="auto"/>
        <w:ind w:firstLine="0" w:firstLineChars="0"/>
        <w:jc w:val="center"/>
        <w:rPr>
          <w:b/>
          <w:color w:val="auto"/>
          <w:kern w:val="44"/>
        </w:rPr>
      </w:pPr>
      <w:r>
        <w:rPr>
          <w:rFonts w:hint="eastAsia" w:hAnsi="Times New Roman"/>
          <w:b/>
          <w:color w:val="auto"/>
          <w:spacing w:val="2"/>
        </w:rPr>
        <w:t>图1</w:t>
      </w:r>
      <w:r>
        <w:rPr>
          <w:rFonts w:hAnsi="Times New Roman"/>
          <w:b/>
          <w:color w:val="auto"/>
          <w:spacing w:val="2"/>
        </w:rPr>
        <w:t>.4</w:t>
      </w:r>
      <w:r>
        <w:rPr>
          <w:rFonts w:hint="eastAsia" w:hAnsi="Times New Roman"/>
          <w:b/>
          <w:color w:val="auto"/>
          <w:spacing w:val="2"/>
        </w:rPr>
        <w:t>-</w:t>
      </w:r>
      <w:r>
        <w:rPr>
          <w:rFonts w:hAnsi="Times New Roman"/>
          <w:b/>
          <w:color w:val="auto"/>
          <w:spacing w:val="2"/>
        </w:rPr>
        <w:t xml:space="preserve">4   </w:t>
      </w:r>
      <w:r>
        <w:rPr>
          <w:rFonts w:hint="eastAsia" w:hAnsi="Times New Roman"/>
          <w:b/>
          <w:color w:val="auto"/>
          <w:spacing w:val="2"/>
          <w:lang w:val="en-US" w:eastAsia="zh-CN"/>
        </w:rPr>
        <w:t>蔺河镇段与</w:t>
      </w:r>
      <w:r>
        <w:rPr>
          <w:rFonts w:hint="eastAsia" w:hAnsi="Times New Roman"/>
          <w:b/>
          <w:color w:val="auto"/>
          <w:spacing w:val="2"/>
        </w:rPr>
        <w:t>安康市“三线一单”管控单元比对图</w:t>
      </w:r>
    </w:p>
    <w:p>
      <w:pPr>
        <w:pStyle w:val="199"/>
        <w:snapToGrid w:val="0"/>
        <w:spacing w:line="360" w:lineRule="auto"/>
        <w:rPr>
          <w:color w:val="auto"/>
          <w:kern w:val="44"/>
        </w:rPr>
      </w:pPr>
      <w:r>
        <w:rPr>
          <w:color w:val="auto"/>
        </w:rPr>
        <w:drawing>
          <wp:anchor distT="0" distB="0" distL="114300" distR="114300" simplePos="0" relativeHeight="251669504" behindDoc="0" locked="0" layoutInCell="1" allowOverlap="1">
            <wp:simplePos x="0" y="0"/>
            <wp:positionH relativeFrom="column">
              <wp:posOffset>78105</wp:posOffset>
            </wp:positionH>
            <wp:positionV relativeFrom="paragraph">
              <wp:posOffset>207645</wp:posOffset>
            </wp:positionV>
            <wp:extent cx="5610225" cy="7543800"/>
            <wp:effectExtent l="0" t="0" r="9525" b="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a:stretch>
                      <a:fillRect/>
                    </a:stretch>
                  </pic:blipFill>
                  <pic:spPr>
                    <a:xfrm>
                      <a:off x="0" y="0"/>
                      <a:ext cx="5610225" cy="7543800"/>
                    </a:xfrm>
                    <a:prstGeom prst="rect">
                      <a:avLst/>
                    </a:prstGeom>
                    <a:noFill/>
                    <a:ln>
                      <a:noFill/>
                    </a:ln>
                  </pic:spPr>
                </pic:pic>
              </a:graphicData>
            </a:graphic>
          </wp:anchor>
        </w:drawing>
      </w: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360" w:lineRule="auto"/>
        <w:ind w:firstLine="0" w:firstLineChars="0"/>
        <w:rPr>
          <w:color w:val="auto"/>
          <w:kern w:val="44"/>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p>
    <w:p>
      <w:pPr>
        <w:pStyle w:val="199"/>
        <w:snapToGrid w:val="0"/>
        <w:spacing w:line="240" w:lineRule="auto"/>
        <w:ind w:firstLine="0" w:firstLineChars="0"/>
        <w:jc w:val="center"/>
        <w:rPr>
          <w:rFonts w:hint="eastAsia" w:hAnsi="Times New Roman"/>
          <w:b/>
          <w:color w:val="auto"/>
          <w:spacing w:val="2"/>
        </w:rPr>
      </w:pPr>
      <w:r>
        <w:rPr>
          <w:rFonts w:hint="eastAsia" w:hAnsi="Times New Roman"/>
          <w:b/>
          <w:color w:val="auto"/>
          <w:spacing w:val="2"/>
        </w:rPr>
        <w:t>图1</w:t>
      </w:r>
      <w:r>
        <w:rPr>
          <w:rFonts w:hAnsi="Times New Roman"/>
          <w:b/>
          <w:color w:val="auto"/>
          <w:spacing w:val="2"/>
        </w:rPr>
        <w:t>.4</w:t>
      </w:r>
      <w:r>
        <w:rPr>
          <w:rFonts w:hint="eastAsia" w:hAnsi="Times New Roman"/>
          <w:b/>
          <w:color w:val="auto"/>
          <w:spacing w:val="2"/>
        </w:rPr>
        <w:t>-</w:t>
      </w:r>
      <w:r>
        <w:rPr>
          <w:rFonts w:hAnsi="Times New Roman"/>
          <w:b/>
          <w:color w:val="auto"/>
          <w:spacing w:val="2"/>
        </w:rPr>
        <w:t xml:space="preserve">5   </w:t>
      </w:r>
      <w:r>
        <w:rPr>
          <w:rFonts w:hint="eastAsia" w:hAnsi="Times New Roman"/>
          <w:b/>
          <w:color w:val="auto"/>
          <w:spacing w:val="2"/>
          <w:lang w:val="en-US" w:eastAsia="zh-CN"/>
        </w:rPr>
        <w:t>城关镇段与</w:t>
      </w:r>
      <w:r>
        <w:rPr>
          <w:rFonts w:hint="eastAsia" w:hAnsi="Times New Roman"/>
          <w:b/>
          <w:color w:val="auto"/>
          <w:spacing w:val="2"/>
        </w:rPr>
        <w:t>安康市“三线一单”管控单元比对图</w:t>
      </w:r>
    </w:p>
    <w:p>
      <w:pPr>
        <w:pStyle w:val="199"/>
        <w:snapToGrid w:val="0"/>
        <w:spacing w:line="360" w:lineRule="auto"/>
        <w:ind w:left="0" w:leftChars="0" w:firstLine="0" w:firstLineChars="0"/>
        <w:rPr>
          <w:color w:val="auto"/>
          <w:kern w:val="44"/>
        </w:rPr>
      </w:pPr>
    </w:p>
    <w:p>
      <w:pPr>
        <w:pStyle w:val="199"/>
        <w:snapToGrid w:val="0"/>
        <w:spacing w:line="360" w:lineRule="auto"/>
        <w:rPr>
          <w:color w:val="auto"/>
          <w:kern w:val="44"/>
        </w:rPr>
        <w:sectPr>
          <w:footerReference r:id="rId13" w:type="default"/>
          <w:pgSz w:w="11906" w:h="16838"/>
          <w:pgMar w:top="1418" w:right="1531" w:bottom="1418" w:left="1418" w:header="851" w:footer="851" w:gutter="0"/>
          <w:pgBorders>
            <w:top w:val="none" w:sz="0" w:space="0"/>
            <w:left w:val="none" w:sz="0" w:space="0"/>
            <w:bottom w:val="none" w:sz="0" w:space="0"/>
            <w:right w:val="none" w:sz="0" w:space="0"/>
          </w:pgBorders>
          <w:pgNumType w:start="1"/>
          <w:cols w:space="0" w:num="1"/>
          <w:docGrid w:type="lines" w:linePitch="400" w:charSpace="0"/>
        </w:sectPr>
      </w:pPr>
    </w:p>
    <w:p>
      <w:pPr>
        <w:pStyle w:val="199"/>
        <w:snapToGrid w:val="0"/>
        <w:spacing w:line="360" w:lineRule="auto"/>
        <w:rPr>
          <w:color w:val="auto"/>
          <w:kern w:val="44"/>
        </w:rPr>
      </w:pPr>
      <w:r>
        <w:rPr>
          <w:rFonts w:hint="eastAsia"/>
          <w:color w:val="auto"/>
          <w:kern w:val="44"/>
        </w:rPr>
        <w:t>②“一表”</w:t>
      </w:r>
    </w:p>
    <w:p>
      <w:pPr>
        <w:pStyle w:val="199"/>
        <w:snapToGrid w:val="0"/>
        <w:spacing w:line="360" w:lineRule="auto"/>
        <w:rPr>
          <w:color w:val="auto"/>
          <w:kern w:val="44"/>
        </w:rPr>
      </w:pPr>
      <w:r>
        <w:rPr>
          <w:rFonts w:hint="eastAsia"/>
          <w:color w:val="auto"/>
          <w:kern w:val="44"/>
        </w:rPr>
        <w:t>通过陕西省“三线一单”数据应用系统分析比对，本项目与所在管控单元的的管控要求符合性分析表1</w:t>
      </w:r>
      <w:r>
        <w:rPr>
          <w:color w:val="auto"/>
          <w:kern w:val="44"/>
        </w:rPr>
        <w:t>.4</w:t>
      </w:r>
      <w:r>
        <w:rPr>
          <w:rFonts w:hint="eastAsia"/>
          <w:color w:val="auto"/>
          <w:kern w:val="44"/>
        </w:rPr>
        <w:t>-</w:t>
      </w:r>
      <w:r>
        <w:rPr>
          <w:color w:val="auto"/>
          <w:kern w:val="44"/>
        </w:rPr>
        <w:t>2</w:t>
      </w:r>
      <w:r>
        <w:rPr>
          <w:rFonts w:hint="eastAsia"/>
          <w:color w:val="auto"/>
          <w:kern w:val="44"/>
        </w:rPr>
        <w:t>。</w:t>
      </w:r>
    </w:p>
    <w:p>
      <w:pPr>
        <w:overflowPunct w:val="0"/>
        <w:adjustRightInd w:val="0"/>
        <w:snapToGrid w:val="0"/>
        <w:spacing w:before="200" w:beforeLines="50" w:line="240" w:lineRule="auto"/>
        <w:ind w:firstLine="482"/>
        <w:jc w:val="center"/>
        <w:rPr>
          <w:rFonts w:cs="Times New Roman"/>
          <w:b/>
          <w:color w:val="auto"/>
          <w:kern w:val="0"/>
        </w:rPr>
      </w:pPr>
      <w:r>
        <w:rPr>
          <w:rFonts w:cs="Times New Roman"/>
          <w:b/>
          <w:color w:val="auto"/>
          <w:kern w:val="0"/>
        </w:rPr>
        <w:t>表1.4-1  项目与“三线一单”的相符性分析表</w:t>
      </w:r>
    </w:p>
    <w:tbl>
      <w:tblPr>
        <w:tblStyle w:val="42"/>
        <w:tblW w:w="1451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573"/>
        <w:gridCol w:w="1240"/>
        <w:gridCol w:w="1272"/>
        <w:gridCol w:w="6095"/>
        <w:gridCol w:w="3260"/>
        <w:gridCol w:w="10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jc w:val="center"/>
        </w:trPr>
        <w:tc>
          <w:tcPr>
            <w:tcW w:w="1573" w:type="dxa"/>
            <w:tcBorders>
              <w:bottom w:val="single" w:color="auto" w:sz="12" w:space="0"/>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center"/>
              <w:rPr>
                <w:rFonts w:cs="Times New Roman"/>
                <w:b/>
                <w:bCs/>
                <w:color w:val="auto"/>
                <w:sz w:val="21"/>
                <w:szCs w:val="21"/>
                <w:lang w:bidi="en-US"/>
              </w:rPr>
            </w:pPr>
            <w:r>
              <w:rPr>
                <w:rFonts w:hint="eastAsia" w:cs="Times New Roman"/>
                <w:b/>
                <w:bCs/>
                <w:color w:val="auto"/>
                <w:sz w:val="21"/>
                <w:szCs w:val="21"/>
                <w:lang w:bidi="en-US"/>
              </w:rPr>
              <w:t>管控单元名称</w:t>
            </w:r>
          </w:p>
        </w:tc>
        <w:tc>
          <w:tcPr>
            <w:tcW w:w="1240" w:type="dxa"/>
            <w:tcBorders>
              <w:bottom w:val="single" w:color="auto" w:sz="12" w:space="0"/>
            </w:tcBorders>
            <w:vAlign w:val="center"/>
          </w:tcPr>
          <w:p>
            <w:pPr>
              <w:widowControl/>
              <w:topLinePunct/>
              <w:adjustRightInd w:val="0"/>
              <w:snapToGrid w:val="0"/>
              <w:spacing w:line="240" w:lineRule="auto"/>
              <w:ind w:firstLine="0" w:firstLineChars="0"/>
              <w:jc w:val="center"/>
              <w:rPr>
                <w:rFonts w:cs="Times New Roman"/>
                <w:b/>
                <w:bCs/>
                <w:color w:val="auto"/>
                <w:sz w:val="21"/>
                <w:szCs w:val="21"/>
                <w:lang w:bidi="en-US"/>
              </w:rPr>
            </w:pPr>
            <w:r>
              <w:rPr>
                <w:rFonts w:hint="eastAsia" w:cs="Times New Roman"/>
                <w:b/>
                <w:bCs/>
                <w:color w:val="auto"/>
                <w:sz w:val="21"/>
                <w:szCs w:val="21"/>
                <w:lang w:bidi="en-US"/>
              </w:rPr>
              <w:t>要素</w:t>
            </w:r>
          </w:p>
          <w:p>
            <w:pPr>
              <w:widowControl/>
              <w:topLinePunct/>
              <w:adjustRightInd w:val="0"/>
              <w:snapToGrid w:val="0"/>
              <w:spacing w:line="240" w:lineRule="auto"/>
              <w:ind w:firstLine="0" w:firstLineChars="0"/>
              <w:jc w:val="center"/>
              <w:rPr>
                <w:rFonts w:cs="Times New Roman"/>
                <w:b/>
                <w:bCs/>
                <w:color w:val="auto"/>
                <w:sz w:val="21"/>
                <w:szCs w:val="21"/>
                <w:lang w:bidi="en-US"/>
              </w:rPr>
            </w:pPr>
            <w:r>
              <w:rPr>
                <w:rFonts w:hint="eastAsia" w:cs="Times New Roman"/>
                <w:b/>
                <w:bCs/>
                <w:color w:val="auto"/>
                <w:sz w:val="21"/>
                <w:szCs w:val="21"/>
                <w:lang w:bidi="en-US"/>
              </w:rPr>
              <w:t>属性</w:t>
            </w:r>
          </w:p>
        </w:tc>
        <w:tc>
          <w:tcPr>
            <w:tcW w:w="7367" w:type="dxa"/>
            <w:gridSpan w:val="2"/>
            <w:tcBorders>
              <w:bottom w:val="single" w:color="auto" w:sz="12" w:space="0"/>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center"/>
              <w:rPr>
                <w:rFonts w:cs="Times New Roman"/>
                <w:b/>
                <w:bCs/>
                <w:color w:val="auto"/>
                <w:sz w:val="21"/>
                <w:szCs w:val="21"/>
                <w:lang w:bidi="en-US"/>
              </w:rPr>
            </w:pPr>
            <w:r>
              <w:rPr>
                <w:rFonts w:cs="Times New Roman"/>
                <w:b/>
                <w:bCs/>
                <w:color w:val="auto"/>
                <w:sz w:val="21"/>
                <w:szCs w:val="21"/>
                <w:lang w:bidi="en-US"/>
              </w:rPr>
              <w:t>要求</w:t>
            </w:r>
          </w:p>
        </w:tc>
        <w:tc>
          <w:tcPr>
            <w:tcW w:w="3260" w:type="dxa"/>
            <w:tcBorders>
              <w:bottom w:val="single" w:color="auto" w:sz="12" w:space="0"/>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center"/>
              <w:rPr>
                <w:rFonts w:cs="Times New Roman"/>
                <w:b/>
                <w:bCs/>
                <w:color w:val="auto"/>
                <w:sz w:val="21"/>
                <w:szCs w:val="21"/>
                <w:lang w:bidi="en-US"/>
              </w:rPr>
            </w:pPr>
            <w:r>
              <w:rPr>
                <w:rFonts w:cs="Times New Roman"/>
                <w:b/>
                <w:bCs/>
                <w:color w:val="auto"/>
                <w:sz w:val="21"/>
                <w:szCs w:val="21"/>
                <w:lang w:bidi="en-US"/>
              </w:rPr>
              <w:t>本项目情况</w:t>
            </w:r>
          </w:p>
        </w:tc>
        <w:tc>
          <w:tcPr>
            <w:tcW w:w="1076" w:type="dxa"/>
            <w:tcBorders>
              <w:bottom w:val="single" w:color="auto" w:sz="12" w:space="0"/>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center"/>
              <w:rPr>
                <w:rFonts w:cs="Times New Roman"/>
                <w:b/>
                <w:bCs/>
                <w:color w:val="auto"/>
                <w:sz w:val="21"/>
                <w:szCs w:val="21"/>
                <w:lang w:bidi="en-US"/>
              </w:rPr>
            </w:pPr>
            <w:r>
              <w:rPr>
                <w:rFonts w:cs="Times New Roman"/>
                <w:b/>
                <w:bCs/>
                <w:color w:val="auto"/>
                <w:sz w:val="21"/>
                <w:szCs w:val="21"/>
                <w:lang w:bidi="en-US"/>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1573" w:type="dxa"/>
            <w:vMerge w:val="restart"/>
            <w:tcBorders>
              <w:top w:val="single" w:color="auto" w:sz="12" w:space="0"/>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lang w:val="en-US" w:eastAsia="zh-CN" w:bidi="en-US"/>
              </w:rPr>
              <w:t>岚皋县优先保护</w:t>
            </w:r>
            <w:r>
              <w:rPr>
                <w:rFonts w:hint="eastAsia" w:cs="Times New Roman"/>
                <w:b/>
                <w:bCs/>
                <w:color w:val="auto"/>
                <w:sz w:val="21"/>
                <w:szCs w:val="21"/>
                <w:lang w:bidi="en-US"/>
              </w:rPr>
              <w:t>单元</w:t>
            </w:r>
          </w:p>
        </w:tc>
        <w:tc>
          <w:tcPr>
            <w:tcW w:w="1240" w:type="dxa"/>
            <w:vMerge w:val="restart"/>
            <w:tcBorders>
              <w:top w:val="single" w:color="auto" w:sz="12" w:space="0"/>
              <w:tl2br w:val="nil"/>
              <w:tr2bl w:val="nil"/>
            </w:tcBorders>
            <w:vAlign w:val="center"/>
          </w:tcPr>
          <w:p>
            <w:pPr>
              <w:widowControl/>
              <w:topLinePunct/>
              <w:adjustRightInd w:val="0"/>
              <w:snapToGrid w:val="0"/>
              <w:spacing w:line="240" w:lineRule="auto"/>
              <w:ind w:firstLine="0" w:firstLineChars="0"/>
              <w:jc w:val="center"/>
              <w:rPr>
                <w:rFonts w:hint="eastAsia" w:cs="Times New Roman"/>
                <w:bCs/>
                <w:color w:val="auto"/>
                <w:sz w:val="21"/>
                <w:szCs w:val="21"/>
                <w:lang w:val="en-US" w:eastAsia="zh-CN" w:bidi="en-US"/>
              </w:rPr>
            </w:pPr>
            <w:r>
              <w:rPr>
                <w:rFonts w:hint="eastAsia" w:cs="Times New Roman"/>
                <w:bCs/>
                <w:color w:val="auto"/>
                <w:sz w:val="21"/>
                <w:szCs w:val="21"/>
                <w:lang w:val="en-US" w:eastAsia="zh-CN" w:bidi="en-US"/>
              </w:rPr>
              <w:t>一般生态</w:t>
            </w:r>
          </w:p>
          <w:p>
            <w:pPr>
              <w:widowControl/>
              <w:topLinePunct/>
              <w:adjustRightInd w:val="0"/>
              <w:snapToGrid w:val="0"/>
              <w:spacing w:line="240" w:lineRule="auto"/>
              <w:ind w:firstLine="0" w:firstLineChars="0"/>
              <w:jc w:val="center"/>
              <w:rPr>
                <w:rFonts w:cs="Times New Roman"/>
                <w:bCs/>
                <w:color w:val="auto"/>
                <w:sz w:val="21"/>
                <w:szCs w:val="21"/>
                <w:lang w:bidi="en-US"/>
              </w:rPr>
            </w:pPr>
            <w:r>
              <w:rPr>
                <w:rFonts w:hint="eastAsia" w:cs="Times New Roman"/>
                <w:bCs/>
                <w:color w:val="auto"/>
                <w:sz w:val="21"/>
                <w:szCs w:val="21"/>
                <w:lang w:val="en-US" w:eastAsia="zh-CN" w:bidi="en-US"/>
              </w:rPr>
              <w:t>空间</w:t>
            </w:r>
          </w:p>
          <w:p>
            <w:pPr>
              <w:widowControl/>
              <w:topLinePunct/>
              <w:adjustRightInd w:val="0"/>
              <w:snapToGrid w:val="0"/>
              <w:spacing w:line="240" w:lineRule="auto"/>
              <w:ind w:firstLine="0" w:firstLineChars="0"/>
              <w:jc w:val="center"/>
              <w:rPr>
                <w:rFonts w:cs="Times New Roman"/>
                <w:bCs/>
                <w:color w:val="auto"/>
                <w:sz w:val="21"/>
                <w:szCs w:val="21"/>
                <w:lang w:bidi="en-US"/>
              </w:rPr>
            </w:pPr>
          </w:p>
        </w:tc>
        <w:tc>
          <w:tcPr>
            <w:tcW w:w="1272" w:type="dxa"/>
            <w:tcBorders>
              <w:top w:val="single" w:color="auto" w:sz="12" w:space="0"/>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center"/>
              <w:rPr>
                <w:rFonts w:cs="Times New Roman"/>
                <w:bCs/>
                <w:color w:val="auto"/>
                <w:sz w:val="21"/>
                <w:szCs w:val="21"/>
                <w:lang w:bidi="en-US"/>
              </w:rPr>
            </w:pPr>
            <w:r>
              <w:rPr>
                <w:rFonts w:hint="eastAsia" w:cs="Times New Roman"/>
                <w:bCs/>
                <w:color w:val="auto"/>
                <w:sz w:val="21"/>
                <w:szCs w:val="21"/>
                <w:lang w:bidi="en-US"/>
              </w:rPr>
              <w:t>空间布局约束</w:t>
            </w:r>
          </w:p>
        </w:tc>
        <w:tc>
          <w:tcPr>
            <w:tcW w:w="6095" w:type="dxa"/>
            <w:tcBorders>
              <w:top w:val="single" w:color="auto" w:sz="12" w:space="0"/>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left"/>
              <w:rPr>
                <w:rFonts w:cs="Times New Roman"/>
                <w:color w:val="auto"/>
                <w:sz w:val="21"/>
                <w:szCs w:val="21"/>
              </w:rPr>
            </w:pPr>
            <w:r>
              <w:rPr>
                <w:rFonts w:hint="eastAsia" w:cs="Times New Roman"/>
                <w:color w:val="auto"/>
                <w:sz w:val="21"/>
                <w:szCs w:val="21"/>
              </w:rPr>
              <w:t>原则上按照限制开发区进行管理，限制有损主导生态功能的开发建设活动。</w:t>
            </w:r>
          </w:p>
        </w:tc>
        <w:tc>
          <w:tcPr>
            <w:tcW w:w="3260" w:type="dxa"/>
            <w:tcBorders>
              <w:top w:val="single" w:color="auto" w:sz="12" w:space="0"/>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0" w:firstLineChars="0"/>
              <w:rPr>
                <w:rFonts w:cs="Times New Roman"/>
                <w:color w:val="auto"/>
                <w:sz w:val="21"/>
                <w:szCs w:val="21"/>
              </w:rPr>
            </w:pPr>
            <w:r>
              <w:rPr>
                <w:rFonts w:cs="Times New Roman"/>
                <w:color w:val="auto"/>
                <w:sz w:val="21"/>
                <w:szCs w:val="21"/>
              </w:rPr>
              <w:t>本项目</w:t>
            </w:r>
            <w:r>
              <w:rPr>
                <w:rFonts w:hint="eastAsia" w:cs="Times New Roman"/>
                <w:color w:val="auto"/>
                <w:sz w:val="21"/>
                <w:szCs w:val="21"/>
              </w:rPr>
              <w:t>为</w:t>
            </w:r>
            <w:r>
              <w:rPr>
                <w:rFonts w:hint="eastAsia" w:cs="Times New Roman"/>
                <w:color w:val="auto"/>
                <w:sz w:val="21"/>
                <w:szCs w:val="21"/>
                <w:lang w:val="en-US" w:eastAsia="zh-CN"/>
              </w:rPr>
              <w:t>岚皋县岚河流域生态缓冲带建设</w:t>
            </w:r>
            <w:r>
              <w:rPr>
                <w:rFonts w:hint="eastAsia" w:cs="Times New Roman"/>
                <w:color w:val="auto"/>
                <w:sz w:val="21"/>
                <w:szCs w:val="21"/>
              </w:rPr>
              <w:t>项目</w:t>
            </w:r>
            <w:r>
              <w:rPr>
                <w:rFonts w:cs="Times New Roman"/>
                <w:color w:val="auto"/>
                <w:sz w:val="21"/>
                <w:szCs w:val="21"/>
              </w:rPr>
              <w:t>，工程实施后自然风貌得到有效保护与修复，沿河两岸生态环境和水环境得到有效改善，提升沿河人居环境。</w:t>
            </w:r>
          </w:p>
        </w:tc>
        <w:tc>
          <w:tcPr>
            <w:tcW w:w="1076" w:type="dxa"/>
            <w:tcBorders>
              <w:top w:val="single" w:color="auto" w:sz="12" w:space="0"/>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1573" w:type="dxa"/>
            <w:vMerge w:val="continue"/>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p>
        </w:tc>
        <w:tc>
          <w:tcPr>
            <w:tcW w:w="1240" w:type="dxa"/>
            <w:vMerge w:val="continue"/>
            <w:tcBorders>
              <w:tl2br w:val="nil"/>
              <w:tr2bl w:val="nil"/>
            </w:tcBorders>
            <w:vAlign w:val="center"/>
          </w:tcPr>
          <w:p>
            <w:pPr>
              <w:widowControl/>
              <w:topLinePunct/>
              <w:adjustRightInd w:val="0"/>
              <w:snapToGrid w:val="0"/>
              <w:spacing w:line="240" w:lineRule="auto"/>
              <w:ind w:firstLine="0" w:firstLineChars="0"/>
              <w:jc w:val="center"/>
              <w:rPr>
                <w:rFonts w:cs="Times New Roman"/>
                <w:bCs/>
                <w:color w:val="auto"/>
                <w:sz w:val="21"/>
                <w:szCs w:val="21"/>
                <w:lang w:bidi="en-US"/>
              </w:rPr>
            </w:pPr>
          </w:p>
        </w:tc>
        <w:tc>
          <w:tcPr>
            <w:tcW w:w="1272"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center"/>
              <w:rPr>
                <w:rFonts w:cs="Times New Roman"/>
                <w:bCs/>
                <w:color w:val="auto"/>
                <w:sz w:val="21"/>
                <w:szCs w:val="21"/>
                <w:lang w:bidi="en-US"/>
              </w:rPr>
            </w:pPr>
            <w:r>
              <w:rPr>
                <w:rFonts w:hint="eastAsia" w:cs="Times New Roman"/>
                <w:bCs/>
                <w:color w:val="auto"/>
                <w:sz w:val="21"/>
                <w:szCs w:val="21"/>
                <w:lang w:bidi="en-US"/>
              </w:rPr>
              <w:t>污染物排放管控</w:t>
            </w:r>
          </w:p>
        </w:tc>
        <w:tc>
          <w:tcPr>
            <w:tcW w:w="6095"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420" w:firstLineChars="200"/>
              <w:jc w:val="center"/>
              <w:rPr>
                <w:rFonts w:cs="Times New Roman"/>
                <w:color w:val="auto"/>
                <w:sz w:val="21"/>
                <w:szCs w:val="21"/>
              </w:rPr>
            </w:pPr>
            <w:r>
              <w:rPr>
                <w:rFonts w:hint="eastAsia" w:cs="Times New Roman"/>
                <w:bCs/>
                <w:color w:val="auto"/>
                <w:sz w:val="21"/>
                <w:szCs w:val="21"/>
                <w:lang w:bidi="en-US"/>
              </w:rPr>
              <w:t>/</w:t>
            </w:r>
          </w:p>
        </w:tc>
        <w:tc>
          <w:tcPr>
            <w:tcW w:w="3260"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420" w:firstLineChars="200"/>
              <w:jc w:val="center"/>
              <w:rPr>
                <w:rFonts w:cs="Times New Roman"/>
                <w:color w:val="auto"/>
                <w:sz w:val="21"/>
                <w:szCs w:val="21"/>
              </w:rPr>
            </w:pPr>
            <w:r>
              <w:rPr>
                <w:rFonts w:hint="eastAsia" w:cs="Times New Roman"/>
                <w:bCs/>
                <w:color w:val="auto"/>
                <w:sz w:val="21"/>
                <w:szCs w:val="21"/>
                <w:lang w:bidi="en-US"/>
              </w:rPr>
              <w:t>/</w:t>
            </w:r>
          </w:p>
        </w:tc>
        <w:tc>
          <w:tcPr>
            <w:tcW w:w="1076"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420" w:firstLineChars="200"/>
              <w:jc w:val="both"/>
              <w:rPr>
                <w:rFonts w:cs="Times New Roman"/>
                <w:color w:val="auto"/>
                <w:sz w:val="21"/>
                <w:szCs w:val="21"/>
              </w:rPr>
            </w:pPr>
            <w:r>
              <w:rPr>
                <w:rFonts w:hint="eastAsia" w:cs="Times New Roman"/>
                <w:bCs/>
                <w:color w:val="auto"/>
                <w:sz w:val="21"/>
                <w:szCs w:val="21"/>
                <w:lang w:bidi="en-US"/>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1573" w:type="dxa"/>
            <w:vMerge w:val="continue"/>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p>
        </w:tc>
        <w:tc>
          <w:tcPr>
            <w:tcW w:w="1240" w:type="dxa"/>
            <w:vMerge w:val="continue"/>
            <w:tcBorders>
              <w:tl2br w:val="nil"/>
              <w:tr2bl w:val="nil"/>
            </w:tcBorders>
            <w:vAlign w:val="center"/>
          </w:tcPr>
          <w:p>
            <w:pPr>
              <w:widowControl/>
              <w:topLinePunct/>
              <w:adjustRightInd w:val="0"/>
              <w:snapToGrid w:val="0"/>
              <w:spacing w:line="240" w:lineRule="atLeast"/>
              <w:ind w:firstLine="0" w:firstLineChars="0"/>
              <w:jc w:val="center"/>
              <w:rPr>
                <w:rFonts w:cs="Times New Roman"/>
                <w:bCs/>
                <w:color w:val="auto"/>
                <w:sz w:val="21"/>
                <w:szCs w:val="21"/>
              </w:rPr>
            </w:pPr>
          </w:p>
        </w:tc>
        <w:tc>
          <w:tcPr>
            <w:tcW w:w="1272"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Cs/>
                <w:color w:val="auto"/>
                <w:sz w:val="21"/>
                <w:szCs w:val="21"/>
              </w:rPr>
            </w:pPr>
            <w:r>
              <w:rPr>
                <w:rFonts w:hint="eastAsia" w:cs="Times New Roman"/>
                <w:bCs/>
                <w:color w:val="auto"/>
                <w:sz w:val="21"/>
                <w:szCs w:val="21"/>
              </w:rPr>
              <w:t>环境风险防控</w:t>
            </w:r>
          </w:p>
        </w:tc>
        <w:tc>
          <w:tcPr>
            <w:tcW w:w="6095"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420" w:firstLineChars="200"/>
              <w:jc w:val="center"/>
              <w:rPr>
                <w:rFonts w:cs="Times New Roman"/>
                <w:color w:val="auto"/>
                <w:sz w:val="21"/>
                <w:szCs w:val="22"/>
              </w:rPr>
            </w:pPr>
            <w:r>
              <w:rPr>
                <w:rFonts w:hint="eastAsia" w:cs="Times New Roman"/>
                <w:bCs/>
                <w:color w:val="auto"/>
                <w:sz w:val="21"/>
                <w:szCs w:val="21"/>
                <w:lang w:bidi="en-US"/>
              </w:rPr>
              <w:t>/</w:t>
            </w:r>
          </w:p>
        </w:tc>
        <w:tc>
          <w:tcPr>
            <w:tcW w:w="3260"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420" w:firstLineChars="200"/>
              <w:jc w:val="center"/>
              <w:rPr>
                <w:rFonts w:cs="Times New Roman"/>
                <w:color w:val="auto"/>
                <w:sz w:val="21"/>
                <w:szCs w:val="21"/>
                <w:lang w:bidi="en-US"/>
              </w:rPr>
            </w:pPr>
            <w:r>
              <w:rPr>
                <w:rFonts w:hint="eastAsia" w:cs="Times New Roman"/>
                <w:bCs/>
                <w:color w:val="auto"/>
                <w:sz w:val="21"/>
                <w:szCs w:val="21"/>
                <w:lang w:bidi="en-US"/>
              </w:rPr>
              <w:t>/</w:t>
            </w:r>
          </w:p>
        </w:tc>
        <w:tc>
          <w:tcPr>
            <w:tcW w:w="1076"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420" w:firstLineChars="200"/>
              <w:jc w:val="both"/>
              <w:rPr>
                <w:rFonts w:cs="Times New Roman"/>
                <w:color w:val="auto"/>
                <w:sz w:val="21"/>
                <w:szCs w:val="21"/>
                <w:lang w:bidi="en-US"/>
              </w:rPr>
            </w:pPr>
            <w:r>
              <w:rPr>
                <w:rFonts w:hint="eastAsia" w:cs="Times New Roman"/>
                <w:bCs/>
                <w:color w:val="auto"/>
                <w:sz w:val="21"/>
                <w:szCs w:val="21"/>
                <w:lang w:bidi="en-US"/>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1573" w:type="dxa"/>
            <w:vMerge w:val="restar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hint="eastAsia" w:cs="Times New Roman"/>
                <w:b/>
                <w:bCs/>
                <w:color w:val="auto"/>
                <w:sz w:val="21"/>
                <w:szCs w:val="21"/>
                <w:lang w:bidi="en-US"/>
              </w:rPr>
            </w:pPr>
            <w:r>
              <w:rPr>
                <w:rFonts w:hint="eastAsia" w:cs="Times New Roman"/>
                <w:b/>
                <w:bCs/>
                <w:color w:val="auto"/>
                <w:sz w:val="21"/>
                <w:szCs w:val="21"/>
                <w:lang w:bidi="en-US"/>
              </w:rPr>
              <w:t>安康岚河湿地、</w:t>
            </w:r>
          </w:p>
          <w:p>
            <w:pPr>
              <w:widowControl/>
              <w:topLinePunct/>
              <w:adjustRightInd w:val="0"/>
              <w:snapToGrid w:val="0"/>
              <w:spacing w:line="240" w:lineRule="atLeast"/>
              <w:ind w:firstLine="0" w:firstLineChars="0"/>
              <w:jc w:val="center"/>
              <w:rPr>
                <w:rFonts w:hint="eastAsia" w:cs="Times New Roman"/>
                <w:b/>
                <w:bCs/>
                <w:color w:val="auto"/>
                <w:sz w:val="21"/>
                <w:szCs w:val="21"/>
                <w:lang w:bidi="en-US"/>
              </w:rPr>
            </w:pPr>
            <w:r>
              <w:rPr>
                <w:rFonts w:hint="eastAsia" w:cs="Times New Roman"/>
                <w:b/>
                <w:bCs/>
                <w:color w:val="auto"/>
                <w:sz w:val="21"/>
                <w:szCs w:val="21"/>
                <w:lang w:bidi="en-US"/>
              </w:rPr>
              <w:t>蔺河口水电站管控单元</w:t>
            </w:r>
          </w:p>
          <w:p>
            <w:pPr>
              <w:widowControl/>
              <w:topLinePunct/>
              <w:adjustRightInd w:val="0"/>
              <w:snapToGrid w:val="0"/>
              <w:spacing w:line="240" w:lineRule="atLeast"/>
              <w:ind w:firstLine="0" w:firstLineChars="0"/>
              <w:jc w:val="center"/>
              <w:rPr>
                <w:rFonts w:cs="Times New Roman"/>
                <w:b/>
                <w:bCs/>
                <w:color w:val="auto"/>
                <w:sz w:val="21"/>
                <w:szCs w:val="21"/>
              </w:rPr>
            </w:pPr>
          </w:p>
        </w:tc>
        <w:tc>
          <w:tcPr>
            <w:tcW w:w="1240" w:type="dxa"/>
            <w:vMerge w:val="restart"/>
            <w:tcBorders>
              <w:tl2br w:val="nil"/>
              <w:tr2bl w:val="nil"/>
            </w:tcBorders>
            <w:vAlign w:val="center"/>
          </w:tcPr>
          <w:p>
            <w:pPr>
              <w:widowControl/>
              <w:topLinePunct/>
              <w:adjustRightInd w:val="0"/>
              <w:snapToGrid w:val="0"/>
              <w:spacing w:line="240" w:lineRule="atLeast"/>
              <w:ind w:firstLine="0" w:firstLineChars="0"/>
              <w:jc w:val="center"/>
              <w:rPr>
                <w:rFonts w:cs="Times New Roman"/>
                <w:bCs/>
                <w:color w:val="auto"/>
                <w:sz w:val="21"/>
                <w:szCs w:val="21"/>
              </w:rPr>
            </w:pPr>
            <w:r>
              <w:rPr>
                <w:rFonts w:hint="eastAsia" w:cs="Times New Roman"/>
                <w:bCs/>
                <w:color w:val="auto"/>
                <w:sz w:val="21"/>
                <w:szCs w:val="21"/>
              </w:rPr>
              <w:t>生态保护红线-各类重要保护地</w:t>
            </w:r>
          </w:p>
        </w:tc>
        <w:tc>
          <w:tcPr>
            <w:tcW w:w="1272"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Cs/>
                <w:color w:val="auto"/>
                <w:sz w:val="21"/>
                <w:szCs w:val="21"/>
              </w:rPr>
            </w:pPr>
            <w:r>
              <w:rPr>
                <w:rFonts w:hint="eastAsia" w:cs="Times New Roman"/>
                <w:bCs/>
                <w:color w:val="auto"/>
                <w:sz w:val="21"/>
                <w:szCs w:val="21"/>
              </w:rPr>
              <w:t>空间布局约束</w:t>
            </w:r>
          </w:p>
        </w:tc>
        <w:tc>
          <w:tcPr>
            <w:tcW w:w="6095"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p>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1.管护巡护、保护执法、科学研究、调查监测、测绘导航、防灾减灾救灾、军事国防、疫情防控等活动及相关的必要设施修</w:t>
            </w:r>
          </w:p>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筑。</w:t>
            </w:r>
          </w:p>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2.原住居民和其他合法权益主体，允许在不扩大现有建设用地、用海用岛、耕地、水产养殖规模和放牧强度（符合草畜平衡</w:t>
            </w:r>
          </w:p>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管理规定）的前提下，开展种植、放牧、捕捞、养殖（不包括投礁型海洋牧场、围海养殖）等活动，修筑生产生活设施。</w:t>
            </w:r>
          </w:p>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3.经依法批准的考古调查发掘、古生物化石调查发掘、标本采集和文物保护活动。</w:t>
            </w:r>
          </w:p>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4.按规定对人工商品林进行抚育采伐，或以提升森林质量、优化栖息地、建设生物防火隔离带等为目的的树种更新，依法开展的竹林采伐经营。</w:t>
            </w:r>
          </w:p>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5.不破坏生态功能的适度参观旅游、科普宣教及符合相关规划的配套性服务设施和相关的必要公共设施建设及维护。</w:t>
            </w:r>
          </w:p>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6.必须且无法避让、符合县级以上国土空间规划的线性基础设施、通讯和防洪、供水设施建设和船舶航行、航道疏浚清淤等活动；已有的合法水利、交通运输等设施运行维护改造。</w:t>
            </w:r>
          </w:p>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8.依据县级以上国土空间规划和生态保护修复专项规划开展的生态修复。</w:t>
            </w:r>
          </w:p>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9.根据我国相关法律法规和与邻国签署的国界管理制度协定（条约）开展的边界边境通视道清理以及界务工程的修建、维护和拆除工作。</w:t>
            </w:r>
          </w:p>
          <w:p>
            <w:pPr>
              <w:widowControl/>
              <w:topLinePunct/>
              <w:adjustRightInd w:val="0"/>
              <w:snapToGrid w:val="0"/>
              <w:spacing w:line="240" w:lineRule="auto"/>
              <w:ind w:firstLine="0" w:firstLineChars="0"/>
              <w:jc w:val="left"/>
              <w:rPr>
                <w:rFonts w:hint="eastAsia" w:cs="Times New Roman"/>
                <w:color w:val="auto"/>
                <w:sz w:val="21"/>
                <w:szCs w:val="21"/>
              </w:rPr>
            </w:pPr>
            <w:r>
              <w:rPr>
                <w:rFonts w:hint="eastAsia" w:cs="Times New Roman"/>
                <w:color w:val="auto"/>
                <w:sz w:val="21"/>
                <w:szCs w:val="21"/>
              </w:rPr>
              <w:t>10.法律法规规定允许的其他人为活动。</w:t>
            </w:r>
          </w:p>
          <w:p>
            <w:pPr>
              <w:widowControl/>
              <w:topLinePunct/>
              <w:adjustRightInd w:val="0"/>
              <w:snapToGrid w:val="0"/>
              <w:spacing w:line="240" w:lineRule="auto"/>
              <w:ind w:firstLine="0" w:firstLineChars="0"/>
              <w:jc w:val="left"/>
              <w:rPr>
                <w:color w:val="auto"/>
              </w:rPr>
            </w:pPr>
            <w:r>
              <w:rPr>
                <w:rFonts w:hint="eastAsia" w:cs="Times New Roman"/>
                <w:color w:val="auto"/>
                <w:sz w:val="21"/>
                <w:szCs w:val="21"/>
              </w:rPr>
              <w:t>开展上述活动时禁止新增填海造地和新增围海。上述活动涉及利用无居民海岛的，原则上仅允许按照相关规定对海岛自然岸线、表面积、岛体、植被改变轻微的低影响利用方式</w:t>
            </w:r>
          </w:p>
        </w:tc>
        <w:tc>
          <w:tcPr>
            <w:tcW w:w="3260" w:type="dxa"/>
            <w:tcBorders>
              <w:tl2br w:val="nil"/>
              <w:tr2bl w:val="nil"/>
            </w:tcBorders>
            <w:tcMar>
              <w:top w:w="57" w:type="dxa"/>
              <w:left w:w="57" w:type="dxa"/>
              <w:bottom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cs="Times New Roman"/>
                <w:color w:val="auto"/>
                <w:sz w:val="21"/>
                <w:szCs w:val="21"/>
                <w:lang w:bidi="en-US"/>
              </w:rPr>
            </w:pPr>
            <w:r>
              <w:rPr>
                <w:rFonts w:cs="Times New Roman"/>
                <w:color w:val="auto"/>
                <w:sz w:val="21"/>
                <w:szCs w:val="21"/>
              </w:rPr>
              <w:t>本项目</w:t>
            </w:r>
            <w:r>
              <w:rPr>
                <w:rFonts w:hint="eastAsia" w:cs="Times New Roman"/>
                <w:color w:val="auto"/>
                <w:sz w:val="21"/>
                <w:szCs w:val="21"/>
              </w:rPr>
              <w:t>为</w:t>
            </w:r>
            <w:r>
              <w:rPr>
                <w:rFonts w:hint="eastAsia" w:cs="Times New Roman"/>
                <w:color w:val="auto"/>
                <w:sz w:val="21"/>
                <w:szCs w:val="21"/>
                <w:lang w:val="en-US" w:eastAsia="zh-CN"/>
              </w:rPr>
              <w:t>岚皋县岚河流域生态缓冲带建设</w:t>
            </w:r>
            <w:r>
              <w:rPr>
                <w:rFonts w:hint="eastAsia" w:cs="Times New Roman"/>
                <w:color w:val="auto"/>
                <w:sz w:val="21"/>
                <w:szCs w:val="21"/>
              </w:rPr>
              <w:t>项目，</w:t>
            </w:r>
            <w:r>
              <w:rPr>
                <w:rFonts w:hint="eastAsia" w:cs="Times New Roman"/>
                <w:color w:val="auto"/>
                <w:sz w:val="21"/>
                <w:szCs w:val="21"/>
                <w:lang w:val="en-US" w:eastAsia="zh-CN"/>
              </w:rPr>
              <w:t>工程实施后可提高岚河湿地的水质环境，有利于保护湿地公园的生态环境功能及生物多样性。属于</w:t>
            </w:r>
            <w:r>
              <w:rPr>
                <w:rFonts w:hint="eastAsia" w:cs="Times New Roman"/>
                <w:color w:val="auto"/>
                <w:sz w:val="21"/>
                <w:szCs w:val="21"/>
              </w:rPr>
              <w:t>县级以上国土空间规划和生态保护修复专项规划开展的生态修复项目。</w:t>
            </w:r>
          </w:p>
        </w:tc>
        <w:tc>
          <w:tcPr>
            <w:tcW w:w="1076"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color w:val="auto"/>
                <w:sz w:val="21"/>
                <w:szCs w:val="21"/>
                <w:lang w:bidi="en-US"/>
              </w:rPr>
            </w:pPr>
            <w:r>
              <w:rPr>
                <w:rFonts w:cs="Times New Roman"/>
                <w:color w:val="auto"/>
                <w:sz w:val="21"/>
                <w:szCs w:val="21"/>
                <w:lang w:bidi="en-US"/>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1573" w:type="dxa"/>
            <w:vMerge w:val="continue"/>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p>
        </w:tc>
        <w:tc>
          <w:tcPr>
            <w:tcW w:w="1240" w:type="dxa"/>
            <w:vMerge w:val="continue"/>
            <w:tcBorders>
              <w:tl2br w:val="nil"/>
              <w:tr2bl w:val="nil"/>
            </w:tcBorders>
            <w:vAlign w:val="center"/>
          </w:tcPr>
          <w:p>
            <w:pPr>
              <w:widowControl/>
              <w:topLinePunct/>
              <w:adjustRightInd w:val="0"/>
              <w:snapToGrid w:val="0"/>
              <w:spacing w:line="240" w:lineRule="atLeast"/>
              <w:ind w:firstLine="0" w:firstLineChars="0"/>
              <w:jc w:val="center"/>
              <w:rPr>
                <w:rFonts w:cs="Times New Roman"/>
                <w:b/>
                <w:bCs/>
                <w:color w:val="auto"/>
                <w:sz w:val="21"/>
                <w:szCs w:val="21"/>
              </w:rPr>
            </w:pPr>
          </w:p>
        </w:tc>
        <w:tc>
          <w:tcPr>
            <w:tcW w:w="1272"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hint="eastAsia" w:cs="Times New Roman"/>
                <w:b/>
                <w:bCs/>
                <w:color w:val="auto"/>
                <w:sz w:val="21"/>
                <w:szCs w:val="21"/>
              </w:rPr>
              <w:t>污染物排放管控</w:t>
            </w:r>
          </w:p>
        </w:tc>
        <w:tc>
          <w:tcPr>
            <w:tcW w:w="6095"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420" w:firstLineChars="200"/>
              <w:jc w:val="center"/>
              <w:rPr>
                <w:rFonts w:cs="Times New Roman"/>
                <w:color w:val="auto"/>
                <w:sz w:val="21"/>
                <w:szCs w:val="22"/>
              </w:rPr>
            </w:pPr>
            <w:r>
              <w:rPr>
                <w:rFonts w:hint="eastAsia" w:cs="Times New Roman"/>
                <w:bCs/>
                <w:color w:val="auto"/>
                <w:sz w:val="21"/>
                <w:szCs w:val="21"/>
                <w:lang w:bidi="en-US"/>
              </w:rPr>
              <w:t>/</w:t>
            </w:r>
          </w:p>
        </w:tc>
        <w:tc>
          <w:tcPr>
            <w:tcW w:w="3260"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420" w:firstLineChars="200"/>
              <w:jc w:val="center"/>
              <w:rPr>
                <w:rFonts w:cs="Times New Roman"/>
                <w:color w:val="auto"/>
                <w:sz w:val="21"/>
                <w:szCs w:val="21"/>
                <w:lang w:bidi="en-US"/>
              </w:rPr>
            </w:pPr>
            <w:r>
              <w:rPr>
                <w:rFonts w:hint="eastAsia" w:cs="Times New Roman"/>
                <w:bCs/>
                <w:color w:val="auto"/>
                <w:sz w:val="21"/>
                <w:szCs w:val="21"/>
                <w:lang w:bidi="en-US"/>
              </w:rPr>
              <w:t>/</w:t>
            </w:r>
          </w:p>
        </w:tc>
        <w:tc>
          <w:tcPr>
            <w:tcW w:w="1076" w:type="dxa"/>
            <w:tcBorders>
              <w:tl2br w:val="nil"/>
              <w:tr2bl w:val="nil"/>
            </w:tcBorders>
            <w:tcMar>
              <w:top w:w="57" w:type="dxa"/>
              <w:left w:w="57" w:type="dxa"/>
              <w:bottom w:w="57" w:type="dxa"/>
              <w:right w:w="57" w:type="dxa"/>
            </w:tcMar>
            <w:vAlign w:val="center"/>
          </w:tcPr>
          <w:p>
            <w:pPr>
              <w:keepNext w:val="0"/>
              <w:keepLines w:val="0"/>
              <w:pageBreakBefore w:val="0"/>
              <w:widowControl/>
              <w:kinsoku/>
              <w:wordWrap/>
              <w:overflowPunct/>
              <w:topLinePunct/>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en-US"/>
              </w:rPr>
            </w:pPr>
            <w:r>
              <w:rPr>
                <w:rFonts w:hint="eastAsia" w:cs="Times New Roman"/>
                <w:bCs/>
                <w:color w:val="auto"/>
                <w:sz w:val="21"/>
                <w:szCs w:val="21"/>
                <w:lang w:bidi="en-US"/>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1573" w:type="dxa"/>
            <w:vMerge w:val="continue"/>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p>
        </w:tc>
        <w:tc>
          <w:tcPr>
            <w:tcW w:w="1240" w:type="dxa"/>
            <w:vMerge w:val="continue"/>
            <w:tcBorders>
              <w:tl2br w:val="nil"/>
              <w:tr2bl w:val="nil"/>
            </w:tcBorders>
            <w:vAlign w:val="center"/>
          </w:tcPr>
          <w:p>
            <w:pPr>
              <w:widowControl/>
              <w:topLinePunct/>
              <w:adjustRightInd w:val="0"/>
              <w:snapToGrid w:val="0"/>
              <w:spacing w:line="240" w:lineRule="atLeast"/>
              <w:ind w:firstLine="0" w:firstLineChars="0"/>
              <w:jc w:val="center"/>
              <w:rPr>
                <w:rFonts w:cs="Times New Roman"/>
                <w:b/>
                <w:bCs/>
                <w:color w:val="auto"/>
                <w:sz w:val="21"/>
                <w:szCs w:val="21"/>
              </w:rPr>
            </w:pPr>
          </w:p>
        </w:tc>
        <w:tc>
          <w:tcPr>
            <w:tcW w:w="1272"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hint="eastAsia" w:cs="Times New Roman"/>
                <w:b/>
                <w:bCs/>
                <w:color w:val="auto"/>
                <w:sz w:val="21"/>
                <w:szCs w:val="21"/>
              </w:rPr>
            </w:pPr>
            <w:r>
              <w:rPr>
                <w:rFonts w:hint="eastAsia" w:cs="Times New Roman"/>
                <w:b/>
                <w:bCs/>
                <w:color w:val="auto"/>
                <w:sz w:val="21"/>
                <w:szCs w:val="21"/>
              </w:rPr>
              <w:t>环境风险</w:t>
            </w:r>
          </w:p>
          <w:p>
            <w:pPr>
              <w:widowControl/>
              <w:topLinePunct/>
              <w:adjustRightInd w:val="0"/>
              <w:snapToGrid w:val="0"/>
              <w:spacing w:line="240" w:lineRule="atLeast"/>
              <w:ind w:firstLine="0" w:firstLineChars="0"/>
              <w:jc w:val="center"/>
              <w:rPr>
                <w:rFonts w:cs="Times New Roman"/>
                <w:b/>
                <w:bCs/>
                <w:color w:val="auto"/>
                <w:sz w:val="21"/>
                <w:szCs w:val="21"/>
              </w:rPr>
            </w:pPr>
            <w:r>
              <w:rPr>
                <w:rFonts w:hint="eastAsia" w:cs="Times New Roman"/>
                <w:b/>
                <w:bCs/>
                <w:color w:val="auto"/>
                <w:sz w:val="21"/>
                <w:szCs w:val="21"/>
              </w:rPr>
              <w:t>防控</w:t>
            </w:r>
          </w:p>
        </w:tc>
        <w:tc>
          <w:tcPr>
            <w:tcW w:w="6095"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420" w:firstLineChars="200"/>
              <w:jc w:val="center"/>
              <w:rPr>
                <w:rFonts w:cs="Times New Roman"/>
                <w:bCs/>
                <w:color w:val="auto"/>
                <w:sz w:val="21"/>
                <w:szCs w:val="22"/>
              </w:rPr>
            </w:pPr>
            <w:r>
              <w:rPr>
                <w:rFonts w:hint="eastAsia" w:cs="Times New Roman"/>
                <w:bCs/>
                <w:color w:val="auto"/>
                <w:sz w:val="21"/>
                <w:szCs w:val="21"/>
                <w:lang w:bidi="en-US"/>
              </w:rPr>
              <w:t>/</w:t>
            </w:r>
          </w:p>
        </w:tc>
        <w:tc>
          <w:tcPr>
            <w:tcW w:w="3260"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420" w:firstLineChars="200"/>
              <w:jc w:val="center"/>
              <w:rPr>
                <w:rFonts w:cs="Times New Roman"/>
                <w:color w:val="auto"/>
                <w:sz w:val="21"/>
                <w:szCs w:val="21"/>
                <w:lang w:bidi="en-US"/>
              </w:rPr>
            </w:pPr>
            <w:r>
              <w:rPr>
                <w:rFonts w:hint="eastAsia" w:cs="Times New Roman"/>
                <w:bCs/>
                <w:color w:val="auto"/>
                <w:sz w:val="21"/>
                <w:szCs w:val="21"/>
                <w:lang w:bidi="en-US"/>
              </w:rPr>
              <w:t>/</w:t>
            </w:r>
          </w:p>
        </w:tc>
        <w:tc>
          <w:tcPr>
            <w:tcW w:w="1076" w:type="dxa"/>
            <w:tcBorders>
              <w:tl2br w:val="nil"/>
              <w:tr2bl w:val="nil"/>
            </w:tcBorders>
            <w:tcMar>
              <w:top w:w="57" w:type="dxa"/>
              <w:left w:w="57" w:type="dxa"/>
              <w:bottom w:w="57" w:type="dxa"/>
              <w:right w:w="57" w:type="dxa"/>
            </w:tcMar>
            <w:vAlign w:val="center"/>
          </w:tcPr>
          <w:p>
            <w:pPr>
              <w:keepNext w:val="0"/>
              <w:keepLines w:val="0"/>
              <w:pageBreakBefore w:val="0"/>
              <w:widowControl/>
              <w:kinsoku/>
              <w:wordWrap/>
              <w:overflowPunct/>
              <w:topLinePunct/>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en-US"/>
              </w:rPr>
            </w:pPr>
            <w:r>
              <w:rPr>
                <w:rFonts w:hint="eastAsia" w:cs="Times New Roman"/>
                <w:bCs/>
                <w:color w:val="auto"/>
                <w:sz w:val="21"/>
                <w:szCs w:val="21"/>
                <w:lang w:bidi="en-US"/>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1573" w:type="dxa"/>
            <w:vMerge w:val="restar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hint="eastAsia" w:cs="Times New Roman"/>
                <w:b/>
                <w:bCs/>
                <w:color w:val="auto"/>
                <w:sz w:val="21"/>
                <w:szCs w:val="21"/>
              </w:rPr>
            </w:pPr>
            <w:r>
              <w:rPr>
                <w:rFonts w:hint="eastAsia" w:cs="Times New Roman"/>
                <w:b/>
                <w:bCs/>
                <w:color w:val="auto"/>
                <w:sz w:val="21"/>
                <w:szCs w:val="21"/>
              </w:rPr>
              <w:t>岚皋县六口工</w:t>
            </w:r>
          </w:p>
          <w:p>
            <w:pPr>
              <w:widowControl/>
              <w:topLinePunct/>
              <w:adjustRightInd w:val="0"/>
              <w:snapToGrid w:val="0"/>
              <w:spacing w:line="240" w:lineRule="atLeast"/>
              <w:ind w:firstLine="0" w:firstLineChars="0"/>
              <w:jc w:val="center"/>
              <w:rPr>
                <w:rFonts w:cs="Times New Roman"/>
                <w:b/>
                <w:bCs/>
                <w:color w:val="auto"/>
                <w:sz w:val="21"/>
                <w:szCs w:val="21"/>
              </w:rPr>
            </w:pPr>
            <w:r>
              <w:rPr>
                <w:rFonts w:hint="eastAsia" w:cs="Times New Roman"/>
                <w:b/>
                <w:bCs/>
                <w:color w:val="auto"/>
                <w:sz w:val="21"/>
                <w:szCs w:val="21"/>
              </w:rPr>
              <w:t>业园区</w:t>
            </w:r>
          </w:p>
        </w:tc>
        <w:tc>
          <w:tcPr>
            <w:tcW w:w="1240" w:type="dxa"/>
            <w:vMerge w:val="restart"/>
            <w:tcBorders>
              <w:tl2br w:val="nil"/>
              <w:tr2bl w:val="nil"/>
            </w:tcBorders>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hint="eastAsia" w:cs="Times New Roman"/>
                <w:b w:val="0"/>
                <w:bCs w:val="0"/>
                <w:color w:val="auto"/>
                <w:sz w:val="21"/>
                <w:szCs w:val="21"/>
              </w:rPr>
              <w:t>大气环境高排放重点管控区</w:t>
            </w:r>
          </w:p>
        </w:tc>
        <w:tc>
          <w:tcPr>
            <w:tcW w:w="1272"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hint="eastAsia" w:cs="Times New Roman"/>
                <w:b/>
                <w:bCs/>
                <w:color w:val="auto"/>
                <w:sz w:val="21"/>
                <w:szCs w:val="21"/>
              </w:rPr>
            </w:pPr>
            <w:r>
              <w:rPr>
                <w:rFonts w:hint="eastAsia" w:cs="Times New Roman"/>
                <w:b/>
                <w:bCs/>
                <w:color w:val="auto"/>
                <w:sz w:val="21"/>
                <w:szCs w:val="21"/>
              </w:rPr>
              <w:t>空间布局约束</w:t>
            </w:r>
          </w:p>
        </w:tc>
        <w:tc>
          <w:tcPr>
            <w:tcW w:w="6095" w:type="dxa"/>
            <w:tcBorders>
              <w:tl2br w:val="nil"/>
              <w:tr2bl w:val="nil"/>
            </w:tcBorders>
            <w:tcMar>
              <w:top w:w="57" w:type="dxa"/>
              <w:left w:w="57" w:type="dxa"/>
              <w:bottom w:w="57" w:type="dxa"/>
              <w:right w:w="57" w:type="dxa"/>
            </w:tcMar>
            <w:vAlign w:val="center"/>
          </w:tcPr>
          <w:p>
            <w:pPr>
              <w:keepNext w:val="0"/>
              <w:keepLines w:val="0"/>
              <w:pageBreakBefore w:val="0"/>
              <w:widowControl/>
              <w:kinsoku/>
              <w:wordWrap/>
              <w:overflowPunct/>
              <w:topLinePunct/>
              <w:autoSpaceDE/>
              <w:autoSpaceDN/>
              <w:bidi w:val="0"/>
              <w:adjustRightInd w:val="0"/>
              <w:snapToGrid w:val="0"/>
              <w:spacing w:line="240" w:lineRule="auto"/>
              <w:ind w:firstLine="0" w:firstLineChars="0"/>
              <w:jc w:val="both"/>
              <w:textAlignment w:val="auto"/>
              <w:rPr>
                <w:rFonts w:hint="eastAsia" w:cs="Times New Roman"/>
                <w:bCs/>
                <w:color w:val="auto"/>
                <w:sz w:val="21"/>
                <w:szCs w:val="21"/>
                <w:lang w:bidi="en-US"/>
              </w:rPr>
            </w:pPr>
            <w:r>
              <w:rPr>
                <w:rFonts w:hint="eastAsia" w:cs="Times New Roman"/>
                <w:bCs/>
                <w:color w:val="auto"/>
                <w:sz w:val="21"/>
                <w:szCs w:val="21"/>
                <w:lang w:bidi="en-US"/>
              </w:rPr>
              <w:t>大气环境高排放重点管控区：</w:t>
            </w:r>
          </w:p>
          <w:p>
            <w:pPr>
              <w:keepNext w:val="0"/>
              <w:keepLines w:val="0"/>
              <w:pageBreakBefore w:val="0"/>
              <w:widowControl/>
              <w:kinsoku/>
              <w:wordWrap/>
              <w:overflowPunct/>
              <w:topLinePunct/>
              <w:autoSpaceDE/>
              <w:autoSpaceDN/>
              <w:bidi w:val="0"/>
              <w:adjustRightInd w:val="0"/>
              <w:snapToGrid w:val="0"/>
              <w:spacing w:line="240" w:lineRule="auto"/>
              <w:ind w:firstLine="0" w:firstLineChars="0"/>
              <w:jc w:val="both"/>
              <w:textAlignment w:val="auto"/>
              <w:rPr>
                <w:rFonts w:hint="eastAsia" w:cs="Times New Roman"/>
                <w:bCs/>
                <w:color w:val="auto"/>
                <w:sz w:val="21"/>
                <w:szCs w:val="21"/>
                <w:lang w:bidi="en-US"/>
              </w:rPr>
            </w:pPr>
            <w:r>
              <w:rPr>
                <w:rFonts w:hint="eastAsia" w:cs="Times New Roman"/>
                <w:bCs/>
                <w:color w:val="auto"/>
                <w:sz w:val="21"/>
                <w:szCs w:val="21"/>
                <w:lang w:bidi="en-US"/>
              </w:rPr>
              <w:t>1.优先发展绿色循环经济产业，推动绿色产品、高效节能产品。</w:t>
            </w:r>
          </w:p>
        </w:tc>
        <w:tc>
          <w:tcPr>
            <w:tcW w:w="3260" w:type="dxa"/>
            <w:vMerge w:val="restart"/>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left="0" w:leftChars="0" w:firstLine="0" w:firstLineChars="0"/>
              <w:jc w:val="both"/>
              <w:rPr>
                <w:rFonts w:hint="eastAsia" w:cs="Times New Roman"/>
                <w:bCs/>
                <w:color w:val="auto"/>
                <w:sz w:val="21"/>
                <w:szCs w:val="21"/>
                <w:lang w:bidi="en-US"/>
              </w:rPr>
            </w:pPr>
            <w:r>
              <w:rPr>
                <w:rFonts w:hint="eastAsia" w:cs="Times New Roman"/>
                <w:color w:val="auto"/>
                <w:sz w:val="21"/>
                <w:szCs w:val="22"/>
              </w:rPr>
              <w:t>本项目主要建设内容包括河道生态护岸建设、生态沟渠建设、</w:t>
            </w:r>
            <w:r>
              <w:rPr>
                <w:rFonts w:hint="eastAsia" w:cs="Times New Roman"/>
                <w:color w:val="auto"/>
                <w:sz w:val="21"/>
                <w:szCs w:val="22"/>
                <w:lang w:val="en-US" w:eastAsia="zh-CN"/>
              </w:rPr>
              <w:t>河床渗滤湿地、河道湿地</w:t>
            </w:r>
            <w:r>
              <w:rPr>
                <w:rFonts w:hint="eastAsia" w:cs="Times New Roman"/>
                <w:color w:val="auto"/>
                <w:sz w:val="21"/>
                <w:szCs w:val="22"/>
              </w:rPr>
              <w:t>建设</w:t>
            </w:r>
            <w:r>
              <w:rPr>
                <w:rFonts w:hint="eastAsia" w:cs="Times New Roman"/>
                <w:bCs/>
                <w:color w:val="auto"/>
                <w:sz w:val="21"/>
                <w:szCs w:val="21"/>
                <w:lang w:bidi="en-US"/>
              </w:rPr>
              <w:t>，项目施工临时占地在项目结束后，恢复原有使用功能。项目施工过程中不使用高污染燃料。</w:t>
            </w:r>
          </w:p>
        </w:tc>
        <w:tc>
          <w:tcPr>
            <w:tcW w:w="1076"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left="0" w:leftChars="0" w:firstLine="0" w:firstLineChars="0"/>
              <w:jc w:val="center"/>
              <w:rPr>
                <w:rFonts w:hint="default" w:eastAsia="宋体" w:cs="Times New Roman"/>
                <w:bCs/>
                <w:color w:val="auto"/>
                <w:sz w:val="21"/>
                <w:szCs w:val="21"/>
                <w:lang w:val="en-US" w:eastAsia="zh-CN" w:bidi="en-US"/>
              </w:rPr>
            </w:pPr>
            <w:r>
              <w:rPr>
                <w:rFonts w:hint="eastAsia" w:cs="Times New Roman"/>
                <w:bCs/>
                <w:color w:val="auto"/>
                <w:sz w:val="21"/>
                <w:szCs w:val="21"/>
                <w:lang w:val="en-US" w:eastAsia="zh-CN" w:bidi="en-US"/>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1573" w:type="dxa"/>
            <w:vMerge w:val="continue"/>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p>
        </w:tc>
        <w:tc>
          <w:tcPr>
            <w:tcW w:w="1240" w:type="dxa"/>
            <w:vMerge w:val="continue"/>
            <w:tcBorders>
              <w:tl2br w:val="nil"/>
              <w:tr2bl w:val="nil"/>
            </w:tcBorders>
            <w:vAlign w:val="center"/>
          </w:tcPr>
          <w:p>
            <w:pPr>
              <w:widowControl/>
              <w:topLinePunct/>
              <w:adjustRightInd w:val="0"/>
              <w:snapToGrid w:val="0"/>
              <w:spacing w:line="240" w:lineRule="atLeast"/>
              <w:ind w:firstLine="0" w:firstLineChars="0"/>
              <w:jc w:val="center"/>
              <w:rPr>
                <w:rFonts w:cs="Times New Roman"/>
                <w:b/>
                <w:bCs/>
                <w:color w:val="auto"/>
                <w:sz w:val="21"/>
                <w:szCs w:val="21"/>
              </w:rPr>
            </w:pPr>
          </w:p>
        </w:tc>
        <w:tc>
          <w:tcPr>
            <w:tcW w:w="1272"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hint="eastAsia" w:cs="Times New Roman"/>
                <w:b/>
                <w:bCs/>
                <w:color w:val="auto"/>
                <w:sz w:val="21"/>
                <w:szCs w:val="21"/>
              </w:rPr>
            </w:pPr>
            <w:r>
              <w:rPr>
                <w:rFonts w:hint="eastAsia" w:cs="Times New Roman"/>
                <w:b/>
                <w:bCs/>
                <w:color w:val="auto"/>
                <w:sz w:val="21"/>
                <w:szCs w:val="21"/>
              </w:rPr>
              <w:t>污染物排放管控</w:t>
            </w:r>
          </w:p>
        </w:tc>
        <w:tc>
          <w:tcPr>
            <w:tcW w:w="6095" w:type="dxa"/>
            <w:tcBorders>
              <w:tl2br w:val="nil"/>
              <w:tr2bl w:val="nil"/>
            </w:tcBorders>
            <w:tcMar>
              <w:top w:w="57" w:type="dxa"/>
              <w:left w:w="57" w:type="dxa"/>
              <w:bottom w:w="57" w:type="dxa"/>
              <w:right w:w="57" w:type="dxa"/>
            </w:tcMar>
            <w:vAlign w:val="center"/>
          </w:tcPr>
          <w:p>
            <w:pPr>
              <w:keepNext w:val="0"/>
              <w:keepLines w:val="0"/>
              <w:pageBreakBefore w:val="0"/>
              <w:widowControl/>
              <w:kinsoku/>
              <w:wordWrap/>
              <w:overflowPunct/>
              <w:topLinePunct/>
              <w:autoSpaceDE/>
              <w:autoSpaceDN/>
              <w:bidi w:val="0"/>
              <w:adjustRightInd w:val="0"/>
              <w:snapToGrid w:val="0"/>
              <w:spacing w:line="240" w:lineRule="auto"/>
              <w:ind w:firstLine="0" w:firstLineChars="0"/>
              <w:jc w:val="both"/>
              <w:textAlignment w:val="auto"/>
              <w:rPr>
                <w:rFonts w:hint="eastAsia" w:cs="Times New Roman"/>
                <w:bCs/>
                <w:color w:val="auto"/>
                <w:sz w:val="21"/>
                <w:szCs w:val="21"/>
                <w:lang w:bidi="en-US"/>
              </w:rPr>
            </w:pPr>
            <w:r>
              <w:rPr>
                <w:rFonts w:hint="eastAsia" w:cs="Times New Roman"/>
                <w:bCs/>
                <w:color w:val="auto"/>
                <w:sz w:val="21"/>
                <w:szCs w:val="21"/>
                <w:lang w:bidi="en-US"/>
              </w:rPr>
              <w:t>大气环境高排放重点管控区：</w:t>
            </w:r>
          </w:p>
          <w:p>
            <w:pPr>
              <w:keepNext w:val="0"/>
              <w:keepLines w:val="0"/>
              <w:pageBreakBefore w:val="0"/>
              <w:widowControl/>
              <w:kinsoku/>
              <w:wordWrap/>
              <w:overflowPunct/>
              <w:topLinePunct/>
              <w:autoSpaceDE/>
              <w:autoSpaceDN/>
              <w:bidi w:val="0"/>
              <w:adjustRightInd w:val="0"/>
              <w:snapToGrid w:val="0"/>
              <w:spacing w:line="240" w:lineRule="auto"/>
              <w:ind w:firstLine="0" w:firstLineChars="0"/>
              <w:jc w:val="both"/>
              <w:textAlignment w:val="auto"/>
              <w:rPr>
                <w:rFonts w:hint="eastAsia" w:cs="Times New Roman"/>
                <w:bCs/>
                <w:color w:val="auto"/>
                <w:sz w:val="21"/>
                <w:szCs w:val="21"/>
                <w:lang w:bidi="en-US"/>
              </w:rPr>
            </w:pPr>
            <w:r>
              <w:rPr>
                <w:rFonts w:hint="eastAsia" w:cs="Times New Roman"/>
                <w:bCs/>
                <w:color w:val="auto"/>
                <w:sz w:val="21"/>
                <w:szCs w:val="21"/>
                <w:lang w:bidi="en-US"/>
              </w:rPr>
              <w:t>1.对高能耗高污染行业企业采用更加先放管控进高效的污染控制措施。严格执行排污许可要求。</w:t>
            </w:r>
          </w:p>
        </w:tc>
        <w:tc>
          <w:tcPr>
            <w:tcW w:w="3260" w:type="dxa"/>
            <w:vMerge w:val="continue"/>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firstLine="420" w:firstLineChars="200"/>
              <w:jc w:val="center"/>
              <w:rPr>
                <w:rFonts w:hint="eastAsia" w:cs="Times New Roman"/>
                <w:bCs/>
                <w:color w:val="auto"/>
                <w:sz w:val="21"/>
                <w:szCs w:val="21"/>
                <w:lang w:bidi="en-US"/>
              </w:rPr>
            </w:pPr>
          </w:p>
        </w:tc>
        <w:tc>
          <w:tcPr>
            <w:tcW w:w="1076" w:type="dxa"/>
            <w:tcBorders>
              <w:tl2br w:val="nil"/>
              <w:tr2bl w:val="nil"/>
            </w:tcBorders>
            <w:tcMar>
              <w:top w:w="57" w:type="dxa"/>
              <w:left w:w="57" w:type="dxa"/>
              <w:bottom w:w="57" w:type="dxa"/>
              <w:right w:w="57" w:type="dxa"/>
            </w:tcMar>
            <w:vAlign w:val="center"/>
          </w:tcPr>
          <w:p>
            <w:pPr>
              <w:widowControl/>
              <w:topLinePunct/>
              <w:adjustRightInd w:val="0"/>
              <w:snapToGrid w:val="0"/>
              <w:spacing w:line="240" w:lineRule="auto"/>
              <w:ind w:left="0" w:leftChars="0" w:firstLine="0" w:firstLineChars="0"/>
              <w:jc w:val="center"/>
              <w:rPr>
                <w:rFonts w:hint="eastAsia" w:cs="Times New Roman"/>
                <w:bCs/>
                <w:color w:val="auto"/>
                <w:sz w:val="21"/>
                <w:szCs w:val="21"/>
                <w:lang w:bidi="en-US"/>
              </w:rPr>
            </w:pPr>
            <w:r>
              <w:rPr>
                <w:rFonts w:hint="eastAsia" w:cs="Times New Roman"/>
                <w:bCs/>
                <w:color w:val="auto"/>
                <w:sz w:val="21"/>
                <w:szCs w:val="21"/>
                <w:lang w:val="en-US" w:eastAsia="zh-CN" w:bidi="en-US"/>
              </w:rPr>
              <w:t>符合</w:t>
            </w:r>
          </w:p>
        </w:tc>
      </w:tr>
    </w:tbl>
    <w:p>
      <w:pPr>
        <w:snapToGrid w:val="0"/>
        <w:ind w:left="0" w:leftChars="0" w:firstLine="0" w:firstLineChars="0"/>
        <w:rPr>
          <w:rFonts w:ascii="宋体" w:hAnsi="宋体" w:cs="宋体"/>
          <w:color w:val="auto"/>
          <w:kern w:val="44"/>
          <w:highlight w:val="yellow"/>
        </w:rPr>
        <w:sectPr>
          <w:pgSz w:w="16838" w:h="11906" w:orient="landscape"/>
          <w:pgMar w:top="1418" w:right="1418" w:bottom="1531" w:left="1418" w:header="851" w:footer="851" w:gutter="0"/>
          <w:pgBorders>
            <w:top w:val="none" w:sz="0" w:space="0"/>
            <w:left w:val="none" w:sz="0" w:space="0"/>
            <w:bottom w:val="none" w:sz="0" w:space="0"/>
            <w:right w:val="none" w:sz="0" w:space="0"/>
          </w:pgBorders>
          <w:cols w:space="0" w:num="1"/>
          <w:docGrid w:type="lines" w:linePitch="400" w:charSpace="0"/>
        </w:sectPr>
      </w:pPr>
    </w:p>
    <w:p>
      <w:pPr>
        <w:snapToGrid w:val="0"/>
        <w:ind w:firstLine="480"/>
        <w:rPr>
          <w:rFonts w:cs="Times New Roman"/>
          <w:color w:val="auto"/>
          <w:kern w:val="44"/>
        </w:rPr>
      </w:pPr>
      <w:r>
        <w:rPr>
          <w:rFonts w:hint="eastAsia" w:ascii="宋体" w:hAnsi="宋体" w:cs="宋体"/>
          <w:color w:val="auto"/>
          <w:kern w:val="44"/>
        </w:rPr>
        <w:t>③</w:t>
      </w:r>
      <w:r>
        <w:rPr>
          <w:rFonts w:hint="eastAsia" w:cs="Times New Roman"/>
          <w:color w:val="auto"/>
          <w:kern w:val="44"/>
        </w:rPr>
        <w:t>“一说明”</w:t>
      </w:r>
    </w:p>
    <w:p>
      <w:pPr>
        <w:snapToGrid w:val="0"/>
        <w:ind w:firstLine="480"/>
        <w:rPr>
          <w:rFonts w:cs="Times New Roman"/>
          <w:color w:val="auto"/>
          <w:kern w:val="44"/>
        </w:rPr>
      </w:pPr>
      <w:r>
        <w:rPr>
          <w:rFonts w:hint="eastAsia" w:cs="Times New Roman"/>
          <w:color w:val="auto"/>
          <w:kern w:val="44"/>
        </w:rPr>
        <w:t>本项目位于安康市</w:t>
      </w:r>
      <w:r>
        <w:rPr>
          <w:rFonts w:hint="eastAsia" w:cs="Times New Roman"/>
          <w:color w:val="auto"/>
          <w:kern w:val="44"/>
          <w:lang w:val="en-US" w:eastAsia="zh-CN"/>
        </w:rPr>
        <w:t>岚皋县</w:t>
      </w:r>
      <w:r>
        <w:rPr>
          <w:rFonts w:hint="eastAsia" w:cs="Times New Roman"/>
          <w:color w:val="auto"/>
          <w:kern w:val="44"/>
        </w:rPr>
        <w:t>，属于安康市生态环境管控单元分布示意图中的一般管控单元</w:t>
      </w:r>
      <w:r>
        <w:rPr>
          <w:rFonts w:hint="eastAsia" w:cs="Times New Roman"/>
          <w:color w:val="auto"/>
          <w:kern w:val="44"/>
          <w:lang w:eastAsia="zh-CN"/>
        </w:rPr>
        <w:t>、</w:t>
      </w:r>
      <w:r>
        <w:rPr>
          <w:rFonts w:hint="eastAsia" w:cs="Times New Roman"/>
          <w:color w:val="auto"/>
          <w:kern w:val="44"/>
          <w:lang w:val="en-US" w:eastAsia="zh-CN"/>
        </w:rPr>
        <w:t>优先保护</w:t>
      </w:r>
      <w:r>
        <w:rPr>
          <w:rFonts w:cs="Times New Roman"/>
          <w:color w:val="auto"/>
          <w:kern w:val="44"/>
        </w:rPr>
        <w:t>单元</w:t>
      </w:r>
      <w:r>
        <w:rPr>
          <w:rFonts w:hint="eastAsia" w:cs="Times New Roman"/>
          <w:color w:val="auto"/>
          <w:kern w:val="44"/>
          <w:lang w:eastAsia="zh-CN"/>
        </w:rPr>
        <w:t>、</w:t>
      </w:r>
      <w:r>
        <w:rPr>
          <w:rFonts w:hint="eastAsia" w:cs="Times New Roman"/>
          <w:color w:val="auto"/>
          <w:kern w:val="44"/>
          <w:lang w:val="en-US" w:eastAsia="zh-CN"/>
        </w:rPr>
        <w:t>重点保护单元</w:t>
      </w:r>
      <w:r>
        <w:rPr>
          <w:rFonts w:hint="eastAsia" w:cs="Times New Roman"/>
          <w:color w:val="auto"/>
          <w:kern w:val="44"/>
        </w:rPr>
        <w:t>。</w:t>
      </w:r>
    </w:p>
    <w:p>
      <w:pPr>
        <w:snapToGrid w:val="0"/>
        <w:ind w:firstLine="480"/>
        <w:rPr>
          <w:rFonts w:cs="Times New Roman"/>
          <w:color w:val="auto"/>
          <w:kern w:val="44"/>
        </w:rPr>
      </w:pPr>
      <w:r>
        <w:rPr>
          <w:rFonts w:hint="eastAsia" w:cs="Times New Roman"/>
          <w:color w:val="auto"/>
          <w:kern w:val="44"/>
        </w:rPr>
        <w:t>项目地不涉及自然保护区、风景名胜区、森林公园、地质公园、世界自然和文化遗产、饮用水水源保护区等敏感区域。项目</w:t>
      </w:r>
      <w:r>
        <w:rPr>
          <w:rFonts w:cs="Times New Roman"/>
          <w:color w:val="auto"/>
        </w:rPr>
        <w:t>属于</w:t>
      </w:r>
      <w:r>
        <w:rPr>
          <w:rFonts w:hint="eastAsia" w:cs="Times New Roman"/>
          <w:color w:val="auto"/>
          <w:lang w:val="en-US" w:eastAsia="zh-CN"/>
        </w:rPr>
        <w:t>水污染防治综合治理</w:t>
      </w:r>
      <w:r>
        <w:rPr>
          <w:rFonts w:cs="Times New Roman"/>
          <w:color w:val="auto"/>
        </w:rPr>
        <w:t>工程</w:t>
      </w:r>
      <w:r>
        <w:rPr>
          <w:rFonts w:hint="eastAsia" w:cs="Times New Roman"/>
          <w:color w:val="auto"/>
        </w:rPr>
        <w:t>，主要工程内容为</w:t>
      </w:r>
      <w:r>
        <w:rPr>
          <w:rFonts w:hint="eastAsia" w:cs="Times New Roman"/>
          <w:color w:val="auto"/>
          <w:lang w:val="en-US" w:eastAsia="zh-CN"/>
        </w:rPr>
        <w:t>实施新建生态缓冲带，新建沟渠湿地，新建河床渗滤湿地，新建河道湿地，岚皋县县城污水处理厂中水回用系统建</w:t>
      </w:r>
      <w:r>
        <w:rPr>
          <w:rFonts w:hint="eastAsia" w:cs="Times New Roman"/>
          <w:color w:val="auto"/>
        </w:rPr>
        <w:t>，</w:t>
      </w:r>
      <w:r>
        <w:rPr>
          <w:rFonts w:hint="eastAsia" w:cs="Times New Roman"/>
          <w:color w:val="auto"/>
          <w:kern w:val="44"/>
        </w:rPr>
        <w:t>不属于污染类项目，不涉及重金属等排放。项目</w:t>
      </w:r>
      <w:r>
        <w:rPr>
          <w:rFonts w:hint="eastAsia" w:cs="Times New Roman"/>
          <w:color w:val="auto"/>
          <w:kern w:val="44"/>
          <w:lang w:val="en-US" w:eastAsia="zh-CN"/>
        </w:rPr>
        <w:t>岚河</w:t>
      </w:r>
      <w:r>
        <w:rPr>
          <w:rFonts w:hint="eastAsia" w:cs="Times New Roman"/>
          <w:color w:val="auto"/>
          <w:kern w:val="44"/>
        </w:rPr>
        <w:t>流域工程施工影响涉及陕西省重要湿地，项目实施过程采取必要措施减轻对湿地生态功能的不利影响，符合《陕西省湿地保护条例》相关要求。</w:t>
      </w:r>
    </w:p>
    <w:p>
      <w:pPr>
        <w:snapToGrid w:val="0"/>
        <w:ind w:firstLine="480"/>
        <w:rPr>
          <w:rFonts w:cs="Times New Roman"/>
          <w:color w:val="auto"/>
          <w:kern w:val="44"/>
        </w:rPr>
      </w:pPr>
      <w:r>
        <w:rPr>
          <w:rFonts w:hint="eastAsia" w:cs="Times New Roman"/>
          <w:color w:val="auto"/>
          <w:kern w:val="44"/>
        </w:rPr>
        <w:t>综上所述，本项目符合安康市</w:t>
      </w:r>
      <w:r>
        <w:rPr>
          <w:rFonts w:hint="eastAsia" w:cs="Times New Roman"/>
          <w:color w:val="auto"/>
          <w:kern w:val="44"/>
          <w:lang w:val="en-US" w:eastAsia="zh-CN"/>
        </w:rPr>
        <w:t>岚皋县</w:t>
      </w:r>
      <w:r>
        <w:rPr>
          <w:rFonts w:hint="eastAsia" w:cs="Times New Roman"/>
          <w:color w:val="auto"/>
          <w:kern w:val="44"/>
        </w:rPr>
        <w:t>生态环境准入清单的要求。</w:t>
      </w:r>
    </w:p>
    <w:p>
      <w:pPr>
        <w:keepNext/>
        <w:keepLines/>
        <w:numPr>
          <w:ilvl w:val="2"/>
          <w:numId w:val="0"/>
        </w:numPr>
        <w:snapToGrid w:val="0"/>
        <w:ind w:left="720"/>
        <w:outlineLvl w:val="2"/>
        <w:rPr>
          <w:rFonts w:eastAsia="黑体" w:cs="Times New Roman"/>
          <w:color w:val="auto"/>
        </w:rPr>
      </w:pPr>
      <w:r>
        <w:rPr>
          <w:rFonts w:eastAsia="黑体" w:cs="Times New Roman"/>
          <w:color w:val="auto"/>
        </w:rPr>
        <w:t>1.4.3相关规划</w:t>
      </w:r>
      <w:r>
        <w:rPr>
          <w:rFonts w:hint="eastAsia" w:eastAsia="黑体" w:cs="Times New Roman"/>
          <w:color w:val="auto"/>
        </w:rPr>
        <w:t>及环保政策</w:t>
      </w:r>
      <w:r>
        <w:rPr>
          <w:rFonts w:eastAsia="黑体" w:cs="Times New Roman"/>
          <w:color w:val="auto"/>
        </w:rPr>
        <w:t>符合性分析</w:t>
      </w:r>
    </w:p>
    <w:p>
      <w:pPr>
        <w:snapToGrid w:val="0"/>
        <w:ind w:firstLine="480"/>
        <w:rPr>
          <w:rFonts w:cs="Times New Roman"/>
          <w:color w:val="auto"/>
          <w:kern w:val="44"/>
        </w:rPr>
      </w:pPr>
      <w:r>
        <w:rPr>
          <w:rFonts w:cs="Times New Roman"/>
          <w:color w:val="auto"/>
          <w:kern w:val="44"/>
        </w:rPr>
        <w:t>项目与《陕西省“十四五”生态环境保护规划》《安康市“十四五”生态环境保护规划》《</w:t>
      </w:r>
      <w:r>
        <w:rPr>
          <w:rFonts w:hint="eastAsia" w:cs="Times New Roman"/>
          <w:color w:val="auto"/>
          <w:kern w:val="44"/>
          <w:lang w:val="en-US" w:eastAsia="zh-CN"/>
        </w:rPr>
        <w:t>岚皋县</w:t>
      </w:r>
      <w:r>
        <w:rPr>
          <w:rFonts w:cs="Times New Roman"/>
          <w:color w:val="auto"/>
          <w:kern w:val="44"/>
        </w:rPr>
        <w:t>“十四五”生态环境保护规划》</w:t>
      </w:r>
      <w:r>
        <w:rPr>
          <w:rFonts w:hint="eastAsia" w:cs="Times New Roman"/>
          <w:color w:val="auto"/>
          <w:kern w:val="44"/>
        </w:rPr>
        <w:t>《长江保护法》《陕西省汉江丹江流域水污染防治条例》《安康市汉江水质保护条例》《安康市深入打好污染防治攻坚战工作实施方案》</w:t>
      </w:r>
      <w:r>
        <w:rPr>
          <w:rFonts w:cs="Times New Roman"/>
          <w:color w:val="auto"/>
          <w:kern w:val="44"/>
        </w:rPr>
        <w:t>符合性分析见表1.4-3。</w:t>
      </w:r>
    </w:p>
    <w:p>
      <w:pPr>
        <w:pStyle w:val="7"/>
        <w:spacing w:after="0" w:line="240" w:lineRule="atLeast"/>
        <w:ind w:firstLine="0" w:firstLineChars="0"/>
        <w:jc w:val="center"/>
        <w:rPr>
          <w:rFonts w:cs="Times New Roman"/>
          <w:color w:val="auto"/>
        </w:rPr>
      </w:pPr>
      <w:r>
        <w:rPr>
          <w:rFonts w:cs="Times New Roman"/>
          <w:b/>
          <w:color w:val="auto"/>
          <w:kern w:val="0"/>
        </w:rPr>
        <w:t>表1.4-3  项目与</w:t>
      </w:r>
      <w:r>
        <w:rPr>
          <w:rFonts w:hint="eastAsia" w:cs="Times New Roman"/>
          <w:b/>
          <w:color w:val="auto"/>
          <w:kern w:val="0"/>
        </w:rPr>
        <w:t>生态环境保护规划</w:t>
      </w:r>
      <w:r>
        <w:rPr>
          <w:rFonts w:cs="Times New Roman"/>
          <w:b/>
          <w:color w:val="auto"/>
          <w:kern w:val="0"/>
        </w:rPr>
        <w:t>的相符性分析表</w:t>
      </w:r>
    </w:p>
    <w:tbl>
      <w:tblPr>
        <w:tblStyle w:val="42"/>
        <w:tblW w:w="5471"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0" w:type="dxa"/>
          <w:bottom w:w="0" w:type="dxa"/>
          <w:right w:w="0" w:type="dxa"/>
        </w:tblCellMar>
      </w:tblPr>
      <w:tblGrid>
        <w:gridCol w:w="1193"/>
        <w:gridCol w:w="4619"/>
        <w:gridCol w:w="3265"/>
        <w:gridCol w:w="84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10" w:hRule="atLeast"/>
          <w:tblHeader/>
          <w:jc w:val="center"/>
        </w:trPr>
        <w:tc>
          <w:tcPr>
            <w:tcW w:w="601" w:type="pct"/>
            <w:tcBorders>
              <w:bottom w:val="single" w:color="000000" w:sz="12" w:space="0"/>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规划名称</w:t>
            </w:r>
          </w:p>
        </w:tc>
        <w:tc>
          <w:tcPr>
            <w:tcW w:w="2327" w:type="pct"/>
            <w:tcBorders>
              <w:bottom w:val="single" w:color="000000" w:sz="12" w:space="0"/>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规划内容</w:t>
            </w:r>
          </w:p>
        </w:tc>
        <w:tc>
          <w:tcPr>
            <w:tcW w:w="1645" w:type="pct"/>
            <w:tcBorders>
              <w:bottom w:val="single" w:color="000000" w:sz="12" w:space="0"/>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本项目情况</w:t>
            </w:r>
          </w:p>
        </w:tc>
        <w:tc>
          <w:tcPr>
            <w:tcW w:w="427" w:type="pct"/>
            <w:tcBorders>
              <w:bottom w:val="single" w:color="000000" w:sz="12" w:space="0"/>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符合性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1903" w:hRule="atLeast"/>
          <w:jc w:val="center"/>
        </w:trPr>
        <w:tc>
          <w:tcPr>
            <w:tcW w:w="601" w:type="pct"/>
            <w:tcBorders>
              <w:top w:val="single" w:color="000000" w:sz="12" w:space="0"/>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《陕西省“十四五”生态环境保护规划》</w:t>
            </w:r>
          </w:p>
        </w:tc>
        <w:tc>
          <w:tcPr>
            <w:tcW w:w="2327" w:type="pct"/>
            <w:tcBorders>
              <w:top w:val="single" w:color="000000" w:sz="12" w:space="0"/>
              <w:tl2br w:val="nil"/>
              <w:tr2bl w:val="nil"/>
            </w:tcBorders>
            <w:tcMar>
              <w:top w:w="57" w:type="dxa"/>
              <w:left w:w="57" w:type="dxa"/>
              <w:bottom w:w="57" w:type="dxa"/>
              <w:right w:w="57" w:type="dxa"/>
            </w:tcMar>
            <w:vAlign w:val="center"/>
          </w:tcPr>
          <w:p>
            <w:pPr>
              <w:widowControl/>
              <w:topLinePunct/>
              <w:adjustRightInd w:val="0"/>
              <w:snapToGrid w:val="0"/>
              <w:spacing w:line="220" w:lineRule="atLeast"/>
              <w:ind w:firstLine="0" w:firstLineChars="0"/>
              <w:rPr>
                <w:rFonts w:cs="Times New Roman"/>
                <w:color w:val="auto"/>
                <w:sz w:val="21"/>
                <w:szCs w:val="21"/>
              </w:rPr>
            </w:pPr>
            <w:r>
              <w:rPr>
                <w:rFonts w:cs="Times New Roman"/>
                <w:color w:val="auto"/>
                <w:sz w:val="21"/>
                <w:szCs w:val="21"/>
              </w:rPr>
              <w:t>积极推动水生态扩容。按照“有河有水、有鱼有草、人水和谐”的原则，分区分类开展水生态恢复。对遭到破坏的水源涵养区、生态缓冲带，加强生态恢复与生态建设；对水生生境受损严重、水质状况较差的重点水体，因地制宜实施生态用水保障、污染物入河总量控制、生境修复等工程。</w:t>
            </w:r>
          </w:p>
        </w:tc>
        <w:tc>
          <w:tcPr>
            <w:tcW w:w="1645" w:type="pct"/>
            <w:tcBorders>
              <w:top w:val="single" w:color="000000" w:sz="12" w:space="0"/>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hint="eastAsia" w:cs="Times New Roman"/>
                <w:color w:val="auto"/>
                <w:sz w:val="21"/>
                <w:szCs w:val="21"/>
                <w:lang w:val="en-US" w:eastAsia="zh-CN"/>
              </w:rPr>
              <w:t>本</w:t>
            </w:r>
            <w:r>
              <w:rPr>
                <w:rFonts w:hint="eastAsia" w:cs="Times New Roman"/>
                <w:color w:val="auto"/>
                <w:sz w:val="21"/>
                <w:szCs w:val="21"/>
              </w:rPr>
              <w:t>项目</w:t>
            </w:r>
            <w:r>
              <w:rPr>
                <w:rFonts w:cs="Times New Roman"/>
                <w:color w:val="auto"/>
                <w:sz w:val="21"/>
                <w:szCs w:val="21"/>
              </w:rPr>
              <w:t>属于</w:t>
            </w:r>
            <w:r>
              <w:rPr>
                <w:rFonts w:hint="eastAsia" w:cs="Times New Roman"/>
                <w:color w:val="auto"/>
                <w:sz w:val="21"/>
                <w:szCs w:val="21"/>
                <w:lang w:val="en-US" w:eastAsia="zh-CN"/>
              </w:rPr>
              <w:t>水污染防治综合治理</w:t>
            </w:r>
            <w:r>
              <w:rPr>
                <w:rFonts w:cs="Times New Roman"/>
                <w:color w:val="auto"/>
                <w:sz w:val="21"/>
                <w:szCs w:val="21"/>
              </w:rPr>
              <w:t>工程</w:t>
            </w:r>
            <w:r>
              <w:rPr>
                <w:rFonts w:hint="eastAsia" w:cs="Times New Roman"/>
                <w:color w:val="auto"/>
                <w:sz w:val="21"/>
                <w:szCs w:val="21"/>
              </w:rPr>
              <w:t>，主要工程内容为</w:t>
            </w:r>
            <w:r>
              <w:rPr>
                <w:rFonts w:hint="eastAsia" w:cs="Times New Roman"/>
                <w:color w:val="auto"/>
                <w:sz w:val="21"/>
                <w:szCs w:val="21"/>
                <w:lang w:val="en-US" w:eastAsia="zh-CN"/>
              </w:rPr>
              <w:t>实施新建生态缓冲带，新建沟渠湿地，新建河床渗滤湿地，新建河道湿地</w:t>
            </w:r>
            <w:r>
              <w:rPr>
                <w:rFonts w:cs="Times New Roman"/>
                <w:color w:val="auto"/>
                <w:sz w:val="21"/>
                <w:szCs w:val="21"/>
              </w:rPr>
              <w:t>，项目实施后对提高</w:t>
            </w:r>
            <w:r>
              <w:rPr>
                <w:rFonts w:hint="eastAsia" w:cs="Times New Roman"/>
                <w:color w:val="auto"/>
                <w:sz w:val="21"/>
                <w:szCs w:val="21"/>
                <w:lang w:val="en-US" w:eastAsia="zh-CN"/>
              </w:rPr>
              <w:t>岚皋县</w:t>
            </w:r>
            <w:r>
              <w:rPr>
                <w:rFonts w:cs="Times New Roman"/>
                <w:color w:val="auto"/>
                <w:sz w:val="21"/>
                <w:szCs w:val="21"/>
              </w:rPr>
              <w:t>河道整体防洪安全、改善河道水质、加强截污控污等方面都有明显成效。</w:t>
            </w:r>
          </w:p>
        </w:tc>
        <w:tc>
          <w:tcPr>
            <w:tcW w:w="427" w:type="pct"/>
            <w:tcBorders>
              <w:top w:val="single" w:color="000000" w:sz="12" w:space="0"/>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color w:val="auto"/>
                <w:sz w:val="21"/>
                <w:szCs w:val="21"/>
                <w:lang w:bidi="en-US"/>
              </w:rPr>
            </w:pPr>
            <w:r>
              <w:rPr>
                <w:rFonts w:cs="Times New Roman"/>
                <w:color w:val="auto"/>
                <w:sz w:val="21"/>
                <w:szCs w:val="21"/>
                <w:lang w:bidi="en-US"/>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131" w:hRule="atLeast"/>
          <w:jc w:val="center"/>
        </w:trPr>
        <w:tc>
          <w:tcPr>
            <w:tcW w:w="601"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《安康市“十四五”生态环境保护规划》</w:t>
            </w:r>
          </w:p>
        </w:tc>
        <w:tc>
          <w:tcPr>
            <w:tcW w:w="2327" w:type="pct"/>
            <w:tcBorders>
              <w:tl2br w:val="nil"/>
              <w:tr2bl w:val="nil"/>
            </w:tcBorders>
            <w:tcMar>
              <w:top w:w="57" w:type="dxa"/>
              <w:left w:w="57" w:type="dxa"/>
              <w:bottom w:w="57" w:type="dxa"/>
              <w:right w:w="57" w:type="dxa"/>
            </w:tcMar>
            <w:vAlign w:val="center"/>
          </w:tcPr>
          <w:p>
            <w:pPr>
              <w:widowControl/>
              <w:topLinePunct/>
              <w:adjustRightInd w:val="0"/>
              <w:snapToGrid w:val="0"/>
              <w:spacing w:line="220" w:lineRule="atLeast"/>
              <w:ind w:firstLine="0" w:firstLineChars="0"/>
              <w:rPr>
                <w:rFonts w:cs="Times New Roman"/>
                <w:color w:val="auto"/>
                <w:sz w:val="21"/>
                <w:szCs w:val="21"/>
              </w:rPr>
            </w:pPr>
            <w:r>
              <w:rPr>
                <w:rFonts w:cs="Times New Roman"/>
                <w:color w:val="auto"/>
                <w:sz w:val="21"/>
                <w:szCs w:val="21"/>
              </w:rPr>
              <w:t>积极推动水生态扩容。按照“有河有水、有鱼有草、人水和谐”的原则，分区分类开展水生态恢复。对遭到破坏的水源涵养区、生态缓冲带，加强生态恢复与生态建设；对水生态环境受损严重、水质状况较差的重点水体，因地制宜设计人工湿地净化、生态修复工程。进一步加强湿地、水源涵养区、水域及其缓冲带、自然岸线等重要生态空间的水生态保护管理。</w:t>
            </w:r>
          </w:p>
        </w:tc>
        <w:tc>
          <w:tcPr>
            <w:tcW w:w="1645"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hint="eastAsia" w:cs="Times New Roman"/>
                <w:color w:val="auto"/>
                <w:sz w:val="21"/>
                <w:szCs w:val="21"/>
                <w:lang w:val="en-US" w:eastAsia="zh-CN"/>
              </w:rPr>
              <w:t>本</w:t>
            </w:r>
            <w:r>
              <w:rPr>
                <w:rFonts w:hint="eastAsia" w:cs="Times New Roman"/>
                <w:color w:val="auto"/>
                <w:sz w:val="21"/>
                <w:szCs w:val="21"/>
              </w:rPr>
              <w:t>项目</w:t>
            </w:r>
            <w:r>
              <w:rPr>
                <w:rFonts w:cs="Times New Roman"/>
                <w:color w:val="auto"/>
                <w:sz w:val="21"/>
                <w:szCs w:val="21"/>
              </w:rPr>
              <w:t>属于</w:t>
            </w:r>
            <w:r>
              <w:rPr>
                <w:rFonts w:hint="eastAsia" w:cs="Times New Roman"/>
                <w:color w:val="auto"/>
                <w:sz w:val="21"/>
                <w:szCs w:val="21"/>
                <w:lang w:val="en-US" w:eastAsia="zh-CN"/>
              </w:rPr>
              <w:t>水污染防治综合治理</w:t>
            </w:r>
            <w:r>
              <w:rPr>
                <w:rFonts w:cs="Times New Roman"/>
                <w:color w:val="auto"/>
                <w:sz w:val="21"/>
                <w:szCs w:val="21"/>
              </w:rPr>
              <w:t>工程</w:t>
            </w:r>
            <w:r>
              <w:rPr>
                <w:rFonts w:hint="eastAsia" w:cs="Times New Roman"/>
                <w:color w:val="auto"/>
                <w:sz w:val="21"/>
                <w:szCs w:val="21"/>
              </w:rPr>
              <w:t>，主要工程内容为</w:t>
            </w:r>
            <w:r>
              <w:rPr>
                <w:rFonts w:hint="eastAsia" w:cs="Times New Roman"/>
                <w:color w:val="auto"/>
                <w:sz w:val="21"/>
                <w:szCs w:val="21"/>
                <w:lang w:val="en-US" w:eastAsia="zh-CN"/>
              </w:rPr>
              <w:t>实施新建生态缓冲带，新建沟渠湿地，新建河床渗滤湿地，新建河道湿地，</w:t>
            </w:r>
            <w:r>
              <w:rPr>
                <w:rFonts w:cs="Times New Roman"/>
                <w:color w:val="auto"/>
                <w:sz w:val="21"/>
                <w:szCs w:val="21"/>
              </w:rPr>
              <w:t>项目实施后对提高</w:t>
            </w:r>
            <w:r>
              <w:rPr>
                <w:rFonts w:hint="eastAsia" w:cs="Times New Roman"/>
                <w:color w:val="auto"/>
                <w:sz w:val="21"/>
                <w:szCs w:val="21"/>
                <w:lang w:val="en-US" w:eastAsia="zh-CN"/>
              </w:rPr>
              <w:t>岚皋县</w:t>
            </w:r>
            <w:r>
              <w:rPr>
                <w:rFonts w:cs="Times New Roman"/>
                <w:color w:val="auto"/>
                <w:sz w:val="21"/>
                <w:szCs w:val="21"/>
              </w:rPr>
              <w:t>河道整体防洪安全、改善河道水质、加强截污控污等方面都有明显成效。</w:t>
            </w:r>
          </w:p>
        </w:tc>
        <w:tc>
          <w:tcPr>
            <w:tcW w:w="427"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color w:val="auto"/>
                <w:sz w:val="21"/>
                <w:szCs w:val="21"/>
                <w:lang w:bidi="en-US"/>
              </w:rPr>
            </w:pPr>
            <w:r>
              <w:rPr>
                <w:rFonts w:cs="Times New Roman"/>
                <w:color w:val="auto"/>
                <w:sz w:val="21"/>
                <w:szCs w:val="21"/>
                <w:lang w:bidi="en-US"/>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97" w:hRule="atLeast"/>
          <w:jc w:val="center"/>
        </w:trPr>
        <w:tc>
          <w:tcPr>
            <w:tcW w:w="601"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w:t>
            </w:r>
            <w:r>
              <w:rPr>
                <w:rFonts w:hint="eastAsia" w:cs="Times New Roman"/>
                <w:b/>
                <w:bCs/>
                <w:color w:val="auto"/>
                <w:sz w:val="21"/>
                <w:szCs w:val="21"/>
                <w:lang w:val="en-US" w:eastAsia="zh-CN"/>
              </w:rPr>
              <w:t>岚皋县</w:t>
            </w:r>
            <w:r>
              <w:rPr>
                <w:rFonts w:cs="Times New Roman"/>
                <w:b/>
                <w:bCs/>
                <w:color w:val="auto"/>
                <w:sz w:val="21"/>
                <w:szCs w:val="21"/>
              </w:rPr>
              <w:t>“十四五”生态环境保护规划》</w:t>
            </w:r>
          </w:p>
        </w:tc>
        <w:tc>
          <w:tcPr>
            <w:tcW w:w="2327" w:type="pct"/>
            <w:tcBorders>
              <w:tl2br w:val="nil"/>
              <w:tr2bl w:val="nil"/>
            </w:tcBorders>
            <w:tcMar>
              <w:top w:w="57" w:type="dxa"/>
              <w:left w:w="57" w:type="dxa"/>
              <w:bottom w:w="57" w:type="dxa"/>
              <w:right w:w="57" w:type="dxa"/>
            </w:tcMar>
            <w:vAlign w:val="center"/>
          </w:tcPr>
          <w:p>
            <w:pPr>
              <w:widowControl/>
              <w:topLinePunct/>
              <w:adjustRightInd w:val="0"/>
              <w:snapToGrid w:val="0"/>
              <w:spacing w:line="220" w:lineRule="atLeast"/>
              <w:ind w:firstLine="0" w:firstLineChars="0"/>
              <w:rPr>
                <w:rFonts w:hint="default" w:eastAsia="宋体" w:cs="Times New Roman"/>
                <w:color w:val="auto"/>
                <w:sz w:val="21"/>
                <w:szCs w:val="21"/>
                <w:lang w:val="en-US" w:eastAsia="zh-CN"/>
              </w:rPr>
            </w:pPr>
            <w:r>
              <w:rPr>
                <w:rFonts w:hint="eastAsia" w:cs="Times New Roman"/>
                <w:color w:val="auto"/>
                <w:sz w:val="21"/>
                <w:szCs w:val="21"/>
                <w:lang w:val="en-US" w:eastAsia="zh-CN"/>
              </w:rPr>
              <w:t>全面加强水上污染源收集，岸上污染源全治理，探索重点河湖生态治理与修复工程生态</w:t>
            </w:r>
            <w:r>
              <w:rPr>
                <w:rFonts w:cs="Times New Roman"/>
                <w:color w:val="auto"/>
                <w:sz w:val="21"/>
                <w:szCs w:val="21"/>
              </w:rPr>
              <w:t>。</w:t>
            </w:r>
            <w:r>
              <w:rPr>
                <w:rFonts w:hint="eastAsia" w:cs="Times New Roman"/>
                <w:color w:val="auto"/>
                <w:sz w:val="21"/>
                <w:szCs w:val="21"/>
                <w:lang w:val="en-US" w:eastAsia="zh-CN"/>
              </w:rPr>
              <w:t>加强流域综合治理和农业面源污染防治，实施水污染防治、水量保障、水生物保护、河湖连通、综合开发利用等工程建设，加强流域环境综合整治，以岚河、大道河、洞河流域水生态修复与治理工程为重点，着力改善重点流域水质。积极推动生态扩容，确保水域面积只增不减。</w:t>
            </w:r>
          </w:p>
        </w:tc>
        <w:tc>
          <w:tcPr>
            <w:tcW w:w="1645"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hint="eastAsia" w:cs="Times New Roman"/>
                <w:color w:val="auto"/>
                <w:sz w:val="21"/>
                <w:szCs w:val="21"/>
                <w:lang w:val="en-US" w:eastAsia="zh-CN"/>
              </w:rPr>
              <w:t>本</w:t>
            </w:r>
            <w:r>
              <w:rPr>
                <w:rFonts w:hint="eastAsia" w:cs="Times New Roman"/>
                <w:color w:val="auto"/>
                <w:sz w:val="21"/>
                <w:szCs w:val="21"/>
              </w:rPr>
              <w:t>项目</w:t>
            </w:r>
            <w:r>
              <w:rPr>
                <w:rFonts w:cs="Times New Roman"/>
                <w:color w:val="auto"/>
                <w:sz w:val="21"/>
                <w:szCs w:val="21"/>
              </w:rPr>
              <w:t>属于</w:t>
            </w:r>
            <w:r>
              <w:rPr>
                <w:rFonts w:hint="eastAsia" w:cs="Times New Roman"/>
                <w:color w:val="auto"/>
                <w:sz w:val="21"/>
                <w:szCs w:val="21"/>
                <w:lang w:val="en-US" w:eastAsia="zh-CN"/>
              </w:rPr>
              <w:t>水污染防治综合治理</w:t>
            </w:r>
            <w:r>
              <w:rPr>
                <w:rFonts w:cs="Times New Roman"/>
                <w:color w:val="auto"/>
                <w:sz w:val="21"/>
                <w:szCs w:val="21"/>
              </w:rPr>
              <w:t>工程</w:t>
            </w:r>
            <w:r>
              <w:rPr>
                <w:rFonts w:hint="eastAsia" w:cs="Times New Roman"/>
                <w:color w:val="auto"/>
                <w:sz w:val="21"/>
                <w:szCs w:val="21"/>
              </w:rPr>
              <w:t>，主要工程内容为</w:t>
            </w:r>
            <w:r>
              <w:rPr>
                <w:rFonts w:hint="eastAsia" w:cs="Times New Roman"/>
                <w:color w:val="auto"/>
                <w:sz w:val="21"/>
                <w:szCs w:val="21"/>
                <w:lang w:val="en-US" w:eastAsia="zh-CN"/>
              </w:rPr>
              <w:t>实施新建生态缓冲带，新建沟渠湿地，新建河床渗滤湿地，新建河道湿地，</w:t>
            </w:r>
            <w:r>
              <w:rPr>
                <w:rFonts w:cs="Times New Roman"/>
                <w:color w:val="auto"/>
                <w:sz w:val="21"/>
                <w:szCs w:val="21"/>
              </w:rPr>
              <w:t>项目实施后有利于保护河道岸线</w:t>
            </w:r>
            <w:r>
              <w:rPr>
                <w:rFonts w:hint="eastAsia" w:cs="Times New Roman"/>
                <w:color w:val="auto"/>
                <w:sz w:val="21"/>
                <w:szCs w:val="21"/>
              </w:rPr>
              <w:t>，扩大</w:t>
            </w:r>
            <w:r>
              <w:rPr>
                <w:rFonts w:cs="Times New Roman"/>
                <w:color w:val="auto"/>
                <w:sz w:val="21"/>
                <w:szCs w:val="21"/>
              </w:rPr>
              <w:t>水域面积。</w:t>
            </w:r>
          </w:p>
        </w:tc>
        <w:tc>
          <w:tcPr>
            <w:tcW w:w="427"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97" w:hRule="atLeast"/>
          <w:jc w:val="center"/>
        </w:trPr>
        <w:tc>
          <w:tcPr>
            <w:tcW w:w="601"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hint="eastAsia" w:cs="Times New Roman"/>
                <w:b/>
                <w:bCs/>
                <w:color w:val="auto"/>
                <w:sz w:val="21"/>
                <w:szCs w:val="21"/>
              </w:rPr>
              <w:t>《长江保护法》</w:t>
            </w:r>
          </w:p>
        </w:tc>
        <w:tc>
          <w:tcPr>
            <w:tcW w:w="2327" w:type="pct"/>
            <w:tcBorders>
              <w:tl2br w:val="nil"/>
              <w:tr2bl w:val="nil"/>
            </w:tcBorders>
            <w:tcMar>
              <w:top w:w="57" w:type="dxa"/>
              <w:left w:w="57" w:type="dxa"/>
              <w:bottom w:w="57" w:type="dxa"/>
              <w:right w:w="57" w:type="dxa"/>
            </w:tcMar>
            <w:vAlign w:val="center"/>
          </w:tcPr>
          <w:p>
            <w:pPr>
              <w:widowControl/>
              <w:topLinePunct/>
              <w:adjustRightInd w:val="0"/>
              <w:snapToGrid w:val="0"/>
              <w:spacing w:line="220" w:lineRule="atLeast"/>
              <w:ind w:firstLine="0" w:firstLineChars="0"/>
              <w:rPr>
                <w:rFonts w:cs="Times New Roman"/>
                <w:color w:val="auto"/>
                <w:sz w:val="21"/>
                <w:szCs w:val="21"/>
              </w:rPr>
            </w:pPr>
            <w:r>
              <w:rPr>
                <w:rFonts w:hint="eastAsia" w:cs="Times New Roman"/>
                <w:color w:val="auto"/>
                <w:sz w:val="21"/>
                <w:szCs w:val="21"/>
              </w:rPr>
              <w:t>第二十七条 严格限制在长江流域生态保护红线、自然保护地、水生生物重要栖息地水域实施航道整治工程；确需整治的，应当经科学论证，并依法办理相关手续。</w:t>
            </w:r>
          </w:p>
          <w:p>
            <w:pPr>
              <w:widowControl/>
              <w:topLinePunct/>
              <w:adjustRightInd w:val="0"/>
              <w:snapToGrid w:val="0"/>
              <w:spacing w:line="220" w:lineRule="atLeast"/>
              <w:ind w:firstLine="0" w:firstLineChars="0"/>
              <w:rPr>
                <w:color w:val="auto"/>
              </w:rPr>
            </w:pPr>
            <w:r>
              <w:rPr>
                <w:rFonts w:hint="eastAsia" w:cs="Times New Roman"/>
                <w:color w:val="auto"/>
                <w:sz w:val="21"/>
                <w:szCs w:val="21"/>
              </w:rPr>
              <w:t>第三十二条 国务院有关部门和长江流域地方各级人民政府应当采取措施，加快病险水库除险加固，推进堤防和蓄滞洪区建设，提升洪涝灾害防御工程标准，加强水工程联合调度，开展河道泥沙观测和河势调查，建立与经济社会发展相适应的防洪减灾工程和非工程体系，提高防御水旱灾害的整体能力。</w:t>
            </w:r>
          </w:p>
        </w:tc>
        <w:tc>
          <w:tcPr>
            <w:tcW w:w="1645"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hint="eastAsia" w:cs="Times New Roman"/>
                <w:color w:val="auto"/>
                <w:sz w:val="21"/>
                <w:szCs w:val="21"/>
              </w:rPr>
              <w:t>本项目施工区域无航道，</w:t>
            </w:r>
            <w:r>
              <w:rPr>
                <w:rFonts w:hint="eastAsia" w:cs="Times New Roman"/>
                <w:color w:val="auto"/>
                <w:sz w:val="21"/>
                <w:szCs w:val="21"/>
                <w:lang w:val="en-US" w:eastAsia="zh-CN"/>
              </w:rPr>
              <w:t>本</w:t>
            </w:r>
            <w:r>
              <w:rPr>
                <w:rFonts w:hint="eastAsia" w:cs="Times New Roman"/>
                <w:color w:val="auto"/>
                <w:sz w:val="21"/>
                <w:szCs w:val="21"/>
              </w:rPr>
              <w:t>项目</w:t>
            </w:r>
            <w:r>
              <w:rPr>
                <w:rFonts w:cs="Times New Roman"/>
                <w:color w:val="auto"/>
                <w:sz w:val="21"/>
                <w:szCs w:val="21"/>
              </w:rPr>
              <w:t>属于</w:t>
            </w:r>
            <w:r>
              <w:rPr>
                <w:rFonts w:hint="eastAsia" w:cs="Times New Roman"/>
                <w:color w:val="auto"/>
                <w:sz w:val="21"/>
                <w:szCs w:val="21"/>
                <w:lang w:val="en-US" w:eastAsia="zh-CN"/>
              </w:rPr>
              <w:t>水污染防治综合治理</w:t>
            </w:r>
            <w:r>
              <w:rPr>
                <w:rFonts w:cs="Times New Roman"/>
                <w:color w:val="auto"/>
                <w:sz w:val="21"/>
                <w:szCs w:val="21"/>
              </w:rPr>
              <w:t>工程</w:t>
            </w:r>
            <w:r>
              <w:rPr>
                <w:rFonts w:hint="eastAsia" w:cs="Times New Roman"/>
                <w:color w:val="auto"/>
                <w:sz w:val="21"/>
                <w:szCs w:val="21"/>
              </w:rPr>
              <w:t>，</w:t>
            </w:r>
            <w:r>
              <w:rPr>
                <w:rFonts w:hint="eastAsia" w:cs="Times New Roman"/>
                <w:color w:val="auto"/>
                <w:sz w:val="21"/>
                <w:szCs w:val="21"/>
                <w:lang w:val="en-US" w:eastAsia="zh-CN"/>
              </w:rPr>
              <w:t>项目实施后</w:t>
            </w:r>
            <w:r>
              <w:rPr>
                <w:rFonts w:hint="eastAsia" w:cs="Times New Roman"/>
                <w:color w:val="auto"/>
                <w:sz w:val="21"/>
                <w:szCs w:val="21"/>
              </w:rPr>
              <w:t>提高河道行洪能力、改善水质。</w:t>
            </w:r>
          </w:p>
        </w:tc>
        <w:tc>
          <w:tcPr>
            <w:tcW w:w="427"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color w:val="auto"/>
                <w:sz w:val="21"/>
                <w:szCs w:val="21"/>
              </w:rPr>
            </w:pPr>
            <w:r>
              <w:rPr>
                <w:rFonts w:hint="eastAsia"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97" w:hRule="atLeast"/>
          <w:jc w:val="center"/>
        </w:trPr>
        <w:tc>
          <w:tcPr>
            <w:tcW w:w="601"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hint="eastAsia" w:cs="Times New Roman"/>
                <w:b/>
                <w:bCs/>
                <w:color w:val="auto"/>
                <w:sz w:val="21"/>
                <w:szCs w:val="21"/>
              </w:rPr>
              <w:t>《陕西省汉江丹江流域水污染防治条例》</w:t>
            </w:r>
          </w:p>
        </w:tc>
        <w:tc>
          <w:tcPr>
            <w:tcW w:w="2327" w:type="pct"/>
            <w:tcBorders>
              <w:tl2br w:val="nil"/>
              <w:tr2bl w:val="nil"/>
            </w:tcBorders>
            <w:tcMar>
              <w:top w:w="57" w:type="dxa"/>
              <w:left w:w="57" w:type="dxa"/>
              <w:bottom w:w="57" w:type="dxa"/>
              <w:right w:w="57" w:type="dxa"/>
            </w:tcMar>
            <w:vAlign w:val="center"/>
          </w:tcPr>
          <w:p>
            <w:pPr>
              <w:widowControl/>
              <w:topLinePunct/>
              <w:adjustRightInd w:val="0"/>
              <w:snapToGrid w:val="0"/>
              <w:spacing w:line="220" w:lineRule="atLeast"/>
              <w:ind w:firstLine="0" w:firstLineChars="0"/>
              <w:rPr>
                <w:rFonts w:cs="Times New Roman"/>
                <w:color w:val="auto"/>
                <w:sz w:val="21"/>
                <w:szCs w:val="21"/>
              </w:rPr>
            </w:pPr>
            <w:r>
              <w:rPr>
                <w:rFonts w:hint="eastAsia" w:cs="Times New Roman"/>
                <w:color w:val="auto"/>
                <w:sz w:val="21"/>
                <w:szCs w:val="21"/>
              </w:rPr>
              <w:t>第十六条 禁止在汉江、丹江流域水库、湖泊、河道管理范围内堆放、倾倒、存贮生活垃圾、建筑垃圾、动物尸体及其他固体废弃物和法律、法规禁止的其他行为。</w:t>
            </w:r>
          </w:p>
        </w:tc>
        <w:tc>
          <w:tcPr>
            <w:tcW w:w="1645"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hint="eastAsia" w:cs="Times New Roman"/>
                <w:color w:val="auto"/>
                <w:sz w:val="21"/>
                <w:szCs w:val="21"/>
              </w:rPr>
              <w:t>项目在实施过程中不得在河道管理范围内堆放、倾倒、存贮生活垃圾、建筑垃圾及其他固废。</w:t>
            </w:r>
          </w:p>
        </w:tc>
        <w:tc>
          <w:tcPr>
            <w:tcW w:w="427"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color w:val="auto"/>
                <w:sz w:val="21"/>
                <w:szCs w:val="21"/>
              </w:rPr>
            </w:pPr>
            <w:r>
              <w:rPr>
                <w:rFonts w:hint="eastAsia"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97" w:hRule="atLeast"/>
          <w:jc w:val="center"/>
        </w:trPr>
        <w:tc>
          <w:tcPr>
            <w:tcW w:w="601"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hint="eastAsia" w:cs="Times New Roman"/>
                <w:b/>
                <w:bCs/>
                <w:color w:val="auto"/>
                <w:sz w:val="21"/>
                <w:szCs w:val="21"/>
              </w:rPr>
              <w:t>《安康市汉江水质保护条例》</w:t>
            </w:r>
          </w:p>
        </w:tc>
        <w:tc>
          <w:tcPr>
            <w:tcW w:w="2327" w:type="pct"/>
            <w:tcBorders>
              <w:tl2br w:val="nil"/>
              <w:tr2bl w:val="nil"/>
            </w:tcBorders>
            <w:tcMar>
              <w:top w:w="57" w:type="dxa"/>
              <w:left w:w="57" w:type="dxa"/>
              <w:bottom w:w="57" w:type="dxa"/>
              <w:right w:w="57" w:type="dxa"/>
            </w:tcMar>
            <w:vAlign w:val="center"/>
          </w:tcPr>
          <w:p>
            <w:pPr>
              <w:widowControl/>
              <w:topLinePunct/>
              <w:adjustRightInd w:val="0"/>
              <w:snapToGrid w:val="0"/>
              <w:spacing w:line="220" w:lineRule="atLeast"/>
              <w:ind w:firstLine="0" w:firstLineChars="0"/>
              <w:rPr>
                <w:rFonts w:cs="Times New Roman"/>
                <w:color w:val="auto"/>
                <w:sz w:val="21"/>
                <w:szCs w:val="21"/>
              </w:rPr>
            </w:pPr>
            <w:r>
              <w:rPr>
                <w:rFonts w:hint="eastAsia" w:cs="Times New Roman"/>
                <w:color w:val="auto"/>
                <w:sz w:val="21"/>
                <w:szCs w:val="21"/>
              </w:rPr>
              <w:t>第三十七条 汉江流域禁止下列行为：</w:t>
            </w:r>
          </w:p>
          <w:p>
            <w:pPr>
              <w:widowControl/>
              <w:topLinePunct/>
              <w:adjustRightInd w:val="0"/>
              <w:snapToGrid w:val="0"/>
              <w:spacing w:line="220" w:lineRule="atLeast"/>
              <w:ind w:firstLine="0" w:firstLineChars="0"/>
              <w:rPr>
                <w:rFonts w:cs="Times New Roman"/>
                <w:color w:val="auto"/>
                <w:sz w:val="21"/>
                <w:szCs w:val="21"/>
              </w:rPr>
            </w:pPr>
            <w:r>
              <w:rPr>
                <w:rFonts w:hint="eastAsia" w:cs="Times New Roman"/>
                <w:color w:val="auto"/>
                <w:sz w:val="21"/>
                <w:szCs w:val="21"/>
              </w:rPr>
              <w:t>（一）在汉江流域湖库、河道管理范围内堆放、倾倒、存贮生活垃圾、建筑垃圾、动物尸体及其他固体废弃物，或者在江河、渠道、水库最高水位线以下滩地、岸坡体排放、倾倒工业废渣、城镇垃圾或者其他废弃物。</w:t>
            </w:r>
          </w:p>
        </w:tc>
        <w:tc>
          <w:tcPr>
            <w:tcW w:w="1645"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hint="eastAsia" w:cs="Times New Roman"/>
                <w:color w:val="auto"/>
                <w:sz w:val="21"/>
                <w:szCs w:val="21"/>
              </w:rPr>
              <w:t>项目在实施过程中不得在河道管理范围内堆放、倾倒、存贮生活垃圾、建筑垃圾及其他固废。</w:t>
            </w:r>
          </w:p>
        </w:tc>
        <w:tc>
          <w:tcPr>
            <w:tcW w:w="427"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color w:val="auto"/>
                <w:sz w:val="21"/>
                <w:szCs w:val="21"/>
              </w:rPr>
            </w:pPr>
            <w:r>
              <w:rPr>
                <w:rFonts w:hint="eastAsia"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97" w:hRule="atLeast"/>
          <w:jc w:val="center"/>
        </w:trPr>
        <w:tc>
          <w:tcPr>
            <w:tcW w:w="601"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b/>
                <w:bCs/>
                <w:color w:val="auto"/>
                <w:sz w:val="21"/>
                <w:szCs w:val="21"/>
              </w:rPr>
            </w:pPr>
            <w:r>
              <w:rPr>
                <w:rFonts w:hint="eastAsia" w:cs="Times New Roman"/>
                <w:b/>
                <w:bCs/>
                <w:color w:val="auto"/>
                <w:sz w:val="21"/>
                <w:szCs w:val="21"/>
              </w:rPr>
              <w:t>《安康市深入打好污染防治攻坚战工作实施方案》</w:t>
            </w:r>
          </w:p>
        </w:tc>
        <w:tc>
          <w:tcPr>
            <w:tcW w:w="2327" w:type="pct"/>
            <w:tcBorders>
              <w:tl2br w:val="nil"/>
              <w:tr2bl w:val="nil"/>
            </w:tcBorders>
            <w:tcMar>
              <w:top w:w="57" w:type="dxa"/>
              <w:left w:w="57" w:type="dxa"/>
              <w:bottom w:w="57" w:type="dxa"/>
              <w:right w:w="57" w:type="dxa"/>
            </w:tcMar>
            <w:vAlign w:val="center"/>
          </w:tcPr>
          <w:p>
            <w:pPr>
              <w:widowControl/>
              <w:topLinePunct/>
              <w:adjustRightInd w:val="0"/>
              <w:snapToGrid w:val="0"/>
              <w:spacing w:line="220" w:lineRule="atLeast"/>
              <w:ind w:firstLine="0" w:firstLineChars="0"/>
              <w:rPr>
                <w:rFonts w:hint="eastAsia" w:eastAsia="宋体" w:cs="Times New Roman"/>
                <w:color w:val="auto"/>
                <w:sz w:val="21"/>
                <w:szCs w:val="21"/>
                <w:lang w:eastAsia="zh-CN"/>
              </w:rPr>
            </w:pPr>
            <w:r>
              <w:rPr>
                <w:rFonts w:hint="eastAsia" w:cs="Times New Roman"/>
                <w:color w:val="auto"/>
                <w:sz w:val="21"/>
                <w:szCs w:val="21"/>
              </w:rPr>
              <w:t>持续深化重点流域水污染治理。充分发挥河湖长制作用，按照“一河一策”，持续推进河流协同治理和精细化分区管控。持续推进瀛湖生态环境保护、月河流域综合治理、蒿坪河流域水污染治理、白河硫铁矿区和旬阳汞矿区污染治理，确保流域水环境质量持续改善。巩固城市入河排污口整治成果，加快推进汉江流域（安康段）入河排污口排查监测溯源整治</w:t>
            </w:r>
            <w:r>
              <w:rPr>
                <w:rFonts w:hint="eastAsia" w:cs="Times New Roman"/>
                <w:color w:val="auto"/>
                <w:sz w:val="21"/>
                <w:szCs w:val="21"/>
                <w:lang w:eastAsia="zh-CN"/>
              </w:rPr>
              <w:t>。</w:t>
            </w:r>
          </w:p>
        </w:tc>
        <w:tc>
          <w:tcPr>
            <w:tcW w:w="1645"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rPr>
                <w:rFonts w:cs="Times New Roman"/>
                <w:color w:val="auto"/>
                <w:sz w:val="21"/>
                <w:szCs w:val="21"/>
              </w:rPr>
            </w:pPr>
            <w:r>
              <w:rPr>
                <w:rFonts w:hint="eastAsia" w:cs="Times New Roman"/>
                <w:color w:val="auto"/>
                <w:sz w:val="21"/>
                <w:szCs w:val="21"/>
              </w:rPr>
              <w:t>本项目为</w:t>
            </w:r>
            <w:r>
              <w:rPr>
                <w:rFonts w:hint="eastAsia" w:cs="Times New Roman"/>
                <w:color w:val="auto"/>
                <w:sz w:val="21"/>
                <w:szCs w:val="21"/>
                <w:lang w:val="en-US" w:eastAsia="zh-CN"/>
              </w:rPr>
              <w:t>本</w:t>
            </w:r>
            <w:r>
              <w:rPr>
                <w:rFonts w:hint="eastAsia" w:cs="Times New Roman"/>
                <w:color w:val="auto"/>
                <w:sz w:val="21"/>
                <w:szCs w:val="21"/>
              </w:rPr>
              <w:t>项目</w:t>
            </w:r>
            <w:r>
              <w:rPr>
                <w:rFonts w:cs="Times New Roman"/>
                <w:color w:val="auto"/>
                <w:sz w:val="21"/>
                <w:szCs w:val="21"/>
              </w:rPr>
              <w:t>属于</w:t>
            </w:r>
            <w:r>
              <w:rPr>
                <w:rFonts w:hint="eastAsia" w:cs="Times New Roman"/>
                <w:color w:val="auto"/>
                <w:sz w:val="21"/>
                <w:szCs w:val="21"/>
                <w:lang w:val="en-US" w:eastAsia="zh-CN"/>
              </w:rPr>
              <w:t>水污染防治综合治理</w:t>
            </w:r>
            <w:r>
              <w:rPr>
                <w:rFonts w:cs="Times New Roman"/>
                <w:color w:val="auto"/>
                <w:sz w:val="21"/>
                <w:szCs w:val="21"/>
              </w:rPr>
              <w:t>工程</w:t>
            </w:r>
            <w:r>
              <w:rPr>
                <w:rFonts w:hint="eastAsia" w:cs="Times New Roman"/>
                <w:color w:val="auto"/>
                <w:sz w:val="21"/>
                <w:szCs w:val="21"/>
              </w:rPr>
              <w:t>，项目建成后将推进</w:t>
            </w:r>
            <w:r>
              <w:rPr>
                <w:rFonts w:hint="eastAsia" w:cs="Times New Roman"/>
                <w:color w:val="auto"/>
                <w:sz w:val="21"/>
                <w:szCs w:val="21"/>
                <w:lang w:val="en-US" w:eastAsia="zh-CN"/>
              </w:rPr>
              <w:t>岚河</w:t>
            </w:r>
            <w:r>
              <w:rPr>
                <w:rFonts w:hint="eastAsia" w:cs="Times New Roman"/>
                <w:color w:val="auto"/>
                <w:sz w:val="21"/>
                <w:szCs w:val="21"/>
              </w:rPr>
              <w:t>流域生态环境治理改善。</w:t>
            </w:r>
          </w:p>
        </w:tc>
        <w:tc>
          <w:tcPr>
            <w:tcW w:w="427" w:type="pct"/>
            <w:tcBorders>
              <w:tl2br w:val="nil"/>
              <w:tr2bl w:val="nil"/>
            </w:tcBorders>
            <w:tcMar>
              <w:top w:w="57" w:type="dxa"/>
              <w:left w:w="57" w:type="dxa"/>
              <w:bottom w:w="57" w:type="dxa"/>
              <w:right w:w="57" w:type="dxa"/>
            </w:tcMar>
            <w:vAlign w:val="center"/>
          </w:tcPr>
          <w:p>
            <w:pPr>
              <w:widowControl/>
              <w:topLinePunct/>
              <w:adjustRightInd w:val="0"/>
              <w:snapToGrid w:val="0"/>
              <w:spacing w:line="240" w:lineRule="atLeast"/>
              <w:ind w:firstLine="0" w:firstLineChars="0"/>
              <w:jc w:val="center"/>
              <w:rPr>
                <w:rFonts w:cs="Times New Roman"/>
                <w:color w:val="auto"/>
                <w:sz w:val="21"/>
                <w:szCs w:val="21"/>
              </w:rPr>
            </w:pPr>
            <w:r>
              <w:rPr>
                <w:rFonts w:hint="eastAsia" w:cs="Times New Roman"/>
                <w:color w:val="auto"/>
                <w:sz w:val="21"/>
                <w:szCs w:val="21"/>
              </w:rPr>
              <w:t>符合</w:t>
            </w:r>
          </w:p>
        </w:tc>
      </w:tr>
    </w:tbl>
    <w:p>
      <w:pPr>
        <w:keepNext/>
        <w:keepLines/>
        <w:numPr>
          <w:ilvl w:val="2"/>
          <w:numId w:val="0"/>
        </w:numPr>
        <w:snapToGrid w:val="0"/>
        <w:ind w:left="720"/>
        <w:outlineLvl w:val="2"/>
        <w:rPr>
          <w:rFonts w:eastAsia="黑体" w:cs="Times New Roman"/>
          <w:color w:val="auto"/>
        </w:rPr>
      </w:pPr>
      <w:r>
        <w:rPr>
          <w:rFonts w:eastAsia="黑体" w:cs="Times New Roman"/>
          <w:color w:val="auto"/>
        </w:rPr>
        <w:t>1.4.4</w:t>
      </w:r>
      <w:r>
        <w:rPr>
          <w:rFonts w:hint="eastAsia" w:eastAsia="黑体" w:cs="Times New Roman"/>
          <w:color w:val="auto"/>
        </w:rPr>
        <w:t>与《湿地保护法》符合性分析</w:t>
      </w:r>
    </w:p>
    <w:p>
      <w:pPr>
        <w:pStyle w:val="61"/>
        <w:topLinePunct/>
        <w:snapToGrid w:val="0"/>
        <w:ind w:firstLine="480"/>
        <w:rPr>
          <w:rFonts w:cs="Times New Roman"/>
          <w:color w:val="auto"/>
          <w:kern w:val="0"/>
        </w:rPr>
      </w:pPr>
      <w:r>
        <w:rPr>
          <w:rFonts w:hint="eastAsia" w:cs="Times New Roman"/>
          <w:color w:val="auto"/>
          <w:kern w:val="0"/>
        </w:rPr>
        <w:t>2008年8月6日陕西省人民政府发布了《关于公布陕西省重要湿地名录的通告》，安康</w:t>
      </w:r>
      <w:r>
        <w:rPr>
          <w:rFonts w:hint="eastAsia" w:cs="Times New Roman"/>
          <w:color w:val="auto"/>
          <w:kern w:val="0"/>
          <w:lang w:val="en-US" w:eastAsia="zh-CN"/>
        </w:rPr>
        <w:t>岚河</w:t>
      </w:r>
      <w:r>
        <w:rPr>
          <w:rFonts w:hint="eastAsia" w:cs="Times New Roman"/>
          <w:color w:val="auto"/>
          <w:kern w:val="0"/>
        </w:rPr>
        <w:t>湿地：</w:t>
      </w:r>
      <w:r>
        <w:rPr>
          <w:rFonts w:hint="eastAsia" w:cs="Times New Roman"/>
          <w:color w:val="auto"/>
          <w:kern w:val="0"/>
          <w:lang w:val="en-US" w:eastAsia="zh-CN"/>
        </w:rPr>
        <w:t>从平利县正阳镇到沿岚河至岚河与汉江交汇处，包括岚河河道、河滩、泛洪区及河道两岸1km范围内的人工湿地。</w:t>
      </w:r>
      <w:r>
        <w:rPr>
          <w:rFonts w:hint="eastAsia" w:cs="Times New Roman"/>
          <w:color w:val="auto"/>
          <w:kern w:val="0"/>
        </w:rPr>
        <w:t>主要涉及平利、</w:t>
      </w:r>
      <w:r>
        <w:rPr>
          <w:rFonts w:hint="eastAsia" w:cs="Times New Roman"/>
          <w:color w:val="auto"/>
          <w:kern w:val="0"/>
          <w:lang w:val="en-US" w:eastAsia="zh-CN"/>
        </w:rPr>
        <w:t>岚皋</w:t>
      </w:r>
      <w:r>
        <w:rPr>
          <w:rFonts w:hint="eastAsia" w:cs="Times New Roman"/>
          <w:color w:val="auto"/>
          <w:kern w:val="0"/>
        </w:rPr>
        <w:t>。</w:t>
      </w:r>
    </w:p>
    <w:p>
      <w:pPr>
        <w:pStyle w:val="61"/>
        <w:topLinePunct/>
        <w:snapToGrid w:val="0"/>
        <w:ind w:firstLine="480"/>
        <w:rPr>
          <w:rFonts w:hint="default" w:cs="Times New Roman"/>
          <w:color w:val="auto"/>
          <w:kern w:val="0"/>
          <w:lang w:val="en-US"/>
        </w:rPr>
      </w:pPr>
      <w:r>
        <w:rPr>
          <w:rFonts w:hint="eastAsia" w:cs="Times New Roman"/>
          <w:color w:val="auto"/>
          <w:kern w:val="0"/>
        </w:rPr>
        <w:t>本项目涉及</w:t>
      </w:r>
      <w:r>
        <w:rPr>
          <w:rFonts w:hint="eastAsia" w:cs="Times New Roman"/>
          <w:color w:val="auto"/>
          <w:kern w:val="0"/>
          <w:lang w:val="en-US" w:eastAsia="zh-CN"/>
        </w:rPr>
        <w:t>岚河湿地</w:t>
      </w:r>
      <w:r>
        <w:rPr>
          <w:rFonts w:hint="eastAsia" w:cs="Times New Roman"/>
          <w:color w:val="auto"/>
          <w:kern w:val="0"/>
        </w:rPr>
        <w:t>主要是</w:t>
      </w:r>
      <w:r>
        <w:rPr>
          <w:rFonts w:hint="eastAsia" w:cs="Times New Roman"/>
          <w:color w:val="auto"/>
          <w:kern w:val="0"/>
          <w:lang w:val="en-US" w:eastAsia="zh-CN"/>
        </w:rPr>
        <w:t>城关镇、佐龙镇、蔺河镇、孟石岭真、南宫山镇</w:t>
      </w:r>
      <w:r>
        <w:rPr>
          <w:rFonts w:hint="eastAsia" w:cs="Times New Roman"/>
          <w:color w:val="auto"/>
          <w:kern w:val="0"/>
        </w:rPr>
        <w:t>，其中水田村段</w:t>
      </w:r>
      <w:r>
        <w:rPr>
          <w:rFonts w:hint="eastAsia" w:cs="Times New Roman"/>
          <w:color w:val="auto"/>
          <w:kern w:val="0"/>
          <w:lang w:val="en-US" w:eastAsia="zh-CN"/>
        </w:rPr>
        <w:t>新建生态缓冲带1.25hm</w:t>
      </w:r>
      <w:r>
        <w:rPr>
          <w:rFonts w:hint="eastAsia" w:cs="Times New Roman"/>
          <w:color w:val="auto"/>
          <w:kern w:val="0"/>
          <w:vertAlign w:val="superscript"/>
          <w:lang w:val="en-US" w:eastAsia="zh-CN"/>
        </w:rPr>
        <w:t>2</w:t>
      </w:r>
      <w:r>
        <w:rPr>
          <w:rFonts w:hint="eastAsia" w:cs="Times New Roman"/>
          <w:color w:val="auto"/>
          <w:kern w:val="0"/>
          <w:lang w:val="en-US" w:eastAsia="zh-CN"/>
        </w:rPr>
        <w:t>，河道湿地0.79hm</w:t>
      </w:r>
      <w:r>
        <w:rPr>
          <w:rFonts w:hint="eastAsia" w:cs="Times New Roman"/>
          <w:color w:val="auto"/>
          <w:kern w:val="0"/>
          <w:vertAlign w:val="superscript"/>
          <w:lang w:val="en-US" w:eastAsia="zh-CN"/>
        </w:rPr>
        <w:t>2</w:t>
      </w:r>
      <w:r>
        <w:rPr>
          <w:rFonts w:hint="eastAsia" w:cs="Times New Roman"/>
          <w:color w:val="auto"/>
          <w:kern w:val="0"/>
          <w:lang w:val="en-US" w:eastAsia="zh-CN"/>
        </w:rPr>
        <w:t>，六口村段新建生态护坡0.49hm</w:t>
      </w:r>
      <w:r>
        <w:rPr>
          <w:rFonts w:hint="eastAsia" w:cs="Times New Roman"/>
          <w:color w:val="auto"/>
          <w:kern w:val="0"/>
          <w:vertAlign w:val="superscript"/>
          <w:lang w:val="en-US" w:eastAsia="zh-CN"/>
        </w:rPr>
        <w:t>2</w:t>
      </w:r>
      <w:r>
        <w:rPr>
          <w:rFonts w:hint="eastAsia" w:cs="Times New Roman"/>
          <w:color w:val="auto"/>
          <w:kern w:val="0"/>
          <w:lang w:val="en-US" w:eastAsia="zh-CN"/>
        </w:rPr>
        <w:t>，罗景坪社区至联坪段新建生态缓冲带3.12hm</w:t>
      </w:r>
      <w:r>
        <w:rPr>
          <w:rFonts w:hint="eastAsia" w:cs="Times New Roman"/>
          <w:color w:val="auto"/>
          <w:kern w:val="0"/>
          <w:vertAlign w:val="superscript"/>
          <w:lang w:val="en-US" w:eastAsia="zh-CN"/>
        </w:rPr>
        <w:t>2</w:t>
      </w:r>
      <w:r>
        <w:rPr>
          <w:rFonts w:hint="eastAsia" w:cs="Times New Roman"/>
          <w:color w:val="auto"/>
          <w:kern w:val="0"/>
          <w:lang w:val="en-US" w:eastAsia="zh-CN"/>
        </w:rPr>
        <w:t>，沟渠湿地0.30hm</w:t>
      </w:r>
      <w:r>
        <w:rPr>
          <w:rFonts w:hint="eastAsia" w:cs="Times New Roman"/>
          <w:color w:val="auto"/>
          <w:kern w:val="0"/>
          <w:vertAlign w:val="superscript"/>
          <w:lang w:val="en-US" w:eastAsia="zh-CN"/>
        </w:rPr>
        <w:t>2</w:t>
      </w:r>
      <w:r>
        <w:rPr>
          <w:rFonts w:hint="eastAsia" w:cs="Times New Roman"/>
          <w:color w:val="auto"/>
          <w:kern w:val="0"/>
          <w:lang w:val="en-US" w:eastAsia="zh-CN"/>
        </w:rPr>
        <w:t>，河床渗滤湿地0.62hm</w:t>
      </w:r>
      <w:r>
        <w:rPr>
          <w:rFonts w:hint="eastAsia" w:cs="Times New Roman"/>
          <w:color w:val="auto"/>
          <w:kern w:val="0"/>
          <w:vertAlign w:val="superscript"/>
          <w:lang w:val="en-US" w:eastAsia="zh-CN"/>
        </w:rPr>
        <w:t>2</w:t>
      </w:r>
      <w:r>
        <w:rPr>
          <w:rFonts w:hint="eastAsia" w:cs="Times New Roman"/>
          <w:color w:val="auto"/>
          <w:kern w:val="0"/>
          <w:lang w:val="en-US" w:eastAsia="zh-CN"/>
        </w:rPr>
        <w:t>，河道湿地0.21hm</w:t>
      </w:r>
      <w:r>
        <w:rPr>
          <w:rFonts w:hint="eastAsia" w:cs="Times New Roman"/>
          <w:color w:val="auto"/>
          <w:kern w:val="0"/>
          <w:vertAlign w:val="superscript"/>
          <w:lang w:val="en-US" w:eastAsia="zh-CN"/>
        </w:rPr>
        <w:t>2</w:t>
      </w:r>
      <w:r>
        <w:rPr>
          <w:rFonts w:hint="eastAsia" w:cs="Times New Roman"/>
          <w:color w:val="auto"/>
          <w:kern w:val="0"/>
          <w:lang w:val="en-US" w:eastAsia="zh-CN"/>
        </w:rPr>
        <w:t>；佐龙镇污水处理厂段新建生态缓冲带0.45hm</w:t>
      </w:r>
      <w:r>
        <w:rPr>
          <w:rFonts w:hint="eastAsia" w:cs="Times New Roman"/>
          <w:color w:val="auto"/>
          <w:kern w:val="0"/>
          <w:vertAlign w:val="superscript"/>
          <w:lang w:val="en-US" w:eastAsia="zh-CN"/>
        </w:rPr>
        <w:t>2</w:t>
      </w:r>
      <w:r>
        <w:rPr>
          <w:rFonts w:hint="eastAsia" w:cs="Times New Roman"/>
          <w:color w:val="auto"/>
          <w:kern w:val="0"/>
          <w:lang w:val="en-US" w:eastAsia="zh-CN"/>
        </w:rPr>
        <w:t>，；佐龙镇马宗村至谢家碥段建生态缓冲带2.92hm</w:t>
      </w:r>
      <w:r>
        <w:rPr>
          <w:rFonts w:hint="eastAsia" w:cs="Times New Roman"/>
          <w:color w:val="auto"/>
          <w:kern w:val="0"/>
          <w:vertAlign w:val="superscript"/>
          <w:lang w:val="en-US" w:eastAsia="zh-CN"/>
        </w:rPr>
        <w:t>2</w:t>
      </w:r>
      <w:r>
        <w:rPr>
          <w:rFonts w:hint="eastAsia" w:cs="Times New Roman"/>
          <w:color w:val="auto"/>
          <w:kern w:val="0"/>
          <w:lang w:val="en-US" w:eastAsia="zh-CN"/>
        </w:rPr>
        <w:t>，蜡烛村段新建生态缓冲带0.54hm</w:t>
      </w:r>
      <w:r>
        <w:rPr>
          <w:rFonts w:hint="eastAsia" w:cs="Times New Roman"/>
          <w:color w:val="auto"/>
          <w:kern w:val="0"/>
          <w:vertAlign w:val="superscript"/>
          <w:lang w:val="en-US" w:eastAsia="zh-CN"/>
        </w:rPr>
        <w:t>2</w:t>
      </w:r>
      <w:r>
        <w:rPr>
          <w:rFonts w:hint="eastAsia" w:cs="Times New Roman"/>
          <w:color w:val="auto"/>
          <w:kern w:val="0"/>
          <w:lang w:val="en-US" w:eastAsia="zh-CN"/>
        </w:rPr>
        <w:t>，金珠店段新建生态缓冲带6.05hm</w:t>
      </w:r>
      <w:r>
        <w:rPr>
          <w:rFonts w:hint="eastAsia" w:cs="Times New Roman"/>
          <w:color w:val="auto"/>
          <w:kern w:val="0"/>
          <w:vertAlign w:val="superscript"/>
          <w:lang w:val="en-US" w:eastAsia="zh-CN"/>
        </w:rPr>
        <w:t>2</w:t>
      </w:r>
      <w:r>
        <w:rPr>
          <w:rFonts w:hint="eastAsia" w:cs="Times New Roman"/>
          <w:color w:val="auto"/>
          <w:kern w:val="0"/>
          <w:lang w:val="en-US" w:eastAsia="zh-CN"/>
        </w:rPr>
        <w:t>。；孟石岭镇九台村段新建生态缓冲带1.00hm</w:t>
      </w:r>
      <w:r>
        <w:rPr>
          <w:rFonts w:hint="eastAsia" w:cs="Times New Roman"/>
          <w:color w:val="auto"/>
          <w:kern w:val="0"/>
          <w:vertAlign w:val="superscript"/>
          <w:lang w:val="en-US" w:eastAsia="zh-CN"/>
        </w:rPr>
        <w:t>2</w:t>
      </w:r>
      <w:r>
        <w:rPr>
          <w:rFonts w:hint="eastAsia" w:cs="Times New Roman"/>
          <w:color w:val="auto"/>
          <w:kern w:val="0"/>
          <w:lang w:val="en-US" w:eastAsia="zh-CN"/>
        </w:rPr>
        <w:t>，河堤加高250.81m；蔺河镇茶园村五组段段新建生态护坡0.95hm</w:t>
      </w:r>
      <w:r>
        <w:rPr>
          <w:rFonts w:hint="eastAsia" w:cs="Times New Roman"/>
          <w:color w:val="auto"/>
          <w:kern w:val="0"/>
          <w:vertAlign w:val="superscript"/>
          <w:lang w:val="en-US" w:eastAsia="zh-CN"/>
        </w:rPr>
        <w:t>2</w:t>
      </w:r>
      <w:r>
        <w:rPr>
          <w:rFonts w:hint="eastAsia" w:cs="Times New Roman"/>
          <w:color w:val="auto"/>
          <w:kern w:val="0"/>
          <w:lang w:val="en-US" w:eastAsia="zh-CN"/>
        </w:rPr>
        <w:t>；南宫山镇南宫山污水处理厂段新建生态缓冲带0.45hm</w:t>
      </w:r>
      <w:r>
        <w:rPr>
          <w:rFonts w:hint="eastAsia" w:cs="Times New Roman"/>
          <w:color w:val="auto"/>
          <w:kern w:val="0"/>
          <w:vertAlign w:val="superscript"/>
          <w:lang w:val="en-US" w:eastAsia="zh-CN"/>
        </w:rPr>
        <w:t>2</w:t>
      </w:r>
      <w:r>
        <w:rPr>
          <w:rFonts w:hint="eastAsia" w:cs="Times New Roman"/>
          <w:color w:val="auto"/>
          <w:kern w:val="0"/>
          <w:lang w:val="en-US" w:eastAsia="zh-CN"/>
        </w:rPr>
        <w:t>，河道湿地0.33hm</w:t>
      </w:r>
      <w:r>
        <w:rPr>
          <w:rFonts w:hint="eastAsia" w:cs="Times New Roman"/>
          <w:color w:val="auto"/>
          <w:kern w:val="0"/>
          <w:vertAlign w:val="superscript"/>
          <w:lang w:val="en-US" w:eastAsia="zh-CN"/>
        </w:rPr>
        <w:t>2</w:t>
      </w:r>
      <w:r>
        <w:rPr>
          <w:rFonts w:hint="eastAsia" w:cs="Times New Roman"/>
          <w:color w:val="auto"/>
          <w:kern w:val="0"/>
          <w:lang w:val="en-US" w:eastAsia="zh-CN"/>
        </w:rPr>
        <w:t>。</w:t>
      </w:r>
    </w:p>
    <w:p>
      <w:pPr>
        <w:pStyle w:val="61"/>
        <w:topLinePunct/>
        <w:snapToGrid w:val="0"/>
        <w:ind w:firstLine="480"/>
        <w:rPr>
          <w:rFonts w:cs="Times New Roman"/>
          <w:color w:val="auto"/>
          <w:kern w:val="0"/>
        </w:rPr>
      </w:pPr>
      <w:r>
        <w:rPr>
          <w:rFonts w:hint="eastAsia" w:cs="Times New Roman"/>
          <w:color w:val="auto"/>
          <w:kern w:val="0"/>
        </w:rPr>
        <w:t>以上工程内容中新建</w:t>
      </w:r>
      <w:r>
        <w:rPr>
          <w:rFonts w:hint="eastAsia" w:cs="Times New Roman"/>
          <w:color w:val="auto"/>
          <w:kern w:val="0"/>
          <w:lang w:val="en-US" w:eastAsia="zh-CN"/>
        </w:rPr>
        <w:t>生态缓冲带、沟渠湿地、河床渗虑湿地、河道湿地</w:t>
      </w:r>
      <w:r>
        <w:rPr>
          <w:rFonts w:hint="eastAsia" w:cs="Times New Roman"/>
          <w:color w:val="auto"/>
          <w:kern w:val="0"/>
        </w:rPr>
        <w:t>工程施工范围会占用安康</w:t>
      </w:r>
      <w:r>
        <w:rPr>
          <w:rFonts w:hint="eastAsia" w:cs="Times New Roman"/>
          <w:color w:val="auto"/>
          <w:kern w:val="0"/>
          <w:lang w:val="en-US" w:eastAsia="zh-CN"/>
        </w:rPr>
        <w:t>岚河</w:t>
      </w:r>
      <w:r>
        <w:rPr>
          <w:rFonts w:hint="eastAsia" w:cs="Times New Roman"/>
          <w:color w:val="auto"/>
          <w:kern w:val="0"/>
        </w:rPr>
        <w:t>湿地，涉及河段</w:t>
      </w:r>
      <w:r>
        <w:rPr>
          <w:rFonts w:hint="eastAsia" w:cs="Times New Roman"/>
          <w:color w:val="auto"/>
          <w:kern w:val="0"/>
          <w:lang w:val="en-US" w:eastAsia="zh-CN"/>
        </w:rPr>
        <w:t>8.7</w:t>
      </w:r>
      <w:r>
        <w:rPr>
          <w:rFonts w:hint="eastAsia" w:cs="Times New Roman"/>
          <w:color w:val="auto"/>
          <w:kern w:val="0"/>
        </w:rPr>
        <w:t>km，其中</w:t>
      </w:r>
      <w:r>
        <w:rPr>
          <w:rFonts w:hint="eastAsia" w:cs="Times New Roman"/>
          <w:color w:val="auto"/>
          <w:kern w:val="0"/>
          <w:lang w:val="en-US" w:eastAsia="zh-CN"/>
        </w:rPr>
        <w:t>城关镇</w:t>
      </w:r>
      <w:r>
        <w:rPr>
          <w:rFonts w:hint="eastAsia" w:cs="Times New Roman"/>
          <w:color w:val="auto"/>
          <w:kern w:val="0"/>
        </w:rPr>
        <w:t>段</w:t>
      </w:r>
      <w:r>
        <w:rPr>
          <w:rFonts w:hint="eastAsia" w:cs="Times New Roman"/>
          <w:color w:val="auto"/>
          <w:kern w:val="0"/>
          <w:lang w:val="en-US" w:eastAsia="zh-CN"/>
        </w:rPr>
        <w:t>2.0</w:t>
      </w:r>
      <w:r>
        <w:rPr>
          <w:rFonts w:hint="eastAsia" w:cs="Times New Roman"/>
          <w:color w:val="auto"/>
          <w:kern w:val="0"/>
        </w:rPr>
        <w:t>km，</w:t>
      </w:r>
      <w:r>
        <w:rPr>
          <w:rFonts w:hint="eastAsia" w:cs="Times New Roman"/>
          <w:color w:val="auto"/>
          <w:kern w:val="0"/>
          <w:lang w:val="en-US" w:eastAsia="zh-CN"/>
        </w:rPr>
        <w:t>佐龙镇</w:t>
      </w:r>
      <w:r>
        <w:rPr>
          <w:rFonts w:hint="eastAsia" w:cs="Times New Roman"/>
          <w:color w:val="auto"/>
          <w:kern w:val="0"/>
        </w:rPr>
        <w:t>段</w:t>
      </w:r>
      <w:r>
        <w:rPr>
          <w:rFonts w:hint="eastAsia" w:cs="Times New Roman"/>
          <w:color w:val="auto"/>
          <w:kern w:val="0"/>
          <w:lang w:val="en-US" w:eastAsia="zh-CN"/>
        </w:rPr>
        <w:t>2.85</w:t>
      </w:r>
      <w:r>
        <w:rPr>
          <w:rFonts w:hint="eastAsia" w:cs="Times New Roman"/>
          <w:color w:val="auto"/>
          <w:kern w:val="0"/>
        </w:rPr>
        <w:t>km</w:t>
      </w:r>
      <w:r>
        <w:rPr>
          <w:rFonts w:hint="eastAsia" w:cs="Times New Roman"/>
          <w:color w:val="auto"/>
          <w:kern w:val="0"/>
          <w:lang w:eastAsia="zh-CN"/>
        </w:rPr>
        <w:t>，</w:t>
      </w:r>
      <w:r>
        <w:rPr>
          <w:rFonts w:hint="eastAsia" w:cs="Times New Roman"/>
          <w:color w:val="auto"/>
          <w:kern w:val="0"/>
          <w:lang w:val="en-US" w:eastAsia="zh-CN"/>
        </w:rPr>
        <w:t>蔺河镇段0.65</w:t>
      </w:r>
      <w:r>
        <w:rPr>
          <w:rFonts w:hint="eastAsia" w:cs="Times New Roman"/>
          <w:color w:val="auto"/>
          <w:kern w:val="0"/>
        </w:rPr>
        <w:t>km，</w:t>
      </w:r>
      <w:r>
        <w:rPr>
          <w:rFonts w:hint="eastAsia" w:cs="Times New Roman"/>
          <w:color w:val="auto"/>
          <w:kern w:val="0"/>
          <w:lang w:val="en-US" w:eastAsia="zh-CN"/>
        </w:rPr>
        <w:t>孟石岭镇段0.7</w:t>
      </w:r>
      <w:r>
        <w:rPr>
          <w:rFonts w:hint="eastAsia" w:cs="Times New Roman"/>
          <w:color w:val="auto"/>
          <w:kern w:val="0"/>
        </w:rPr>
        <w:t>km，</w:t>
      </w:r>
      <w:r>
        <w:rPr>
          <w:rFonts w:hint="eastAsia" w:cs="Times New Roman"/>
          <w:color w:val="auto"/>
          <w:kern w:val="0"/>
          <w:lang w:val="en-US" w:eastAsia="zh-CN"/>
        </w:rPr>
        <w:t>南宫山镇段2.5</w:t>
      </w:r>
      <w:r>
        <w:rPr>
          <w:rFonts w:hint="eastAsia" w:cs="Times New Roman"/>
          <w:color w:val="auto"/>
          <w:kern w:val="0"/>
        </w:rPr>
        <w:t>km。</w:t>
      </w:r>
    </w:p>
    <w:p>
      <w:pPr>
        <w:pStyle w:val="61"/>
        <w:topLinePunct/>
        <w:snapToGrid w:val="0"/>
        <w:ind w:firstLine="480"/>
        <w:rPr>
          <w:rFonts w:cs="Times New Roman"/>
          <w:color w:val="auto"/>
          <w:kern w:val="0"/>
        </w:rPr>
      </w:pPr>
      <w:r>
        <w:rPr>
          <w:rFonts w:hint="eastAsia" w:cs="Times New Roman"/>
          <w:color w:val="auto"/>
          <w:kern w:val="0"/>
        </w:rPr>
        <w:t>安康</w:t>
      </w:r>
      <w:r>
        <w:rPr>
          <w:rFonts w:hint="eastAsia" w:cs="Times New Roman"/>
          <w:color w:val="auto"/>
          <w:kern w:val="0"/>
          <w:lang w:val="en-US" w:eastAsia="zh-CN"/>
        </w:rPr>
        <w:t>岚河</w:t>
      </w:r>
      <w:r>
        <w:rPr>
          <w:rFonts w:hint="eastAsia" w:cs="Times New Roman"/>
          <w:color w:val="auto"/>
          <w:kern w:val="0"/>
        </w:rPr>
        <w:t>湿地为陕西省重要湿地。根据《湿地保护法》，</w:t>
      </w:r>
      <w:r>
        <w:rPr>
          <w:rFonts w:cs="Times New Roman"/>
          <w:color w:val="auto"/>
          <w:kern w:val="0"/>
        </w:rPr>
        <w:t>建设项目选址、选线应当避让湿地，无法避让的应当尽量减少占用，并采取必要措施减轻对湿地生态功能的不利影响。</w:t>
      </w:r>
      <w:r>
        <w:rPr>
          <w:rFonts w:hint="eastAsia" w:cs="Times New Roman"/>
          <w:color w:val="auto"/>
          <w:kern w:val="0"/>
        </w:rPr>
        <w:t>临时占用湿地的期限一般不得超过二年，并不得在临时占用的湿地上修建永久性建筑物。临时占用湿地期满后一年内，用地单位或者个人应当恢复湿地面积和生态条件。</w:t>
      </w:r>
      <w:r>
        <w:rPr>
          <w:rFonts w:cs="Times New Roman"/>
          <w:color w:val="auto"/>
          <w:kern w:val="0"/>
        </w:rPr>
        <w:t>禁止下列破坏湿地及其生态功能的行为：</w:t>
      </w:r>
    </w:p>
    <w:p>
      <w:pPr>
        <w:pStyle w:val="61"/>
        <w:topLinePunct/>
        <w:snapToGrid w:val="0"/>
        <w:ind w:firstLine="480"/>
        <w:rPr>
          <w:rFonts w:cs="Times New Roman"/>
          <w:color w:val="auto"/>
          <w:kern w:val="0"/>
        </w:rPr>
      </w:pPr>
      <w:r>
        <w:rPr>
          <w:rFonts w:cs="Times New Roman"/>
          <w:color w:val="auto"/>
          <w:kern w:val="0"/>
        </w:rPr>
        <w:t>（一）开（围）垦、排干自然湿地，永久性截断自然湿地水源；</w:t>
      </w:r>
    </w:p>
    <w:p>
      <w:pPr>
        <w:pStyle w:val="61"/>
        <w:topLinePunct/>
        <w:snapToGrid w:val="0"/>
        <w:ind w:firstLine="480"/>
        <w:rPr>
          <w:rFonts w:cs="Times New Roman"/>
          <w:color w:val="auto"/>
          <w:kern w:val="0"/>
        </w:rPr>
      </w:pPr>
      <w:r>
        <w:rPr>
          <w:rFonts w:cs="Times New Roman"/>
          <w:color w:val="auto"/>
          <w:kern w:val="0"/>
        </w:rPr>
        <w:t>（二）擅自填埋自然湿地，擅自采砂、采矿、取土；</w:t>
      </w:r>
    </w:p>
    <w:p>
      <w:pPr>
        <w:pStyle w:val="61"/>
        <w:topLinePunct/>
        <w:snapToGrid w:val="0"/>
        <w:ind w:firstLine="480"/>
        <w:rPr>
          <w:rFonts w:cs="Times New Roman"/>
          <w:color w:val="auto"/>
          <w:kern w:val="0"/>
        </w:rPr>
      </w:pPr>
      <w:r>
        <w:rPr>
          <w:rFonts w:cs="Times New Roman"/>
          <w:color w:val="auto"/>
          <w:kern w:val="0"/>
        </w:rPr>
        <w:t>（三）排放不符合水污染物排放标准的工业废水、生活污水及其他污染湿地的废水、污水，倾倒、堆放、丢弃、遗撒固体废物；</w:t>
      </w:r>
    </w:p>
    <w:p>
      <w:pPr>
        <w:pStyle w:val="61"/>
        <w:topLinePunct/>
        <w:snapToGrid w:val="0"/>
        <w:ind w:firstLine="480"/>
        <w:rPr>
          <w:rFonts w:cs="Times New Roman"/>
          <w:color w:val="auto"/>
          <w:kern w:val="0"/>
        </w:rPr>
      </w:pPr>
      <w:r>
        <w:rPr>
          <w:rFonts w:cs="Times New Roman"/>
          <w:color w:val="auto"/>
          <w:kern w:val="0"/>
        </w:rPr>
        <w:t>（四）过度放牧或者滥采野生植物，过度捕捞或者灭绝式捕捞，过度施肥、投药、投放饵料等污染湿地的种植养殖行为；</w:t>
      </w:r>
    </w:p>
    <w:p>
      <w:pPr>
        <w:pStyle w:val="61"/>
        <w:topLinePunct/>
        <w:snapToGrid w:val="0"/>
        <w:ind w:firstLine="480"/>
        <w:rPr>
          <w:rFonts w:cs="Times New Roman"/>
          <w:color w:val="auto"/>
          <w:kern w:val="0"/>
        </w:rPr>
      </w:pPr>
      <w:r>
        <w:rPr>
          <w:rFonts w:cs="Times New Roman"/>
          <w:color w:val="auto"/>
          <w:kern w:val="0"/>
        </w:rPr>
        <w:t>（五）其他破坏湿地及其生态功能的行为。</w:t>
      </w:r>
    </w:p>
    <w:p>
      <w:pPr>
        <w:pStyle w:val="61"/>
        <w:snapToGrid w:val="0"/>
        <w:ind w:firstLine="480"/>
        <w:rPr>
          <w:rFonts w:cs="Times New Roman"/>
          <w:color w:val="auto"/>
        </w:rPr>
      </w:pPr>
      <w:r>
        <w:rPr>
          <w:rFonts w:hint="eastAsia" w:cs="Times New Roman"/>
          <w:color w:val="auto"/>
          <w:kern w:val="0"/>
        </w:rPr>
        <w:t>本项目工程施工占用安康</w:t>
      </w:r>
      <w:r>
        <w:rPr>
          <w:rFonts w:hint="eastAsia" w:cs="Times New Roman"/>
          <w:color w:val="auto"/>
          <w:kern w:val="0"/>
          <w:lang w:val="en-US" w:eastAsia="zh-CN"/>
        </w:rPr>
        <w:t>岚河</w:t>
      </w:r>
      <w:r>
        <w:rPr>
          <w:rFonts w:hint="eastAsia" w:cs="Times New Roman"/>
          <w:color w:val="auto"/>
          <w:kern w:val="0"/>
        </w:rPr>
        <w:t>湿地。项目选线</w:t>
      </w:r>
      <w:r>
        <w:rPr>
          <w:rFonts w:cs="Times New Roman"/>
          <w:color w:val="auto"/>
          <w:kern w:val="0"/>
        </w:rPr>
        <w:t>无法避让</w:t>
      </w:r>
      <w:r>
        <w:rPr>
          <w:rFonts w:hint="eastAsia" w:cs="Times New Roman"/>
          <w:color w:val="auto"/>
          <w:kern w:val="0"/>
        </w:rPr>
        <w:t>安康</w:t>
      </w:r>
      <w:r>
        <w:rPr>
          <w:rFonts w:hint="eastAsia" w:cs="Times New Roman"/>
          <w:color w:val="auto"/>
          <w:kern w:val="0"/>
          <w:lang w:val="en-US" w:eastAsia="zh-CN"/>
        </w:rPr>
        <w:t>岚河</w:t>
      </w:r>
      <w:r>
        <w:rPr>
          <w:rFonts w:hint="eastAsia" w:cs="Times New Roman"/>
          <w:color w:val="auto"/>
          <w:kern w:val="0"/>
        </w:rPr>
        <w:t>湿地。项目施工期约</w:t>
      </w:r>
      <w:r>
        <w:rPr>
          <w:rFonts w:hint="eastAsia" w:cs="Times New Roman"/>
          <w:color w:val="auto"/>
          <w:kern w:val="0"/>
          <w:lang w:val="en-US" w:eastAsia="zh-CN"/>
        </w:rPr>
        <w:t>9</w:t>
      </w:r>
      <w:r>
        <w:rPr>
          <w:rFonts w:hint="eastAsia" w:cs="Times New Roman"/>
          <w:color w:val="auto"/>
          <w:kern w:val="0"/>
        </w:rPr>
        <w:t>个月，其中占用堤防（护岸）工程湿地施工周期约</w:t>
      </w:r>
      <w:r>
        <w:rPr>
          <w:rFonts w:hint="eastAsia" w:cs="Times New Roman"/>
          <w:color w:val="auto"/>
          <w:kern w:val="0"/>
          <w:lang w:val="en-US" w:eastAsia="zh-CN"/>
        </w:rPr>
        <w:t>5个月</w:t>
      </w:r>
      <w:r>
        <w:rPr>
          <w:rFonts w:hint="eastAsia" w:cs="Times New Roman"/>
          <w:color w:val="auto"/>
          <w:kern w:val="0"/>
        </w:rPr>
        <w:t>，临时占用湿地的主要施工内容为修建围堰。施工过程中</w:t>
      </w:r>
      <w:r>
        <w:rPr>
          <w:rFonts w:hint="eastAsia" w:cs="Times New Roman"/>
          <w:color w:val="auto"/>
        </w:rPr>
        <w:t>采取必要措施以减轻对湿地生态功能的不利影响，绿化工程采用当地植物，无开垦、烧荒，排干湿地，填埋自然湿地，放牧或者滥采野生植物等活动。项目施工过程中采取一系列的生态保护措施，对安康市</w:t>
      </w:r>
      <w:r>
        <w:rPr>
          <w:rFonts w:hint="eastAsia" w:cs="Times New Roman"/>
          <w:color w:val="auto"/>
          <w:lang w:val="en-US" w:eastAsia="zh-CN"/>
        </w:rPr>
        <w:t>岚河</w:t>
      </w:r>
      <w:r>
        <w:rPr>
          <w:rFonts w:hint="eastAsia" w:cs="Times New Roman"/>
          <w:color w:val="auto"/>
        </w:rPr>
        <w:t>湿地影响较小，施工期结束后湿地生态环境逐渐恢复，符合《湿地保护法》要求。</w:t>
      </w:r>
    </w:p>
    <w:p>
      <w:pPr>
        <w:pStyle w:val="61"/>
        <w:snapToGrid w:val="0"/>
        <w:ind w:firstLine="480"/>
        <w:rPr>
          <w:rFonts w:cs="Times New Roman"/>
          <w:color w:val="auto"/>
        </w:rPr>
      </w:pPr>
      <w:r>
        <w:rPr>
          <w:rFonts w:hint="eastAsia" w:cs="Times New Roman"/>
          <w:color w:val="auto"/>
        </w:rPr>
        <w:t>同时根据《湿地保护法》，涉及省级重要湿地或者一般湿地的，应当按照管理权限，征求县级以上地方人民政府授权的部门的意见。因此建设单位应办理相关湿地占用审批手续。</w:t>
      </w:r>
    </w:p>
    <w:p>
      <w:pPr>
        <w:keepNext/>
        <w:keepLines/>
        <w:numPr>
          <w:ilvl w:val="2"/>
          <w:numId w:val="0"/>
        </w:numPr>
        <w:snapToGrid w:val="0"/>
        <w:ind w:left="720"/>
        <w:outlineLvl w:val="2"/>
        <w:rPr>
          <w:rFonts w:eastAsia="黑体" w:cs="Times New Roman"/>
          <w:color w:val="auto"/>
        </w:rPr>
      </w:pPr>
      <w:r>
        <w:rPr>
          <w:rFonts w:eastAsia="黑体" w:cs="Times New Roman"/>
          <w:color w:val="auto"/>
        </w:rPr>
        <w:t>1.4.5</w:t>
      </w:r>
      <w:r>
        <w:rPr>
          <w:rFonts w:hint="eastAsia" w:eastAsia="黑体" w:cs="Times New Roman"/>
          <w:color w:val="auto"/>
        </w:rPr>
        <w:t>与《陕西省湿地保护条例》符合性分析</w:t>
      </w:r>
    </w:p>
    <w:p>
      <w:pPr>
        <w:pStyle w:val="61"/>
        <w:snapToGrid w:val="0"/>
        <w:ind w:firstLine="480"/>
        <w:rPr>
          <w:rFonts w:cs="Times New Roman"/>
          <w:color w:val="auto"/>
        </w:rPr>
      </w:pPr>
      <w:r>
        <w:rPr>
          <w:rFonts w:hint="eastAsia" w:cs="Times New Roman"/>
          <w:color w:val="auto"/>
        </w:rPr>
        <w:t>《陕西省湿地保护条例》已于2023年3月28日经陕西省第十四届人民代表大会常务委员会第二次会议修订通过。根据《陕西省湿地保护条例》，湿地保护应当坚持保护优先、严格管理、系统治理、科学修复、合理利用的原则，加强原真性和完整性保护，发挥湿地涵养水源、调节气候、改善环境、维护生物多样性等多种生态功能。严格控制建设项目占用湿地。建设项目选址、选线应当避让湿地，无法避让的应当尽量减少占用，并采取必要措施减轻对湿地生态功能的不利影响。在河道管理范围内新建、改建、扩建水库、水电站、防洪工程、抽水站、岸线管控工程、河道整治和河湖生态修复等水利工程的，按照水法、防洪法、河道管理条例等有关法律法规的规定执行，并兼顾湿地保护需要，降低对湿地生态功能的影响。禁止在湿地范围内从事下列活动：</w:t>
      </w:r>
    </w:p>
    <w:p>
      <w:pPr>
        <w:pStyle w:val="61"/>
        <w:snapToGrid w:val="0"/>
        <w:ind w:firstLine="480"/>
        <w:rPr>
          <w:rFonts w:cs="Times New Roman"/>
          <w:color w:val="auto"/>
        </w:rPr>
      </w:pPr>
      <w:r>
        <w:rPr>
          <w:rFonts w:hint="eastAsia" w:cs="Times New Roman"/>
          <w:color w:val="auto"/>
        </w:rPr>
        <w:t>（一）开（围）垦、烧荒；</w:t>
      </w:r>
    </w:p>
    <w:p>
      <w:pPr>
        <w:pStyle w:val="61"/>
        <w:snapToGrid w:val="0"/>
        <w:ind w:firstLine="480"/>
        <w:rPr>
          <w:rFonts w:cs="Times New Roman"/>
          <w:color w:val="auto"/>
        </w:rPr>
      </w:pPr>
      <w:r>
        <w:rPr>
          <w:rFonts w:hint="eastAsia" w:cs="Times New Roman"/>
          <w:color w:val="auto"/>
        </w:rPr>
        <w:t>（二）排干自然湿地，永久性截断自然湿地水源；</w:t>
      </w:r>
    </w:p>
    <w:p>
      <w:pPr>
        <w:pStyle w:val="61"/>
        <w:snapToGrid w:val="0"/>
        <w:ind w:firstLine="480"/>
        <w:rPr>
          <w:rFonts w:cs="Times New Roman"/>
          <w:color w:val="auto"/>
        </w:rPr>
      </w:pPr>
      <w:r>
        <w:rPr>
          <w:rFonts w:hint="eastAsia" w:cs="Times New Roman"/>
          <w:color w:val="auto"/>
        </w:rPr>
        <w:t>（三）擅自填埋自然湿地，擅自采砂、采石、采矿、取土、挖塘；</w:t>
      </w:r>
    </w:p>
    <w:p>
      <w:pPr>
        <w:pStyle w:val="61"/>
        <w:snapToGrid w:val="0"/>
        <w:ind w:firstLine="480"/>
        <w:rPr>
          <w:rFonts w:cs="Times New Roman"/>
          <w:color w:val="auto"/>
        </w:rPr>
      </w:pPr>
      <w:r>
        <w:rPr>
          <w:rFonts w:hint="eastAsia" w:cs="Times New Roman"/>
          <w:color w:val="auto"/>
        </w:rPr>
        <w:t>（四）排放不符合水污染物排放标准的工业废水、生活污水及其他污染湿地的废水、污水，排放有毒有害气体，倾倒、堆放、丢弃、遗撒固体废物，投放可能危害水体、水生生物的化学物品；</w:t>
      </w:r>
    </w:p>
    <w:p>
      <w:pPr>
        <w:pStyle w:val="61"/>
        <w:snapToGrid w:val="0"/>
        <w:ind w:firstLine="480"/>
        <w:rPr>
          <w:rFonts w:cs="Times New Roman"/>
          <w:color w:val="auto"/>
        </w:rPr>
      </w:pPr>
      <w:r>
        <w:rPr>
          <w:rFonts w:hint="eastAsia" w:cs="Times New Roman"/>
          <w:color w:val="auto"/>
        </w:rPr>
        <w:t>（五）过度放牧或者滥采野生植物，过度捕捞或者灭绝式捕捞，过度施肥、投药、投放饵料等污染湿地的种植养殖行为；</w:t>
      </w:r>
    </w:p>
    <w:p>
      <w:pPr>
        <w:pStyle w:val="61"/>
        <w:snapToGrid w:val="0"/>
        <w:ind w:firstLine="480"/>
        <w:rPr>
          <w:rFonts w:cs="Times New Roman"/>
          <w:color w:val="auto"/>
        </w:rPr>
      </w:pPr>
      <w:r>
        <w:rPr>
          <w:rFonts w:hint="eastAsia" w:cs="Times New Roman"/>
          <w:color w:val="auto"/>
        </w:rPr>
        <w:t>（六）放生外来物种；</w:t>
      </w:r>
    </w:p>
    <w:p>
      <w:pPr>
        <w:pStyle w:val="61"/>
        <w:snapToGrid w:val="0"/>
        <w:ind w:firstLine="480"/>
        <w:rPr>
          <w:rFonts w:cs="Times New Roman"/>
          <w:color w:val="auto"/>
        </w:rPr>
      </w:pPr>
      <w:r>
        <w:rPr>
          <w:rFonts w:hint="eastAsia" w:cs="Times New Roman"/>
          <w:color w:val="auto"/>
        </w:rPr>
        <w:t>（七）其他破坏湿地及其生态功能的行为。</w:t>
      </w:r>
    </w:p>
    <w:p>
      <w:pPr>
        <w:pStyle w:val="61"/>
        <w:snapToGrid w:val="0"/>
        <w:ind w:firstLine="480"/>
        <w:rPr>
          <w:rFonts w:cs="Times New Roman"/>
          <w:color w:val="auto"/>
        </w:rPr>
      </w:pPr>
      <w:r>
        <w:rPr>
          <w:rFonts w:hint="eastAsia" w:cs="Times New Roman"/>
          <w:color w:val="auto"/>
        </w:rPr>
        <w:t>本项目</w:t>
      </w:r>
      <w:r>
        <w:rPr>
          <w:rFonts w:hint="eastAsia" w:cs="Times New Roman"/>
          <w:color w:val="auto"/>
          <w:lang w:val="en-US" w:eastAsia="zh-CN"/>
        </w:rPr>
        <w:t>是</w:t>
      </w:r>
      <w:r>
        <w:rPr>
          <w:rFonts w:hint="eastAsia" w:cs="Times New Roman"/>
          <w:color w:val="auto"/>
        </w:rPr>
        <w:t>水环境生态修复项目，施工无法避让</w:t>
      </w:r>
      <w:r>
        <w:rPr>
          <w:rFonts w:hint="eastAsia" w:cs="Times New Roman"/>
          <w:color w:val="auto"/>
          <w:lang w:val="en-US" w:eastAsia="zh-CN"/>
        </w:rPr>
        <w:t>岚河</w:t>
      </w:r>
      <w:r>
        <w:rPr>
          <w:rFonts w:hint="eastAsia" w:cs="Times New Roman"/>
          <w:color w:val="auto"/>
        </w:rPr>
        <w:t>湿地，建设单位在施工过程中采取必要措施以减轻对湿地生态功能的不利影响，绿化工程采用当地植物，无开垦、烧荒，排干湿地，填埋自然湿地，放牧或者滥采野生植物等活动。项目施工过程中采取一系列的生态保护措施，对安康市</w:t>
      </w:r>
      <w:r>
        <w:rPr>
          <w:rFonts w:hint="eastAsia" w:cs="Times New Roman"/>
          <w:color w:val="auto"/>
          <w:lang w:val="en-US" w:eastAsia="zh-CN"/>
        </w:rPr>
        <w:t>岚河</w:t>
      </w:r>
      <w:r>
        <w:rPr>
          <w:rFonts w:hint="eastAsia" w:cs="Times New Roman"/>
          <w:color w:val="auto"/>
        </w:rPr>
        <w:t>湿地影响较小，符合《陕西省湿地保护条例》要求。</w:t>
      </w:r>
    </w:p>
    <w:p>
      <w:pPr>
        <w:keepNext/>
        <w:keepLines/>
        <w:numPr>
          <w:ilvl w:val="2"/>
          <w:numId w:val="0"/>
        </w:numPr>
        <w:snapToGrid w:val="0"/>
        <w:ind w:left="720"/>
        <w:outlineLvl w:val="2"/>
        <w:rPr>
          <w:rFonts w:eastAsia="黑体" w:cs="Times New Roman"/>
          <w:color w:val="auto"/>
        </w:rPr>
      </w:pPr>
      <w:r>
        <w:rPr>
          <w:rFonts w:eastAsia="黑体" w:cs="Times New Roman"/>
          <w:color w:val="auto"/>
        </w:rPr>
        <w:t>1.4.6与环境影响评价文件审批原则符合性分析</w:t>
      </w:r>
    </w:p>
    <w:p>
      <w:pPr>
        <w:pStyle w:val="61"/>
        <w:snapToGrid w:val="0"/>
        <w:ind w:firstLine="480"/>
        <w:rPr>
          <w:rFonts w:cs="Times New Roman"/>
          <w:color w:val="auto"/>
        </w:rPr>
      </w:pPr>
      <w:r>
        <w:rPr>
          <w:rFonts w:cs="Times New Roman"/>
          <w:color w:val="auto"/>
        </w:rPr>
        <w:t>本项目与《水利建设项目（河湖整治与防洪除涝工程）环境影响评价文件审批原则》（环办环评〔2018〕2号）符合性分析内容详见表1.4-3。</w:t>
      </w:r>
    </w:p>
    <w:p>
      <w:pPr>
        <w:overflowPunct w:val="0"/>
        <w:adjustRightInd w:val="0"/>
        <w:snapToGrid w:val="0"/>
        <w:spacing w:line="240" w:lineRule="auto"/>
        <w:ind w:firstLine="482"/>
        <w:jc w:val="center"/>
        <w:rPr>
          <w:rFonts w:cs="Times New Roman"/>
          <w:b/>
          <w:color w:val="auto"/>
          <w:kern w:val="0"/>
        </w:rPr>
      </w:pPr>
      <w:r>
        <w:rPr>
          <w:rFonts w:cs="Times New Roman"/>
          <w:b/>
          <w:color w:val="auto"/>
          <w:kern w:val="0"/>
        </w:rPr>
        <w:t>表1.4-3  项目与环境影响评价文件审批原则符合性分析一览表</w:t>
      </w:r>
    </w:p>
    <w:tbl>
      <w:tblPr>
        <w:tblStyle w:val="4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5011"/>
        <w:gridCol w:w="2417"/>
        <w:gridCol w:w="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5" w:type="pct"/>
            <w:tcBorders>
              <w:bottom w:val="single" w:color="auto" w:sz="12" w:space="0"/>
            </w:tcBorders>
            <w:vAlign w:val="center"/>
          </w:tcPr>
          <w:p>
            <w:pPr>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序号</w:t>
            </w:r>
          </w:p>
        </w:tc>
        <w:tc>
          <w:tcPr>
            <w:tcW w:w="2733" w:type="pct"/>
            <w:tcBorders>
              <w:bottom w:val="single" w:color="auto" w:sz="12" w:space="0"/>
            </w:tcBorders>
            <w:vAlign w:val="center"/>
          </w:tcPr>
          <w:p>
            <w:pPr>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审批原则</w:t>
            </w:r>
          </w:p>
        </w:tc>
        <w:tc>
          <w:tcPr>
            <w:tcW w:w="1318" w:type="pct"/>
            <w:tcBorders>
              <w:bottom w:val="single" w:color="auto" w:sz="12" w:space="0"/>
            </w:tcBorders>
            <w:vAlign w:val="center"/>
          </w:tcPr>
          <w:p>
            <w:pPr>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本项目情况</w:t>
            </w:r>
          </w:p>
        </w:tc>
        <w:tc>
          <w:tcPr>
            <w:tcW w:w="513" w:type="pct"/>
            <w:tcBorders>
              <w:bottom w:val="single" w:color="auto" w:sz="12" w:space="0"/>
            </w:tcBorders>
            <w:vAlign w:val="center"/>
          </w:tcPr>
          <w:p>
            <w:pPr>
              <w:snapToGrid w:val="0"/>
              <w:spacing w:line="240" w:lineRule="atLeast"/>
              <w:ind w:firstLine="0" w:firstLineChars="0"/>
              <w:jc w:val="center"/>
              <w:rPr>
                <w:rFonts w:cs="Times New Roman"/>
                <w:b/>
                <w:bCs/>
                <w:color w:val="auto"/>
                <w:sz w:val="21"/>
                <w:szCs w:val="21"/>
              </w:rPr>
            </w:pPr>
            <w:r>
              <w:rPr>
                <w:rFonts w:cs="Times New Roman"/>
                <w:b/>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12" w:space="0"/>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2733" w:type="pct"/>
            <w:tcBorders>
              <w:top w:val="single" w:color="auto" w:sz="12" w:space="0"/>
              <w:tl2br w:val="nil"/>
              <w:tr2bl w:val="nil"/>
            </w:tcBorders>
            <w:vAlign w:val="center"/>
          </w:tcPr>
          <w:p>
            <w:pPr>
              <w:snapToGrid w:val="0"/>
              <w:spacing w:line="240" w:lineRule="atLeast"/>
              <w:ind w:firstLine="0" w:firstLineChars="0"/>
              <w:jc w:val="both"/>
              <w:rPr>
                <w:rFonts w:cs="Times New Roman"/>
                <w:color w:val="auto"/>
                <w:sz w:val="21"/>
                <w:szCs w:val="21"/>
              </w:rPr>
            </w:pPr>
            <w:r>
              <w:rPr>
                <w:rFonts w:cs="Times New Roman"/>
                <w:color w:val="auto"/>
                <w:sz w:val="21"/>
                <w:szCs w:val="21"/>
              </w:rPr>
              <w:t>第二条 项目符合环境保护相关法律法规和政策要求，与主体功能区规划、生态功能区划、水环境功能区划、水功能区划、生态环境保护规划、流域综合规划、防洪规划等相协调，满足相关规划环评要求</w:t>
            </w:r>
          </w:p>
        </w:tc>
        <w:tc>
          <w:tcPr>
            <w:tcW w:w="1318" w:type="pct"/>
            <w:tcBorders>
              <w:top w:val="single" w:color="auto" w:sz="12" w:space="0"/>
              <w:tl2br w:val="nil"/>
              <w:tr2bl w:val="nil"/>
            </w:tcBorders>
            <w:vAlign w:val="center"/>
          </w:tcPr>
          <w:p>
            <w:pPr>
              <w:snapToGrid w:val="0"/>
              <w:spacing w:line="240" w:lineRule="atLeast"/>
              <w:ind w:firstLine="0" w:firstLineChars="0"/>
              <w:rPr>
                <w:rFonts w:cs="Times New Roman"/>
                <w:color w:val="auto"/>
                <w:sz w:val="21"/>
                <w:szCs w:val="21"/>
              </w:rPr>
            </w:pPr>
            <w:r>
              <w:rPr>
                <w:rFonts w:cs="Times New Roman"/>
                <w:color w:val="auto"/>
                <w:sz w:val="21"/>
                <w:szCs w:val="21"/>
              </w:rPr>
              <w:t>本项目的实施符合环境保护相关法律法规和政策要求。</w:t>
            </w:r>
          </w:p>
        </w:tc>
        <w:tc>
          <w:tcPr>
            <w:tcW w:w="513" w:type="pct"/>
            <w:tcBorders>
              <w:top w:val="single" w:color="auto" w:sz="12" w:space="0"/>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2</w:t>
            </w:r>
          </w:p>
        </w:tc>
        <w:tc>
          <w:tcPr>
            <w:tcW w:w="2733" w:type="pct"/>
            <w:tcBorders>
              <w:tl2br w:val="nil"/>
              <w:tr2bl w:val="nil"/>
            </w:tcBorders>
            <w:vAlign w:val="center"/>
          </w:tcPr>
          <w:p>
            <w:pPr>
              <w:snapToGrid w:val="0"/>
              <w:spacing w:line="240" w:lineRule="atLeast"/>
              <w:ind w:firstLine="0" w:firstLineChars="0"/>
              <w:jc w:val="both"/>
              <w:rPr>
                <w:rFonts w:cs="Times New Roman"/>
                <w:color w:val="auto"/>
                <w:sz w:val="21"/>
                <w:szCs w:val="21"/>
              </w:rPr>
            </w:pPr>
            <w:r>
              <w:rPr>
                <w:rFonts w:cs="Times New Roman"/>
                <w:color w:val="auto"/>
                <w:sz w:val="21"/>
                <w:szCs w:val="21"/>
              </w:rPr>
              <w:t>第三条 工程选址选线、施工布置原则上不占用自然保护区、风景名胜区、世界文化和自然遗产地以及其他生态保护红线等环境敏感区中法律法规禁止占用的区域，并与饮用水水源保护区的保护要求相协调</w:t>
            </w:r>
          </w:p>
        </w:tc>
        <w:tc>
          <w:tcPr>
            <w:tcW w:w="1318" w:type="pct"/>
            <w:tcBorders>
              <w:tl2br w:val="nil"/>
              <w:tr2bl w:val="nil"/>
            </w:tcBorders>
            <w:vAlign w:val="center"/>
          </w:tcPr>
          <w:p>
            <w:pPr>
              <w:snapToGrid w:val="0"/>
              <w:spacing w:line="240" w:lineRule="atLeast"/>
              <w:ind w:firstLine="0" w:firstLineChars="0"/>
              <w:rPr>
                <w:rFonts w:cs="Times New Roman"/>
                <w:color w:val="auto"/>
                <w:sz w:val="21"/>
                <w:szCs w:val="21"/>
              </w:rPr>
            </w:pPr>
            <w:r>
              <w:rPr>
                <w:rFonts w:cs="Times New Roman"/>
                <w:color w:val="auto"/>
                <w:sz w:val="21"/>
                <w:szCs w:val="21"/>
              </w:rPr>
              <w:t>本项目选址选线、施工布置不占用法律法规禁止占用的区域。</w:t>
            </w:r>
          </w:p>
        </w:tc>
        <w:tc>
          <w:tcPr>
            <w:tcW w:w="513"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3</w:t>
            </w:r>
          </w:p>
        </w:tc>
        <w:tc>
          <w:tcPr>
            <w:tcW w:w="2733" w:type="pct"/>
            <w:tcBorders>
              <w:tl2br w:val="nil"/>
              <w:tr2bl w:val="nil"/>
            </w:tcBorders>
            <w:vAlign w:val="center"/>
          </w:tcPr>
          <w:p>
            <w:pPr>
              <w:snapToGrid w:val="0"/>
              <w:spacing w:line="240" w:lineRule="atLeast"/>
              <w:ind w:firstLine="0" w:firstLineChars="0"/>
              <w:jc w:val="both"/>
              <w:rPr>
                <w:rFonts w:cs="Times New Roman"/>
                <w:color w:val="auto"/>
                <w:sz w:val="21"/>
                <w:szCs w:val="21"/>
              </w:rPr>
            </w:pPr>
            <w:r>
              <w:rPr>
                <w:rFonts w:cs="Times New Roman"/>
                <w:color w:val="auto"/>
                <w:sz w:val="21"/>
                <w:szCs w:val="21"/>
              </w:rPr>
              <w:t>第四条 项目实施改变水动力条件或水文过程且对水质产生不利影响的，提出了工程优化调整、科学调度、实施区域流域水污染防治等施。对地下水环境产生不利影响或次生环境影响的，提出了优化工程设计、导排、防护等针对性的防治措施。在采取上述措施后，对水环境的不利影响能够得到缓解和控制，居民用水安全能够得到保障，相关区域不会出现显著的土壤潜育化、沼泽化、盐碱化等次生环境问题。</w:t>
            </w:r>
          </w:p>
        </w:tc>
        <w:tc>
          <w:tcPr>
            <w:tcW w:w="1318" w:type="pct"/>
            <w:tcBorders>
              <w:tl2br w:val="nil"/>
              <w:tr2bl w:val="nil"/>
            </w:tcBorders>
            <w:vAlign w:val="center"/>
          </w:tcPr>
          <w:p>
            <w:pPr>
              <w:snapToGrid w:val="0"/>
              <w:spacing w:line="240" w:lineRule="atLeast"/>
              <w:ind w:firstLine="0" w:firstLineChars="0"/>
              <w:rPr>
                <w:rFonts w:cs="Times New Roman"/>
                <w:color w:val="auto"/>
                <w:sz w:val="21"/>
                <w:szCs w:val="21"/>
              </w:rPr>
            </w:pPr>
            <w:r>
              <w:rPr>
                <w:rFonts w:cs="Times New Roman"/>
                <w:color w:val="auto"/>
                <w:sz w:val="21"/>
                <w:szCs w:val="21"/>
              </w:rPr>
              <w:t>本项目工程实施不改变水动力条件或水文过程。不会出现土壤潜育化、沼泽化、盐碱化等次生环境问题。</w:t>
            </w:r>
          </w:p>
        </w:tc>
        <w:tc>
          <w:tcPr>
            <w:tcW w:w="513"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4</w:t>
            </w:r>
          </w:p>
        </w:tc>
        <w:tc>
          <w:tcPr>
            <w:tcW w:w="2733" w:type="pct"/>
            <w:tcBorders>
              <w:tl2br w:val="nil"/>
              <w:tr2bl w:val="nil"/>
            </w:tcBorders>
            <w:vAlign w:val="center"/>
          </w:tcPr>
          <w:p>
            <w:pPr>
              <w:snapToGrid w:val="0"/>
              <w:spacing w:line="240" w:lineRule="atLeast"/>
              <w:ind w:firstLine="0" w:firstLineChars="0"/>
              <w:jc w:val="both"/>
              <w:rPr>
                <w:rFonts w:cs="Times New Roman"/>
                <w:color w:val="auto"/>
                <w:sz w:val="21"/>
                <w:szCs w:val="21"/>
              </w:rPr>
            </w:pPr>
            <w:r>
              <w:rPr>
                <w:rFonts w:cs="Times New Roman"/>
                <w:color w:val="auto"/>
                <w:sz w:val="21"/>
                <w:szCs w:val="21"/>
              </w:rPr>
              <w:t>第五条 项目对鱼类等水生生物的洄游通道及“三场”等重要生境、物种多样性及资源量等产生不利影响的，提出了下泄生态流量、恢复鱼类洄游通道、采用生态友好型护岸（坡、底）、生态修复、增殖放流等措施。在采取上述措施后，对水生生物的不利影响能够得到缓解和控制，不会造成原有珍稀濒危保护、区域特有或重要经济水生生物在相关河段消失，不会对相关河段水生生态系统造成重大不利影响。</w:t>
            </w:r>
          </w:p>
        </w:tc>
        <w:tc>
          <w:tcPr>
            <w:tcW w:w="1318" w:type="pct"/>
            <w:tcBorders>
              <w:tl2br w:val="nil"/>
              <w:tr2bl w:val="nil"/>
            </w:tcBorders>
            <w:vAlign w:val="center"/>
          </w:tcPr>
          <w:p>
            <w:pPr>
              <w:snapToGrid w:val="0"/>
              <w:spacing w:line="240" w:lineRule="atLeast"/>
              <w:ind w:firstLine="0" w:firstLineChars="0"/>
              <w:rPr>
                <w:rFonts w:cs="Times New Roman"/>
                <w:color w:val="auto"/>
                <w:sz w:val="21"/>
                <w:szCs w:val="21"/>
              </w:rPr>
            </w:pPr>
            <w:r>
              <w:rPr>
                <w:rFonts w:cs="Times New Roman"/>
                <w:color w:val="auto"/>
                <w:sz w:val="21"/>
                <w:szCs w:val="21"/>
              </w:rPr>
              <w:t>本项目不涉及鱼类等水生生物的洄游通道及“三场”等重要生境。</w:t>
            </w:r>
          </w:p>
        </w:tc>
        <w:tc>
          <w:tcPr>
            <w:tcW w:w="513"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5</w:t>
            </w:r>
          </w:p>
        </w:tc>
        <w:tc>
          <w:tcPr>
            <w:tcW w:w="2733" w:type="pct"/>
            <w:tcBorders>
              <w:tl2br w:val="nil"/>
              <w:tr2bl w:val="nil"/>
            </w:tcBorders>
            <w:vAlign w:val="center"/>
          </w:tcPr>
          <w:p>
            <w:pPr>
              <w:snapToGrid w:val="0"/>
              <w:spacing w:line="240" w:lineRule="atLeast"/>
              <w:ind w:firstLine="0" w:firstLineChars="0"/>
              <w:jc w:val="both"/>
              <w:rPr>
                <w:rFonts w:cs="Times New Roman"/>
                <w:color w:val="auto"/>
                <w:sz w:val="21"/>
                <w:szCs w:val="21"/>
              </w:rPr>
            </w:pPr>
            <w:r>
              <w:rPr>
                <w:rFonts w:cs="Times New Roman"/>
                <w:color w:val="auto"/>
                <w:sz w:val="21"/>
                <w:szCs w:val="21"/>
              </w:rPr>
              <w:t>第六条 项目对湿地生态系统结构和功能、河湖生态缓冲带造成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在采取上述措施后，对湿地以及陆生动植物的不利影响能够得到缓解和控制，与区域景观相协调，不会造成原有珍稀濒危保护动植物在相关区域消失，不会对陆生生态系统造成重大不利影响。</w:t>
            </w:r>
          </w:p>
        </w:tc>
        <w:tc>
          <w:tcPr>
            <w:tcW w:w="1318" w:type="pct"/>
            <w:tcBorders>
              <w:tl2br w:val="nil"/>
              <w:tr2bl w:val="nil"/>
            </w:tcBorders>
            <w:vAlign w:val="center"/>
          </w:tcPr>
          <w:p>
            <w:pPr>
              <w:snapToGrid w:val="0"/>
              <w:spacing w:line="240" w:lineRule="atLeast"/>
              <w:ind w:firstLine="0" w:firstLineChars="0"/>
              <w:rPr>
                <w:rFonts w:cs="Times New Roman"/>
                <w:color w:val="auto"/>
                <w:sz w:val="21"/>
                <w:szCs w:val="21"/>
              </w:rPr>
            </w:pPr>
            <w:r>
              <w:rPr>
                <w:rFonts w:cs="Times New Roman"/>
                <w:color w:val="auto"/>
                <w:sz w:val="21"/>
                <w:szCs w:val="21"/>
              </w:rPr>
              <w:t>本项目不涉及珍稀濒危保护植物、陆生珍稀濒危保护动物。本项目建设内容包括景观节点，对景观将产生有利影响。</w:t>
            </w:r>
          </w:p>
        </w:tc>
        <w:tc>
          <w:tcPr>
            <w:tcW w:w="513"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6</w:t>
            </w:r>
          </w:p>
        </w:tc>
        <w:tc>
          <w:tcPr>
            <w:tcW w:w="2733" w:type="pct"/>
            <w:tcBorders>
              <w:tl2br w:val="nil"/>
              <w:tr2bl w:val="nil"/>
            </w:tcBorders>
            <w:vAlign w:val="center"/>
          </w:tcPr>
          <w:p>
            <w:pPr>
              <w:snapToGrid w:val="0"/>
              <w:spacing w:line="240" w:lineRule="atLeast"/>
              <w:ind w:firstLine="0" w:firstLineChars="0"/>
              <w:jc w:val="both"/>
              <w:rPr>
                <w:rFonts w:cs="Times New Roman"/>
                <w:color w:val="auto"/>
                <w:sz w:val="21"/>
                <w:szCs w:val="21"/>
              </w:rPr>
            </w:pPr>
            <w:r>
              <w:rPr>
                <w:rFonts w:cs="Times New Roman"/>
                <w:color w:val="auto"/>
                <w:sz w:val="21"/>
                <w:szCs w:val="21"/>
              </w:rPr>
              <w:t>第七条 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在采取上述措施后，施工期的不利环境影响能够得到缓解和控制，不会对周围环境和敏感保护目标造成重大不利影响。</w:t>
            </w:r>
          </w:p>
        </w:tc>
        <w:tc>
          <w:tcPr>
            <w:tcW w:w="1318" w:type="pct"/>
            <w:tcBorders>
              <w:tl2br w:val="nil"/>
              <w:tr2bl w:val="nil"/>
            </w:tcBorders>
            <w:vAlign w:val="center"/>
          </w:tcPr>
          <w:p>
            <w:pPr>
              <w:snapToGrid w:val="0"/>
              <w:spacing w:line="240" w:lineRule="atLeast"/>
              <w:ind w:firstLine="0" w:firstLineChars="0"/>
              <w:rPr>
                <w:rFonts w:cs="Times New Roman"/>
                <w:color w:val="auto"/>
                <w:sz w:val="21"/>
                <w:szCs w:val="21"/>
              </w:rPr>
            </w:pPr>
            <w:r>
              <w:rPr>
                <w:rFonts w:cs="Times New Roman"/>
                <w:color w:val="auto"/>
                <w:sz w:val="21"/>
                <w:szCs w:val="21"/>
              </w:rPr>
              <w:t>本项目施工组织方案具有环境合理性，对料场、施工场地提出了水土流失防治和生态修复等措施。对施工期各类废（污）水、扬尘、废气、噪声、固体废物等提出了防治或处置措施。</w:t>
            </w:r>
          </w:p>
        </w:tc>
        <w:tc>
          <w:tcPr>
            <w:tcW w:w="513"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7</w:t>
            </w:r>
          </w:p>
        </w:tc>
        <w:tc>
          <w:tcPr>
            <w:tcW w:w="2733" w:type="pct"/>
            <w:tcBorders>
              <w:tl2br w:val="nil"/>
              <w:tr2bl w:val="nil"/>
            </w:tcBorders>
            <w:vAlign w:val="center"/>
          </w:tcPr>
          <w:p>
            <w:pPr>
              <w:snapToGrid w:val="0"/>
              <w:spacing w:line="240" w:lineRule="atLeast"/>
              <w:ind w:firstLine="0" w:firstLineChars="0"/>
              <w:jc w:val="both"/>
              <w:rPr>
                <w:rFonts w:cs="Times New Roman"/>
                <w:color w:val="auto"/>
                <w:sz w:val="21"/>
                <w:szCs w:val="21"/>
              </w:rPr>
            </w:pPr>
            <w:r>
              <w:rPr>
                <w:rFonts w:cs="Times New Roman"/>
                <w:color w:val="auto"/>
                <w:sz w:val="21"/>
                <w:szCs w:val="21"/>
              </w:rPr>
              <w:t>第八条 项目移民安置的选址和建设方式具有环境合理性，提出了生态保护、污水处理、固体废物处置等措施。针对蓄滞洪区的环境污染、新增占地涉及污染场地等，提出了环境管理对策建议。</w:t>
            </w:r>
          </w:p>
        </w:tc>
        <w:tc>
          <w:tcPr>
            <w:tcW w:w="1318" w:type="pct"/>
            <w:tcBorders>
              <w:tl2br w:val="nil"/>
              <w:tr2bl w:val="nil"/>
            </w:tcBorders>
            <w:vAlign w:val="center"/>
          </w:tcPr>
          <w:p>
            <w:pPr>
              <w:snapToGrid w:val="0"/>
              <w:spacing w:line="240" w:lineRule="atLeast"/>
              <w:ind w:firstLine="0" w:firstLineChars="0"/>
              <w:rPr>
                <w:rFonts w:cs="Times New Roman"/>
                <w:color w:val="auto"/>
                <w:sz w:val="21"/>
                <w:szCs w:val="21"/>
              </w:rPr>
            </w:pPr>
            <w:r>
              <w:rPr>
                <w:rFonts w:cs="Times New Roman"/>
                <w:color w:val="auto"/>
                <w:sz w:val="21"/>
                <w:szCs w:val="21"/>
              </w:rPr>
              <w:t>本项目不涉及移民安置</w:t>
            </w:r>
            <w:r>
              <w:rPr>
                <w:rFonts w:hint="eastAsia" w:cs="Times New Roman"/>
                <w:color w:val="auto"/>
                <w:sz w:val="21"/>
                <w:szCs w:val="21"/>
              </w:rPr>
              <w:t>。</w:t>
            </w:r>
          </w:p>
        </w:tc>
        <w:tc>
          <w:tcPr>
            <w:tcW w:w="513"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8</w:t>
            </w:r>
          </w:p>
        </w:tc>
        <w:tc>
          <w:tcPr>
            <w:tcW w:w="2733" w:type="pct"/>
            <w:tcBorders>
              <w:tl2br w:val="nil"/>
              <w:tr2bl w:val="nil"/>
            </w:tcBorders>
            <w:vAlign w:val="center"/>
          </w:tcPr>
          <w:p>
            <w:pPr>
              <w:snapToGrid w:val="0"/>
              <w:spacing w:line="240" w:lineRule="atLeast"/>
              <w:ind w:firstLine="0" w:firstLineChars="0"/>
              <w:jc w:val="both"/>
              <w:rPr>
                <w:rFonts w:cs="Times New Roman"/>
                <w:color w:val="auto"/>
                <w:sz w:val="21"/>
                <w:szCs w:val="21"/>
              </w:rPr>
            </w:pPr>
            <w:r>
              <w:rPr>
                <w:rFonts w:cs="Times New Roman"/>
                <w:color w:val="auto"/>
                <w:sz w:val="21"/>
                <w:szCs w:val="21"/>
              </w:rPr>
              <w:t>第九条 项目存在河湖水质污染、富营养化或外来物种入侵等环境风险的，提出了针对性的风险防范措施以及环境应急预案编制、建立必要的应急联动机制等要求。</w:t>
            </w:r>
          </w:p>
        </w:tc>
        <w:tc>
          <w:tcPr>
            <w:tcW w:w="1318" w:type="pct"/>
            <w:tcBorders>
              <w:tl2br w:val="nil"/>
              <w:tr2bl w:val="nil"/>
            </w:tcBorders>
            <w:vAlign w:val="center"/>
          </w:tcPr>
          <w:p>
            <w:pPr>
              <w:snapToGrid w:val="0"/>
              <w:spacing w:line="240" w:lineRule="atLeast"/>
              <w:ind w:firstLine="0" w:firstLineChars="0"/>
              <w:rPr>
                <w:rFonts w:cs="Times New Roman"/>
                <w:color w:val="auto"/>
                <w:sz w:val="21"/>
                <w:szCs w:val="21"/>
              </w:rPr>
            </w:pPr>
            <w:r>
              <w:rPr>
                <w:rFonts w:cs="Times New Roman"/>
                <w:color w:val="auto"/>
                <w:sz w:val="21"/>
                <w:szCs w:val="21"/>
              </w:rPr>
              <w:t>项目</w:t>
            </w:r>
            <w:r>
              <w:rPr>
                <w:rFonts w:hint="eastAsia" w:cs="Times New Roman"/>
                <w:color w:val="auto"/>
                <w:sz w:val="21"/>
                <w:szCs w:val="21"/>
              </w:rPr>
              <w:t>工程施工过程会</w:t>
            </w:r>
            <w:r>
              <w:rPr>
                <w:rFonts w:cs="Times New Roman"/>
                <w:color w:val="auto"/>
                <w:sz w:val="21"/>
                <w:szCs w:val="21"/>
              </w:rPr>
              <w:t>造成水中悬浮物增加，</w:t>
            </w:r>
            <w:r>
              <w:rPr>
                <w:rFonts w:hint="eastAsia" w:cs="Times New Roman"/>
                <w:color w:val="auto"/>
                <w:sz w:val="21"/>
                <w:szCs w:val="21"/>
              </w:rPr>
              <w:t>但所涉及水体</w:t>
            </w:r>
            <w:r>
              <w:rPr>
                <w:rFonts w:cs="Times New Roman"/>
                <w:color w:val="auto"/>
                <w:sz w:val="21"/>
                <w:szCs w:val="21"/>
              </w:rPr>
              <w:t>不存在河湖水质污染、富营养化或外来物种入侵等环境风险。</w:t>
            </w:r>
          </w:p>
        </w:tc>
        <w:tc>
          <w:tcPr>
            <w:tcW w:w="513"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9</w:t>
            </w:r>
          </w:p>
        </w:tc>
        <w:tc>
          <w:tcPr>
            <w:tcW w:w="2733" w:type="pct"/>
            <w:tcBorders>
              <w:tl2br w:val="nil"/>
              <w:tr2bl w:val="nil"/>
            </w:tcBorders>
            <w:vAlign w:val="center"/>
          </w:tcPr>
          <w:p>
            <w:pPr>
              <w:snapToGrid w:val="0"/>
              <w:spacing w:line="240" w:lineRule="atLeast"/>
              <w:ind w:firstLine="0" w:firstLineChars="0"/>
              <w:jc w:val="both"/>
              <w:rPr>
                <w:rFonts w:cs="Times New Roman"/>
                <w:color w:val="auto"/>
                <w:sz w:val="21"/>
                <w:szCs w:val="21"/>
              </w:rPr>
            </w:pPr>
            <w:r>
              <w:rPr>
                <w:rFonts w:cs="Times New Roman"/>
                <w:color w:val="auto"/>
                <w:sz w:val="21"/>
                <w:szCs w:val="21"/>
              </w:rPr>
              <w:t>第十条 改、扩建项目在全面梳理了与项目有关的现有工程环境问题基础上，提出了与项目相适应的“以新带老”措施。</w:t>
            </w:r>
          </w:p>
        </w:tc>
        <w:tc>
          <w:tcPr>
            <w:tcW w:w="1318" w:type="pct"/>
            <w:tcBorders>
              <w:tl2br w:val="nil"/>
              <w:tr2bl w:val="nil"/>
            </w:tcBorders>
            <w:vAlign w:val="center"/>
          </w:tcPr>
          <w:p>
            <w:pPr>
              <w:snapToGrid w:val="0"/>
              <w:spacing w:line="240" w:lineRule="atLeast"/>
              <w:ind w:firstLine="0" w:firstLineChars="0"/>
              <w:rPr>
                <w:rFonts w:cs="Times New Roman"/>
                <w:color w:val="auto"/>
                <w:sz w:val="21"/>
                <w:szCs w:val="21"/>
              </w:rPr>
            </w:pPr>
            <w:r>
              <w:rPr>
                <w:rFonts w:cs="Times New Roman"/>
                <w:color w:val="auto"/>
                <w:sz w:val="21"/>
                <w:szCs w:val="21"/>
              </w:rPr>
              <w:t>本项目</w:t>
            </w:r>
            <w:r>
              <w:rPr>
                <w:rFonts w:hint="eastAsia" w:cs="Times New Roman"/>
                <w:color w:val="auto"/>
                <w:sz w:val="21"/>
                <w:szCs w:val="21"/>
              </w:rPr>
              <w:t>新建项目。</w:t>
            </w:r>
          </w:p>
        </w:tc>
        <w:tc>
          <w:tcPr>
            <w:tcW w:w="513"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10</w:t>
            </w:r>
          </w:p>
        </w:tc>
        <w:tc>
          <w:tcPr>
            <w:tcW w:w="2733" w:type="pct"/>
            <w:tcBorders>
              <w:tl2br w:val="nil"/>
              <w:tr2bl w:val="nil"/>
            </w:tcBorders>
            <w:vAlign w:val="center"/>
          </w:tcPr>
          <w:p>
            <w:pPr>
              <w:snapToGrid w:val="0"/>
              <w:spacing w:line="240" w:lineRule="atLeast"/>
              <w:ind w:firstLine="0" w:firstLineChars="0"/>
              <w:jc w:val="both"/>
              <w:rPr>
                <w:rFonts w:cs="Times New Roman"/>
                <w:color w:val="auto"/>
                <w:sz w:val="21"/>
                <w:szCs w:val="21"/>
              </w:rPr>
            </w:pPr>
            <w:r>
              <w:rPr>
                <w:rFonts w:cs="Times New Roman"/>
                <w:color w:val="auto"/>
                <w:sz w:val="21"/>
                <w:szCs w:val="21"/>
              </w:rPr>
              <w:t>第十一条 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1318" w:type="pct"/>
            <w:tcBorders>
              <w:tl2br w:val="nil"/>
              <w:tr2bl w:val="nil"/>
            </w:tcBorders>
            <w:vAlign w:val="center"/>
          </w:tcPr>
          <w:p>
            <w:pPr>
              <w:snapToGrid w:val="0"/>
              <w:spacing w:line="240" w:lineRule="atLeast"/>
              <w:ind w:firstLine="0" w:firstLineChars="0"/>
              <w:rPr>
                <w:rFonts w:cs="Times New Roman"/>
                <w:color w:val="auto"/>
                <w:sz w:val="21"/>
                <w:szCs w:val="21"/>
              </w:rPr>
            </w:pPr>
            <w:r>
              <w:rPr>
                <w:rFonts w:cs="Times New Roman"/>
                <w:color w:val="auto"/>
                <w:sz w:val="21"/>
                <w:szCs w:val="21"/>
              </w:rPr>
              <w:t>本次评价按相关导则及规定要求，制定了水环境、声环境、环境空气等环境监测计划。</w:t>
            </w:r>
          </w:p>
        </w:tc>
        <w:tc>
          <w:tcPr>
            <w:tcW w:w="513"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11</w:t>
            </w:r>
          </w:p>
        </w:tc>
        <w:tc>
          <w:tcPr>
            <w:tcW w:w="2733" w:type="pct"/>
            <w:tcBorders>
              <w:tl2br w:val="nil"/>
              <w:tr2bl w:val="nil"/>
            </w:tcBorders>
            <w:vAlign w:val="center"/>
          </w:tcPr>
          <w:p>
            <w:pPr>
              <w:snapToGrid w:val="0"/>
              <w:spacing w:line="240" w:lineRule="atLeast"/>
              <w:ind w:firstLine="0" w:firstLineChars="0"/>
              <w:jc w:val="both"/>
              <w:rPr>
                <w:rFonts w:cs="Times New Roman"/>
                <w:color w:val="auto"/>
                <w:sz w:val="21"/>
                <w:szCs w:val="21"/>
              </w:rPr>
            </w:pPr>
            <w:r>
              <w:rPr>
                <w:rFonts w:cs="Times New Roman"/>
                <w:color w:val="auto"/>
                <w:sz w:val="21"/>
                <w:szCs w:val="21"/>
              </w:rPr>
              <w:t>第十二条 对环境保护措施进行了深入论证，建设单位主体责任、投资估算、时间节点、预期效果明确，确保科学有效、安全可行、绿色协调。</w:t>
            </w:r>
          </w:p>
        </w:tc>
        <w:tc>
          <w:tcPr>
            <w:tcW w:w="1318" w:type="pct"/>
            <w:tcBorders>
              <w:tl2br w:val="nil"/>
              <w:tr2bl w:val="nil"/>
            </w:tcBorders>
            <w:vAlign w:val="center"/>
          </w:tcPr>
          <w:p>
            <w:pPr>
              <w:snapToGrid w:val="0"/>
              <w:spacing w:line="240" w:lineRule="atLeast"/>
              <w:ind w:firstLine="0" w:firstLineChars="0"/>
              <w:rPr>
                <w:rFonts w:cs="Times New Roman"/>
                <w:color w:val="auto"/>
                <w:sz w:val="21"/>
                <w:szCs w:val="21"/>
              </w:rPr>
            </w:pPr>
            <w:r>
              <w:rPr>
                <w:rFonts w:cs="Times New Roman"/>
                <w:color w:val="auto"/>
                <w:sz w:val="21"/>
                <w:szCs w:val="21"/>
              </w:rPr>
              <w:t>对环境保护措施进行了深入论证，建设单位主体责任、投资估算、时间节点、预期效果明确，确保科学有效、安全可行、绿色协调。</w:t>
            </w:r>
          </w:p>
        </w:tc>
        <w:tc>
          <w:tcPr>
            <w:tcW w:w="513"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12</w:t>
            </w:r>
          </w:p>
        </w:tc>
        <w:tc>
          <w:tcPr>
            <w:tcW w:w="2733" w:type="pct"/>
            <w:tcBorders>
              <w:tl2br w:val="nil"/>
              <w:tr2bl w:val="nil"/>
            </w:tcBorders>
            <w:vAlign w:val="center"/>
          </w:tcPr>
          <w:p>
            <w:pPr>
              <w:snapToGrid w:val="0"/>
              <w:spacing w:line="240" w:lineRule="atLeast"/>
              <w:ind w:firstLine="0" w:firstLineChars="0"/>
              <w:jc w:val="both"/>
              <w:rPr>
                <w:rFonts w:cs="Times New Roman"/>
                <w:color w:val="auto"/>
                <w:sz w:val="21"/>
                <w:szCs w:val="21"/>
              </w:rPr>
            </w:pPr>
            <w:r>
              <w:rPr>
                <w:rFonts w:cs="Times New Roman"/>
                <w:color w:val="auto"/>
                <w:sz w:val="21"/>
                <w:szCs w:val="21"/>
              </w:rPr>
              <w:t>第十三条 按相关规定开展了信息公开和公众参与。</w:t>
            </w:r>
          </w:p>
        </w:tc>
        <w:tc>
          <w:tcPr>
            <w:tcW w:w="1318" w:type="pct"/>
            <w:tcBorders>
              <w:tl2br w:val="nil"/>
              <w:tr2bl w:val="nil"/>
            </w:tcBorders>
            <w:vAlign w:val="center"/>
          </w:tcPr>
          <w:p>
            <w:pPr>
              <w:snapToGrid w:val="0"/>
              <w:spacing w:line="240" w:lineRule="atLeast"/>
              <w:ind w:firstLine="0" w:firstLineChars="0"/>
              <w:rPr>
                <w:rFonts w:cs="Times New Roman"/>
                <w:color w:val="auto"/>
                <w:sz w:val="21"/>
                <w:szCs w:val="21"/>
              </w:rPr>
            </w:pPr>
            <w:r>
              <w:rPr>
                <w:rFonts w:cs="Times New Roman"/>
                <w:color w:val="auto"/>
                <w:sz w:val="21"/>
                <w:szCs w:val="21"/>
              </w:rPr>
              <w:t>本项目环境影响评价过程中，通过网络、报纸公告等形式开展了信息公开和公众参与工作。</w:t>
            </w:r>
          </w:p>
        </w:tc>
        <w:tc>
          <w:tcPr>
            <w:tcW w:w="513" w:type="pct"/>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符合</w:t>
            </w:r>
          </w:p>
        </w:tc>
      </w:tr>
    </w:tbl>
    <w:p>
      <w:pPr>
        <w:pStyle w:val="7"/>
        <w:snapToGrid w:val="0"/>
        <w:ind w:firstLine="480"/>
        <w:rPr>
          <w:rFonts w:cs="Times New Roman"/>
          <w:color w:val="auto"/>
        </w:rPr>
      </w:pPr>
      <w:r>
        <w:rPr>
          <w:rFonts w:cs="Times New Roman"/>
          <w:color w:val="auto"/>
        </w:rPr>
        <w:t>综上所述，项目符合《水利建设项目（河湖整治与防洪除涝工程）环境影响评价文件审批原则》的要求。</w:t>
      </w:r>
    </w:p>
    <w:p>
      <w:pPr>
        <w:pStyle w:val="3"/>
        <w:numPr>
          <w:ilvl w:val="1"/>
          <w:numId w:val="0"/>
        </w:numPr>
        <w:ind w:firstLine="560" w:firstLineChars="200"/>
        <w:rPr>
          <w:rFonts w:cs="Times New Roman"/>
          <w:b w:val="0"/>
          <w:color w:val="auto"/>
        </w:rPr>
      </w:pPr>
      <w:bookmarkStart w:id="6" w:name="_Toc142388358"/>
      <w:r>
        <w:rPr>
          <w:rFonts w:cs="Times New Roman"/>
          <w:b w:val="0"/>
          <w:color w:val="auto"/>
        </w:rPr>
        <w:t>1.5项目关注的主要环境问题及环境影响</w:t>
      </w:r>
      <w:bookmarkEnd w:id="6"/>
    </w:p>
    <w:p>
      <w:pPr>
        <w:widowControl/>
        <w:snapToGrid w:val="0"/>
        <w:ind w:firstLine="480"/>
        <w:jc w:val="left"/>
        <w:rPr>
          <w:rFonts w:cs="Times New Roman"/>
          <w:color w:val="auto"/>
        </w:rPr>
      </w:pPr>
      <w:r>
        <w:rPr>
          <w:rFonts w:cs="Times New Roman"/>
          <w:color w:val="auto"/>
          <w:kern w:val="0"/>
          <w:lang w:bidi="ar"/>
        </w:rPr>
        <w:t>1.生态环境影响评价</w:t>
      </w:r>
    </w:p>
    <w:p>
      <w:pPr>
        <w:widowControl/>
        <w:snapToGrid w:val="0"/>
        <w:ind w:firstLine="480"/>
        <w:jc w:val="left"/>
        <w:rPr>
          <w:rFonts w:cs="Times New Roman"/>
          <w:color w:val="auto"/>
        </w:rPr>
      </w:pPr>
      <w:r>
        <w:rPr>
          <w:rFonts w:cs="Times New Roman"/>
          <w:color w:val="auto"/>
          <w:kern w:val="0"/>
          <w:lang w:bidi="ar"/>
        </w:rPr>
        <w:t>根据项目建设特点，识别生态环境影响，分析施工对水生生物特别是水生动物、底栖生物、鸟类栖息、觅食和迁徙生物学特征影响，景观、自然生态系统及生物多样性影响趋势，分析项目临时工程选址的生态合理性及其环境可行性。</w:t>
      </w:r>
    </w:p>
    <w:p>
      <w:pPr>
        <w:widowControl/>
        <w:snapToGrid w:val="0"/>
        <w:ind w:firstLine="480"/>
        <w:jc w:val="left"/>
        <w:rPr>
          <w:rFonts w:cs="Times New Roman"/>
          <w:color w:val="auto"/>
        </w:rPr>
      </w:pPr>
      <w:r>
        <w:rPr>
          <w:rFonts w:cs="Times New Roman"/>
          <w:color w:val="auto"/>
          <w:kern w:val="0"/>
          <w:lang w:bidi="ar"/>
        </w:rPr>
        <w:t>2.水环境影响与防护措施</w:t>
      </w:r>
    </w:p>
    <w:p>
      <w:pPr>
        <w:widowControl/>
        <w:snapToGrid w:val="0"/>
        <w:ind w:firstLine="480"/>
        <w:jc w:val="left"/>
        <w:rPr>
          <w:rFonts w:cs="Times New Roman"/>
          <w:color w:val="auto"/>
        </w:rPr>
      </w:pPr>
      <w:r>
        <w:rPr>
          <w:rFonts w:cs="Times New Roman"/>
          <w:color w:val="auto"/>
          <w:kern w:val="0"/>
          <w:lang w:bidi="ar"/>
        </w:rPr>
        <w:t>分析生态施工对水环境影响；以及施工结束后对水质改善作用，确保不降低水环境质量，甚至达到水质目标。针对水环境影响，提出针对性保护措施。</w:t>
      </w:r>
    </w:p>
    <w:p>
      <w:pPr>
        <w:widowControl/>
        <w:snapToGrid w:val="0"/>
        <w:ind w:firstLine="480"/>
        <w:jc w:val="left"/>
        <w:rPr>
          <w:rFonts w:cs="Times New Roman"/>
          <w:color w:val="auto"/>
        </w:rPr>
      </w:pPr>
      <w:r>
        <w:rPr>
          <w:rFonts w:cs="Times New Roman"/>
          <w:color w:val="auto"/>
          <w:kern w:val="0"/>
          <w:lang w:bidi="ar"/>
        </w:rPr>
        <w:t>3.生态影响的防护与恢复措施</w:t>
      </w:r>
    </w:p>
    <w:p>
      <w:pPr>
        <w:widowControl/>
        <w:snapToGrid w:val="0"/>
        <w:ind w:firstLine="480"/>
        <w:jc w:val="left"/>
        <w:rPr>
          <w:rFonts w:cs="Times New Roman"/>
          <w:color w:val="auto"/>
          <w:szCs w:val="22"/>
        </w:rPr>
      </w:pPr>
      <w:r>
        <w:rPr>
          <w:rFonts w:cs="Times New Roman"/>
          <w:color w:val="auto"/>
          <w:kern w:val="0"/>
          <w:lang w:bidi="ar"/>
        </w:rPr>
        <w:t>针对施工期生态环境影响</w:t>
      </w:r>
      <w:r>
        <w:rPr>
          <w:rFonts w:hint="eastAsia" w:cs="Times New Roman"/>
          <w:color w:val="auto"/>
          <w:kern w:val="0"/>
          <w:lang w:bidi="ar"/>
        </w:rPr>
        <w:t>和对</w:t>
      </w:r>
      <w:r>
        <w:rPr>
          <w:rFonts w:hint="eastAsia" w:cs="Times New Roman"/>
          <w:color w:val="auto"/>
          <w:kern w:val="0"/>
          <w:lang w:val="en-US" w:eastAsia="zh-CN" w:bidi="ar"/>
        </w:rPr>
        <w:t>岚河</w:t>
      </w:r>
      <w:r>
        <w:rPr>
          <w:rFonts w:hint="eastAsia" w:cs="Times New Roman"/>
          <w:color w:val="auto"/>
          <w:kern w:val="0"/>
          <w:lang w:bidi="ar"/>
        </w:rPr>
        <w:t>湿地的影响</w:t>
      </w:r>
      <w:r>
        <w:rPr>
          <w:rFonts w:cs="Times New Roman"/>
          <w:color w:val="auto"/>
          <w:kern w:val="0"/>
          <w:lang w:bidi="ar"/>
        </w:rPr>
        <w:t>，提出生态影响防护、生态修复措施。</w:t>
      </w:r>
    </w:p>
    <w:p>
      <w:pPr>
        <w:pStyle w:val="3"/>
        <w:numPr>
          <w:ilvl w:val="1"/>
          <w:numId w:val="0"/>
        </w:numPr>
        <w:ind w:firstLine="560" w:firstLineChars="200"/>
        <w:rPr>
          <w:rFonts w:cs="Times New Roman"/>
          <w:b w:val="0"/>
          <w:color w:val="auto"/>
        </w:rPr>
      </w:pPr>
      <w:bookmarkStart w:id="7" w:name="_Toc142388359"/>
      <w:r>
        <w:rPr>
          <w:rFonts w:cs="Times New Roman"/>
          <w:b w:val="0"/>
          <w:color w:val="auto"/>
        </w:rPr>
        <w:t>1.6环境影响评价主要结论</w:t>
      </w:r>
      <w:bookmarkEnd w:id="7"/>
    </w:p>
    <w:p>
      <w:pPr>
        <w:snapToGrid w:val="0"/>
        <w:ind w:firstLine="480"/>
        <w:rPr>
          <w:rFonts w:cs="Times New Roman"/>
          <w:color w:val="auto"/>
        </w:rPr>
      </w:pPr>
      <w:r>
        <w:rPr>
          <w:rFonts w:cs="Times New Roman"/>
          <w:color w:val="auto"/>
        </w:rPr>
        <w:t>《安康市岚皋县岚河生态缓冲带保护修复项目</w:t>
      </w:r>
      <w:r>
        <w:rPr>
          <w:rFonts w:hint="eastAsia" w:cs="Times New Roman"/>
          <w:color w:val="auto"/>
          <w:lang w:val="en-US" w:eastAsia="zh-CN"/>
        </w:rPr>
        <w:t>实施方案</w:t>
      </w:r>
      <w:r>
        <w:rPr>
          <w:rFonts w:cs="Times New Roman"/>
          <w:color w:val="auto"/>
        </w:rPr>
        <w:t>》符合国家和地方产业政策，施工期污染治理措施</w:t>
      </w:r>
      <w:r>
        <w:rPr>
          <w:rFonts w:hint="eastAsia" w:cs="Times New Roman"/>
          <w:color w:val="auto"/>
        </w:rPr>
        <w:t>和生态保护措施</w:t>
      </w:r>
      <w:r>
        <w:rPr>
          <w:rFonts w:cs="Times New Roman"/>
          <w:color w:val="auto"/>
        </w:rPr>
        <w:t>可靠有效，污染物均能够达标排放，固体废物能得到合理处置，</w:t>
      </w:r>
      <w:r>
        <w:rPr>
          <w:rFonts w:hint="eastAsia" w:cs="Times New Roman"/>
          <w:color w:val="auto"/>
        </w:rPr>
        <w:t>生态环境可以得到修复</w:t>
      </w:r>
      <w:r>
        <w:rPr>
          <w:rFonts w:cs="Times New Roman"/>
          <w:color w:val="auto"/>
        </w:rPr>
        <w:t>；运营期无污染物排放，且项目完成后可显著改善水生态环境；可以满足当地环境功能区划的要求；公众对该项目建设未提出反对意见，具有良好的环境效益和社会效益。从环境保护角度分析，项目建设可行。</w:t>
      </w:r>
    </w:p>
    <w:p>
      <w:pPr>
        <w:spacing w:line="460" w:lineRule="exact"/>
        <w:ind w:firstLine="480"/>
        <w:rPr>
          <w:rFonts w:cs="Times New Roman"/>
          <w:color w:val="auto"/>
        </w:rPr>
      </w:pPr>
      <w:r>
        <w:rPr>
          <w:rFonts w:cs="Times New Roman"/>
          <w:color w:val="auto"/>
        </w:rPr>
        <w:br w:type="page"/>
      </w:r>
    </w:p>
    <w:p>
      <w:pPr>
        <w:pStyle w:val="2"/>
        <w:numPr>
          <w:ilvl w:val="0"/>
          <w:numId w:val="0"/>
        </w:numPr>
        <w:ind w:left="432" w:hanging="432"/>
        <w:rPr>
          <w:rFonts w:cs="Times New Roman"/>
          <w:color w:val="auto"/>
        </w:rPr>
      </w:pPr>
      <w:bookmarkStart w:id="8" w:name="_Toc142388360"/>
      <w:r>
        <w:rPr>
          <w:rFonts w:cs="Times New Roman"/>
          <w:color w:val="auto"/>
        </w:rPr>
        <w:t>2总则</w:t>
      </w:r>
      <w:bookmarkEnd w:id="8"/>
    </w:p>
    <w:p>
      <w:pPr>
        <w:pStyle w:val="3"/>
        <w:numPr>
          <w:ilvl w:val="1"/>
          <w:numId w:val="0"/>
        </w:numPr>
        <w:ind w:firstLine="560" w:firstLineChars="200"/>
        <w:rPr>
          <w:rFonts w:cs="Times New Roman"/>
          <w:b w:val="0"/>
          <w:color w:val="auto"/>
        </w:rPr>
      </w:pPr>
      <w:bookmarkStart w:id="9" w:name="_Toc142388361"/>
      <w:r>
        <w:rPr>
          <w:rFonts w:cs="Times New Roman"/>
          <w:b w:val="0"/>
          <w:color w:val="auto"/>
        </w:rPr>
        <w:t>2.1编制依据</w:t>
      </w:r>
      <w:bookmarkEnd w:id="9"/>
    </w:p>
    <w:p>
      <w:pPr>
        <w:pStyle w:val="4"/>
        <w:numPr>
          <w:ilvl w:val="2"/>
          <w:numId w:val="0"/>
        </w:numPr>
        <w:adjustRightInd w:val="0"/>
        <w:snapToGrid w:val="0"/>
        <w:ind w:firstLine="480" w:firstLineChars="200"/>
        <w:rPr>
          <w:rFonts w:cs="Times New Roman"/>
          <w:color w:val="auto"/>
        </w:rPr>
      </w:pPr>
      <w:r>
        <w:rPr>
          <w:rFonts w:cs="Times New Roman"/>
          <w:color w:val="auto"/>
        </w:rPr>
        <w:t>2.1.1国家环境保护法律、法规规章</w:t>
      </w:r>
    </w:p>
    <w:p>
      <w:pPr>
        <w:snapToGrid w:val="0"/>
        <w:ind w:firstLine="480"/>
        <w:rPr>
          <w:rFonts w:cs="Times New Roman"/>
          <w:color w:val="auto"/>
        </w:rPr>
      </w:pPr>
      <w:r>
        <w:rPr>
          <w:rFonts w:cs="Times New Roman"/>
          <w:color w:val="auto"/>
        </w:rPr>
        <w:t>（1）《中华人民共和国环境保护法》，2015年1月1日；</w:t>
      </w:r>
    </w:p>
    <w:p>
      <w:pPr>
        <w:snapToGrid w:val="0"/>
        <w:ind w:firstLine="480"/>
        <w:rPr>
          <w:rFonts w:cs="Times New Roman"/>
          <w:color w:val="auto"/>
        </w:rPr>
      </w:pPr>
      <w:r>
        <w:rPr>
          <w:rFonts w:cs="Times New Roman"/>
          <w:color w:val="auto"/>
        </w:rPr>
        <w:t>（2）《中华人民共和国环境影响评价法》，2018年12月29；</w:t>
      </w:r>
    </w:p>
    <w:p>
      <w:pPr>
        <w:snapToGrid w:val="0"/>
        <w:ind w:firstLine="480"/>
        <w:rPr>
          <w:rFonts w:cs="Times New Roman"/>
          <w:color w:val="auto"/>
        </w:rPr>
      </w:pPr>
      <w:r>
        <w:rPr>
          <w:rFonts w:cs="Times New Roman"/>
          <w:color w:val="auto"/>
        </w:rPr>
        <w:t>（3）《中华人民共和国大气污染防治法》，2018年10月26日；</w:t>
      </w:r>
    </w:p>
    <w:p>
      <w:pPr>
        <w:snapToGrid w:val="0"/>
        <w:ind w:firstLine="480"/>
        <w:rPr>
          <w:rFonts w:cs="Times New Roman"/>
          <w:color w:val="auto"/>
        </w:rPr>
      </w:pPr>
      <w:r>
        <w:rPr>
          <w:rFonts w:cs="Times New Roman"/>
          <w:color w:val="auto"/>
        </w:rPr>
        <w:t>（4）《中华人民共和国水污染防治法》，2017年6月27日；</w:t>
      </w:r>
    </w:p>
    <w:p>
      <w:pPr>
        <w:snapToGrid w:val="0"/>
        <w:ind w:firstLine="480"/>
        <w:rPr>
          <w:rFonts w:cs="Times New Roman"/>
          <w:color w:val="auto"/>
        </w:rPr>
      </w:pPr>
      <w:r>
        <w:rPr>
          <w:rFonts w:cs="Times New Roman"/>
          <w:color w:val="auto"/>
        </w:rPr>
        <w:t>（5）《中华人民共和国环境噪声污染防治法》，2022年6月5日；</w:t>
      </w:r>
    </w:p>
    <w:p>
      <w:pPr>
        <w:snapToGrid w:val="0"/>
        <w:ind w:firstLine="480"/>
        <w:rPr>
          <w:rFonts w:cs="Times New Roman"/>
          <w:color w:val="auto"/>
        </w:rPr>
      </w:pPr>
      <w:r>
        <w:rPr>
          <w:rFonts w:cs="Times New Roman"/>
          <w:color w:val="auto"/>
        </w:rPr>
        <w:t>（6）《中华人民共和国固体废物污染环境防治法》，2020年9月1日；</w:t>
      </w:r>
    </w:p>
    <w:p>
      <w:pPr>
        <w:pStyle w:val="61"/>
        <w:snapToGrid w:val="0"/>
        <w:ind w:firstLine="480"/>
        <w:rPr>
          <w:rFonts w:cs="Times New Roman"/>
          <w:color w:val="auto"/>
        </w:rPr>
      </w:pPr>
      <w:r>
        <w:rPr>
          <w:rFonts w:cs="Times New Roman"/>
          <w:color w:val="auto"/>
        </w:rPr>
        <w:t>（7）《中华人民共和国土壤污染防治法》，2019年1月1日；</w:t>
      </w:r>
    </w:p>
    <w:p>
      <w:pPr>
        <w:snapToGrid w:val="0"/>
        <w:ind w:firstLine="480"/>
        <w:rPr>
          <w:rFonts w:cs="Times New Roman"/>
          <w:color w:val="auto"/>
        </w:rPr>
      </w:pPr>
      <w:r>
        <w:rPr>
          <w:rFonts w:cs="Times New Roman"/>
          <w:color w:val="auto"/>
        </w:rPr>
        <w:t>（8）《中华人民共和国土地管理法》，2004年8月26日；</w:t>
      </w:r>
    </w:p>
    <w:p>
      <w:pPr>
        <w:pStyle w:val="61"/>
        <w:snapToGrid w:val="0"/>
        <w:ind w:firstLine="480"/>
        <w:rPr>
          <w:rFonts w:cs="Times New Roman"/>
          <w:color w:val="auto"/>
        </w:rPr>
      </w:pPr>
      <w:r>
        <w:rPr>
          <w:rFonts w:cs="Times New Roman"/>
          <w:color w:val="auto"/>
        </w:rPr>
        <w:t>（9）《中华人民共和国城乡规划法》，2019年4月23日；</w:t>
      </w:r>
    </w:p>
    <w:p>
      <w:pPr>
        <w:pStyle w:val="61"/>
        <w:snapToGrid w:val="0"/>
        <w:ind w:firstLine="480"/>
        <w:rPr>
          <w:rFonts w:cs="Times New Roman"/>
          <w:color w:val="auto"/>
        </w:rPr>
      </w:pPr>
      <w:r>
        <w:rPr>
          <w:rFonts w:cs="Times New Roman"/>
          <w:color w:val="auto"/>
        </w:rPr>
        <w:t>（11）《中华人民共和国水法》，2016年7月2日；</w:t>
      </w:r>
    </w:p>
    <w:p>
      <w:pPr>
        <w:pStyle w:val="61"/>
        <w:snapToGrid w:val="0"/>
        <w:ind w:firstLine="480"/>
        <w:rPr>
          <w:rFonts w:cs="Times New Roman"/>
          <w:color w:val="auto"/>
        </w:rPr>
      </w:pPr>
      <w:r>
        <w:rPr>
          <w:rFonts w:cs="Times New Roman"/>
          <w:color w:val="auto"/>
        </w:rPr>
        <w:t>（12）《中华人民共和国防洪法》</w:t>
      </w:r>
      <w:r>
        <w:rPr>
          <w:rFonts w:hint="eastAsia" w:cs="Times New Roman"/>
          <w:color w:val="auto"/>
        </w:rPr>
        <w:t>，</w:t>
      </w:r>
      <w:r>
        <w:rPr>
          <w:rFonts w:cs="Times New Roman"/>
          <w:color w:val="auto"/>
        </w:rPr>
        <w:t>2016年7月2日；</w:t>
      </w:r>
    </w:p>
    <w:p>
      <w:pPr>
        <w:pStyle w:val="61"/>
        <w:snapToGrid w:val="0"/>
        <w:ind w:firstLine="480"/>
        <w:rPr>
          <w:rFonts w:cs="Times New Roman"/>
          <w:color w:val="auto"/>
        </w:rPr>
      </w:pPr>
      <w:r>
        <w:rPr>
          <w:rFonts w:cs="Times New Roman"/>
          <w:color w:val="auto"/>
        </w:rPr>
        <w:t>（13）《中华人民共和国河道管理条例》</w:t>
      </w:r>
      <w:r>
        <w:rPr>
          <w:rFonts w:hint="eastAsia" w:cs="Times New Roman"/>
          <w:color w:val="auto"/>
        </w:rPr>
        <w:t>，</w:t>
      </w:r>
      <w:r>
        <w:rPr>
          <w:rFonts w:cs="Times New Roman"/>
          <w:color w:val="auto"/>
        </w:rPr>
        <w:t>2018年3月19日；</w:t>
      </w:r>
    </w:p>
    <w:p>
      <w:pPr>
        <w:pStyle w:val="61"/>
        <w:snapToGrid w:val="0"/>
        <w:ind w:firstLine="480"/>
        <w:rPr>
          <w:rFonts w:cs="Times New Roman"/>
          <w:color w:val="auto"/>
        </w:rPr>
      </w:pPr>
      <w:r>
        <w:rPr>
          <w:rFonts w:cs="Times New Roman"/>
          <w:color w:val="auto"/>
        </w:rPr>
        <w:t>（14）《中华人民共和国野生动物保护法》</w:t>
      </w:r>
      <w:r>
        <w:rPr>
          <w:rFonts w:hint="eastAsia" w:cs="Times New Roman"/>
          <w:color w:val="auto"/>
        </w:rPr>
        <w:t>，</w:t>
      </w:r>
      <w:r>
        <w:rPr>
          <w:rFonts w:cs="Times New Roman"/>
          <w:color w:val="auto"/>
        </w:rPr>
        <w:t>2023年5月1日；</w:t>
      </w:r>
    </w:p>
    <w:p>
      <w:pPr>
        <w:pStyle w:val="61"/>
        <w:snapToGrid w:val="0"/>
        <w:ind w:firstLine="480"/>
        <w:rPr>
          <w:rFonts w:cs="Times New Roman"/>
          <w:color w:val="auto"/>
        </w:rPr>
      </w:pPr>
      <w:r>
        <w:rPr>
          <w:rFonts w:cs="Times New Roman"/>
          <w:color w:val="auto"/>
        </w:rPr>
        <w:t>（15）《中华人民共和国水土保持法》</w:t>
      </w:r>
      <w:r>
        <w:rPr>
          <w:rFonts w:hint="eastAsia" w:cs="Times New Roman"/>
          <w:color w:val="auto"/>
        </w:rPr>
        <w:t>，2</w:t>
      </w:r>
      <w:r>
        <w:rPr>
          <w:rFonts w:cs="Times New Roman"/>
          <w:color w:val="auto"/>
        </w:rPr>
        <w:t>011</w:t>
      </w:r>
      <w:r>
        <w:rPr>
          <w:rFonts w:hint="eastAsia" w:cs="Times New Roman"/>
          <w:color w:val="auto"/>
        </w:rPr>
        <w:t>年3月1日；</w:t>
      </w:r>
    </w:p>
    <w:p>
      <w:pPr>
        <w:pStyle w:val="61"/>
        <w:snapToGrid w:val="0"/>
        <w:ind w:firstLine="480"/>
        <w:rPr>
          <w:rFonts w:cs="Times New Roman"/>
          <w:color w:val="auto"/>
        </w:rPr>
      </w:pPr>
      <w:r>
        <w:rPr>
          <w:rFonts w:cs="Times New Roman"/>
          <w:color w:val="auto"/>
        </w:rPr>
        <w:t>（16）《中华人民共和国长江保护法》</w:t>
      </w:r>
      <w:r>
        <w:rPr>
          <w:rFonts w:hint="eastAsia" w:cs="Times New Roman"/>
          <w:color w:val="auto"/>
        </w:rPr>
        <w:t>，2</w:t>
      </w:r>
      <w:r>
        <w:rPr>
          <w:rFonts w:cs="Times New Roman"/>
          <w:color w:val="auto"/>
        </w:rPr>
        <w:t>021</w:t>
      </w:r>
      <w:r>
        <w:rPr>
          <w:rFonts w:hint="eastAsia" w:cs="Times New Roman"/>
          <w:color w:val="auto"/>
        </w:rPr>
        <w:t>年3月1日；</w:t>
      </w:r>
    </w:p>
    <w:p>
      <w:pPr>
        <w:pStyle w:val="61"/>
        <w:snapToGrid w:val="0"/>
        <w:ind w:firstLine="480"/>
        <w:rPr>
          <w:rFonts w:cs="Times New Roman"/>
          <w:color w:val="auto"/>
        </w:rPr>
      </w:pPr>
      <w:r>
        <w:rPr>
          <w:rFonts w:hint="eastAsia" w:cs="Times New Roman"/>
          <w:color w:val="auto"/>
        </w:rPr>
        <w:t>（1</w:t>
      </w:r>
      <w:r>
        <w:rPr>
          <w:rFonts w:cs="Times New Roman"/>
          <w:color w:val="auto"/>
        </w:rPr>
        <w:t>7</w:t>
      </w:r>
      <w:r>
        <w:rPr>
          <w:rFonts w:hint="eastAsia" w:cs="Times New Roman"/>
          <w:color w:val="auto"/>
        </w:rPr>
        <w:t>）《中华人民共和湿地保护法》，2</w:t>
      </w:r>
      <w:r>
        <w:rPr>
          <w:rFonts w:cs="Times New Roman"/>
          <w:color w:val="auto"/>
        </w:rPr>
        <w:t>022</w:t>
      </w:r>
      <w:r>
        <w:rPr>
          <w:rFonts w:hint="eastAsia" w:cs="Times New Roman"/>
          <w:color w:val="auto"/>
        </w:rPr>
        <w:t>年6月1日。</w:t>
      </w:r>
    </w:p>
    <w:p>
      <w:pPr>
        <w:pStyle w:val="4"/>
        <w:numPr>
          <w:ilvl w:val="2"/>
          <w:numId w:val="0"/>
        </w:numPr>
        <w:adjustRightInd w:val="0"/>
        <w:snapToGrid w:val="0"/>
        <w:ind w:firstLine="480" w:firstLineChars="200"/>
        <w:rPr>
          <w:rFonts w:cs="Times New Roman"/>
          <w:color w:val="auto"/>
        </w:rPr>
      </w:pPr>
      <w:r>
        <w:rPr>
          <w:rFonts w:cs="Times New Roman"/>
          <w:color w:val="auto"/>
        </w:rPr>
        <w:t>2.1.2环境保护法规、部门规章</w:t>
      </w:r>
    </w:p>
    <w:p>
      <w:pPr>
        <w:pStyle w:val="61"/>
        <w:snapToGrid w:val="0"/>
        <w:ind w:firstLine="480"/>
        <w:rPr>
          <w:rFonts w:cs="Times New Roman"/>
          <w:color w:val="auto"/>
        </w:rPr>
      </w:pPr>
      <w:r>
        <w:rPr>
          <w:rFonts w:cs="Times New Roman"/>
          <w:color w:val="auto"/>
        </w:rPr>
        <w:t>（1）《建设项目环境保护管理条例》（国务院令第628号）（2017.10.1）；</w:t>
      </w:r>
    </w:p>
    <w:p>
      <w:pPr>
        <w:pStyle w:val="61"/>
        <w:snapToGrid w:val="0"/>
        <w:ind w:firstLine="480"/>
        <w:rPr>
          <w:rFonts w:cs="Times New Roman"/>
          <w:color w:val="auto"/>
        </w:rPr>
      </w:pPr>
      <w:r>
        <w:rPr>
          <w:rFonts w:cs="Times New Roman"/>
          <w:color w:val="auto"/>
        </w:rPr>
        <w:t>（2）《国务院关于落实科学发展观加强环境保护的决定》（国发〔2005〕39号）；</w:t>
      </w:r>
    </w:p>
    <w:p>
      <w:pPr>
        <w:pStyle w:val="61"/>
        <w:snapToGrid w:val="0"/>
        <w:ind w:firstLine="480"/>
        <w:rPr>
          <w:rFonts w:cs="Times New Roman"/>
          <w:color w:val="auto"/>
        </w:rPr>
      </w:pPr>
      <w:r>
        <w:rPr>
          <w:rFonts w:cs="Times New Roman"/>
          <w:color w:val="auto"/>
        </w:rPr>
        <w:t>（3）《国务院关于加强环境保护重点工作的意见》（国发〔2011〕35号）；</w:t>
      </w:r>
    </w:p>
    <w:p>
      <w:pPr>
        <w:pStyle w:val="61"/>
        <w:snapToGrid w:val="0"/>
        <w:ind w:firstLine="480"/>
        <w:rPr>
          <w:rFonts w:cs="Times New Roman"/>
          <w:color w:val="auto"/>
        </w:rPr>
      </w:pPr>
      <w:r>
        <w:rPr>
          <w:rFonts w:cs="Times New Roman"/>
          <w:color w:val="auto"/>
        </w:rPr>
        <w:t>（4）国务院《中共中央国务院关于加快推进生态文明建设的意见》(2015.4.25)；</w:t>
      </w:r>
    </w:p>
    <w:p>
      <w:pPr>
        <w:pStyle w:val="61"/>
        <w:snapToGrid w:val="0"/>
        <w:ind w:firstLine="480"/>
        <w:rPr>
          <w:rFonts w:cs="Times New Roman"/>
          <w:color w:val="auto"/>
        </w:rPr>
      </w:pPr>
      <w:r>
        <w:rPr>
          <w:rFonts w:cs="Times New Roman"/>
          <w:color w:val="auto"/>
        </w:rPr>
        <w:t>（5）《国务院关于印发水污染防治行动计划的通知》（国发[2015]17号）；</w:t>
      </w:r>
    </w:p>
    <w:p>
      <w:pPr>
        <w:pStyle w:val="61"/>
        <w:snapToGrid w:val="0"/>
        <w:ind w:firstLine="480"/>
        <w:rPr>
          <w:rFonts w:cs="Times New Roman"/>
          <w:color w:val="auto"/>
        </w:rPr>
      </w:pPr>
      <w:r>
        <w:rPr>
          <w:rFonts w:cs="Times New Roman"/>
          <w:color w:val="auto"/>
        </w:rPr>
        <w:t>（6）《国务院关于印发土壤污染防治行动计划的通知》(国发[2016]31号)；</w:t>
      </w:r>
    </w:p>
    <w:p>
      <w:pPr>
        <w:pStyle w:val="61"/>
        <w:snapToGrid w:val="0"/>
        <w:ind w:firstLine="480"/>
        <w:rPr>
          <w:rFonts w:cs="Times New Roman"/>
          <w:color w:val="auto"/>
        </w:rPr>
      </w:pPr>
      <w:r>
        <w:rPr>
          <w:rFonts w:cs="Times New Roman"/>
          <w:color w:val="auto"/>
        </w:rPr>
        <w:t>（7）关于进一步加强环境保护信息公开工作的通知》（环办[2012]134号）（2012.10.30）；</w:t>
      </w:r>
    </w:p>
    <w:p>
      <w:pPr>
        <w:pStyle w:val="61"/>
        <w:snapToGrid w:val="0"/>
        <w:ind w:firstLine="480"/>
        <w:rPr>
          <w:rFonts w:cs="Times New Roman"/>
          <w:color w:val="auto"/>
        </w:rPr>
      </w:pPr>
      <w:r>
        <w:rPr>
          <w:rFonts w:cs="Times New Roman"/>
          <w:color w:val="auto"/>
        </w:rPr>
        <w:t>（8）《关于进一步加强环境影响评价管理防范环境风险的通知》（环发［2012］77 号）；</w:t>
      </w:r>
    </w:p>
    <w:p>
      <w:pPr>
        <w:pStyle w:val="61"/>
        <w:snapToGrid w:val="0"/>
        <w:ind w:firstLine="480"/>
        <w:rPr>
          <w:rFonts w:cs="Times New Roman"/>
          <w:color w:val="auto"/>
        </w:rPr>
      </w:pPr>
      <w:r>
        <w:rPr>
          <w:rFonts w:cs="Times New Roman"/>
          <w:color w:val="auto"/>
        </w:rPr>
        <w:t>（9）《关于切实加强风险防范严格环境影响评价管理的通知》（环发[2012]98号）；</w:t>
      </w:r>
    </w:p>
    <w:p>
      <w:pPr>
        <w:pStyle w:val="61"/>
        <w:snapToGrid w:val="0"/>
        <w:ind w:firstLine="480"/>
        <w:rPr>
          <w:rFonts w:cs="Times New Roman"/>
          <w:color w:val="auto"/>
        </w:rPr>
      </w:pPr>
      <w:r>
        <w:rPr>
          <w:rFonts w:cs="Times New Roman"/>
          <w:color w:val="auto"/>
        </w:rPr>
        <w:t>（10）《关于以改善环境质量为核心加强环境影响评价管理的通知》（环评[2016]150号）；</w:t>
      </w:r>
    </w:p>
    <w:p>
      <w:pPr>
        <w:pStyle w:val="61"/>
        <w:snapToGrid w:val="0"/>
        <w:ind w:firstLine="480"/>
        <w:rPr>
          <w:rFonts w:cs="Times New Roman"/>
          <w:color w:val="auto"/>
        </w:rPr>
      </w:pPr>
      <w:r>
        <w:rPr>
          <w:rFonts w:cs="Times New Roman"/>
          <w:color w:val="auto"/>
        </w:rPr>
        <w:t>（11）《产业结构调整指导目录》（2019年本）（中华人民共和国国家发展和改革委员会令第29号）；</w:t>
      </w:r>
    </w:p>
    <w:p>
      <w:pPr>
        <w:pStyle w:val="61"/>
        <w:snapToGrid w:val="0"/>
        <w:ind w:firstLine="480"/>
        <w:rPr>
          <w:rFonts w:cs="Times New Roman"/>
          <w:color w:val="auto"/>
        </w:rPr>
      </w:pPr>
      <w:r>
        <w:rPr>
          <w:rFonts w:cs="Times New Roman"/>
          <w:color w:val="auto"/>
        </w:rPr>
        <w:t>（12）《关于落实大气污染防治行动计划严格环境影响评价准入条件的通知》（环发[2014]30号）（2014.3.25）；</w:t>
      </w:r>
    </w:p>
    <w:p>
      <w:pPr>
        <w:pStyle w:val="61"/>
        <w:snapToGrid w:val="0"/>
        <w:ind w:firstLine="480"/>
        <w:rPr>
          <w:rFonts w:cs="Times New Roman"/>
          <w:color w:val="auto"/>
        </w:rPr>
      </w:pPr>
      <w:r>
        <w:rPr>
          <w:rFonts w:cs="Times New Roman"/>
          <w:color w:val="auto"/>
        </w:rPr>
        <w:t>（13）环境保护部办公厅《关于提供环境保护综合名录（2017年版）的函》（环办政法函[2018]67号）；</w:t>
      </w:r>
    </w:p>
    <w:p>
      <w:pPr>
        <w:pStyle w:val="61"/>
        <w:snapToGrid w:val="0"/>
        <w:ind w:firstLine="480"/>
        <w:rPr>
          <w:rFonts w:cs="Times New Roman"/>
          <w:color w:val="auto"/>
        </w:rPr>
      </w:pPr>
      <w:r>
        <w:rPr>
          <w:rFonts w:cs="Times New Roman"/>
          <w:color w:val="auto"/>
        </w:rPr>
        <w:t>（14）《关于发布&lt;建设项目竣工环境保护验收暂行办法&gt;的公告》（国环规环评[2017]4号）；</w:t>
      </w:r>
    </w:p>
    <w:p>
      <w:pPr>
        <w:pStyle w:val="61"/>
        <w:snapToGrid w:val="0"/>
        <w:ind w:firstLine="480"/>
        <w:rPr>
          <w:rFonts w:cs="Times New Roman"/>
          <w:color w:val="auto"/>
        </w:rPr>
      </w:pPr>
      <w:r>
        <w:rPr>
          <w:rFonts w:cs="Times New Roman"/>
          <w:color w:val="auto"/>
        </w:rPr>
        <w:t>（15）《建设项目环境影响评价分类管理名录》（2021年版）（部令〔2020〕第16号）；</w:t>
      </w:r>
    </w:p>
    <w:p>
      <w:pPr>
        <w:pStyle w:val="61"/>
        <w:snapToGrid w:val="0"/>
        <w:ind w:firstLine="480"/>
        <w:rPr>
          <w:rFonts w:cs="Times New Roman"/>
          <w:color w:val="auto"/>
        </w:rPr>
      </w:pPr>
      <w:r>
        <w:rPr>
          <w:rFonts w:cs="Times New Roman"/>
          <w:color w:val="auto"/>
        </w:rPr>
        <w:t>（16）《环境影响评价公众参与办法》（部令〔2018〕第4号）；</w:t>
      </w:r>
    </w:p>
    <w:p>
      <w:pPr>
        <w:pStyle w:val="61"/>
        <w:snapToGrid w:val="0"/>
        <w:ind w:firstLine="480"/>
        <w:rPr>
          <w:rFonts w:cs="Times New Roman"/>
          <w:color w:val="auto"/>
        </w:rPr>
      </w:pPr>
      <w:r>
        <w:rPr>
          <w:rFonts w:cs="Times New Roman"/>
          <w:color w:val="auto"/>
        </w:rPr>
        <w:t>（17）《关于发布〈环境影响评价公众参与办法〉配套文件的公告》（生态环境部2018年第48号）；</w:t>
      </w:r>
    </w:p>
    <w:p>
      <w:pPr>
        <w:pStyle w:val="61"/>
        <w:snapToGrid w:val="0"/>
        <w:ind w:firstLine="480"/>
        <w:rPr>
          <w:rFonts w:cs="Times New Roman"/>
          <w:color w:val="auto"/>
        </w:rPr>
      </w:pPr>
      <w:r>
        <w:rPr>
          <w:rFonts w:cs="Times New Roman"/>
          <w:color w:val="auto"/>
        </w:rPr>
        <w:t>（18）《贯彻中共中央国务院关于全面加强生态环境保护坚决打好污染防治攻坚战的意见》（中发〔2018〕17号）；</w:t>
      </w:r>
    </w:p>
    <w:p>
      <w:pPr>
        <w:pStyle w:val="61"/>
        <w:snapToGrid w:val="0"/>
        <w:ind w:firstLine="480"/>
        <w:rPr>
          <w:rFonts w:cs="Times New Roman"/>
          <w:color w:val="auto"/>
        </w:rPr>
      </w:pPr>
      <w:r>
        <w:rPr>
          <w:rFonts w:cs="Times New Roman"/>
          <w:color w:val="auto"/>
        </w:rPr>
        <w:t>（19）生态环境部公告2018年第34号关于发布《非道路移动机械污染防治技术政策》的公告；</w:t>
      </w:r>
    </w:p>
    <w:p>
      <w:pPr>
        <w:pStyle w:val="61"/>
        <w:snapToGrid w:val="0"/>
        <w:ind w:firstLine="480"/>
        <w:rPr>
          <w:rFonts w:cs="Times New Roman"/>
          <w:color w:val="auto"/>
        </w:rPr>
      </w:pPr>
      <w:r>
        <w:rPr>
          <w:rFonts w:cs="Times New Roman"/>
          <w:color w:val="auto"/>
        </w:rPr>
        <w:t>（20）生态环境部、自然资源部等五部委环土壤（2019）25号关于印发《地下水污染防治实施方案的通知》；</w:t>
      </w:r>
    </w:p>
    <w:p>
      <w:pPr>
        <w:pStyle w:val="4"/>
        <w:numPr>
          <w:ilvl w:val="2"/>
          <w:numId w:val="0"/>
        </w:numPr>
        <w:adjustRightInd w:val="0"/>
        <w:snapToGrid w:val="0"/>
        <w:ind w:firstLine="480" w:firstLineChars="200"/>
        <w:rPr>
          <w:rFonts w:cs="Times New Roman"/>
          <w:color w:val="auto"/>
        </w:rPr>
      </w:pPr>
      <w:r>
        <w:rPr>
          <w:rFonts w:cs="Times New Roman"/>
          <w:color w:val="auto"/>
        </w:rPr>
        <w:t>2.1.3省市环境保护法规规章文件</w:t>
      </w:r>
    </w:p>
    <w:p>
      <w:pPr>
        <w:pStyle w:val="187"/>
        <w:adjustRightInd w:val="0"/>
        <w:snapToGrid w:val="0"/>
        <w:ind w:left="454" w:firstLine="0" w:firstLineChars="0"/>
        <w:rPr>
          <w:rFonts w:cs="Times New Roman"/>
          <w:color w:val="auto"/>
        </w:rPr>
      </w:pPr>
      <w:r>
        <w:rPr>
          <w:rFonts w:cs="Times New Roman"/>
          <w:color w:val="auto"/>
        </w:rPr>
        <w:t>（1）《陕西省大气污染防治条例》（2019年7月31号修正）；</w:t>
      </w:r>
    </w:p>
    <w:p>
      <w:pPr>
        <w:pStyle w:val="187"/>
        <w:adjustRightInd w:val="0"/>
        <w:snapToGrid w:val="0"/>
        <w:ind w:left="480" w:leftChars="200" w:firstLine="0" w:firstLineChars="0"/>
        <w:rPr>
          <w:rFonts w:cs="Times New Roman"/>
          <w:bCs/>
          <w:color w:val="auto"/>
        </w:rPr>
      </w:pPr>
      <w:r>
        <w:rPr>
          <w:rFonts w:cs="Times New Roman"/>
          <w:color w:val="auto"/>
        </w:rPr>
        <w:t>（2）《陕西省固体废物污染环境防治条例》（2019年7月31号修正）；</w:t>
      </w:r>
    </w:p>
    <w:p>
      <w:pPr>
        <w:pStyle w:val="187"/>
        <w:adjustRightInd w:val="0"/>
        <w:snapToGrid w:val="0"/>
        <w:ind w:firstLine="480"/>
        <w:rPr>
          <w:rFonts w:cs="Times New Roman"/>
          <w:color w:val="auto"/>
        </w:rPr>
      </w:pPr>
      <w:r>
        <w:rPr>
          <w:rFonts w:cs="Times New Roman"/>
          <w:color w:val="auto"/>
        </w:rPr>
        <w:t>（3）</w:t>
      </w:r>
      <w:r>
        <w:rPr>
          <w:rFonts w:cs="Times New Roman"/>
          <w:bCs/>
          <w:color w:val="auto"/>
        </w:rPr>
        <w:t>《陕西省主体功能区规划》（陕西省人民政府，2013年3月）；</w:t>
      </w:r>
    </w:p>
    <w:p>
      <w:pPr>
        <w:pStyle w:val="187"/>
        <w:adjustRightInd w:val="0"/>
        <w:snapToGrid w:val="0"/>
        <w:ind w:left="480" w:leftChars="200" w:firstLine="0" w:firstLineChars="0"/>
        <w:rPr>
          <w:rFonts w:cs="Times New Roman"/>
          <w:color w:val="auto"/>
        </w:rPr>
      </w:pPr>
      <w:r>
        <w:rPr>
          <w:rFonts w:cs="Times New Roman"/>
          <w:color w:val="auto"/>
        </w:rPr>
        <w:t>（4）《陕西省生态功能区划》（陕政办发[2004]115号）；</w:t>
      </w:r>
    </w:p>
    <w:p>
      <w:pPr>
        <w:pStyle w:val="187"/>
        <w:adjustRightInd w:val="0"/>
        <w:snapToGrid w:val="0"/>
        <w:ind w:left="480" w:leftChars="200" w:firstLine="0" w:firstLineChars="0"/>
        <w:rPr>
          <w:rFonts w:cs="Times New Roman"/>
          <w:color w:val="auto"/>
        </w:rPr>
      </w:pPr>
      <w:r>
        <w:rPr>
          <w:rFonts w:cs="Times New Roman"/>
          <w:color w:val="auto"/>
        </w:rPr>
        <w:t>（5）《陕西省行业用水定额》（DB61/T943-2020）；</w:t>
      </w:r>
    </w:p>
    <w:p>
      <w:pPr>
        <w:pStyle w:val="187"/>
        <w:adjustRightInd w:val="0"/>
        <w:snapToGrid w:val="0"/>
        <w:ind w:left="480" w:leftChars="200" w:firstLine="0" w:firstLineChars="0"/>
        <w:rPr>
          <w:rFonts w:cs="Times New Roman"/>
          <w:color w:val="auto"/>
        </w:rPr>
      </w:pPr>
      <w:r>
        <w:rPr>
          <w:rFonts w:cs="Times New Roman"/>
          <w:color w:val="auto"/>
        </w:rPr>
        <w:t>（6）《陕西省水功能区划》（陕政发[2004]100号）；</w:t>
      </w:r>
    </w:p>
    <w:p>
      <w:pPr>
        <w:pStyle w:val="187"/>
        <w:adjustRightInd w:val="0"/>
        <w:snapToGrid w:val="0"/>
        <w:ind w:left="480" w:leftChars="200" w:firstLine="0" w:firstLineChars="0"/>
        <w:rPr>
          <w:rFonts w:cs="Times New Roman"/>
          <w:color w:val="auto"/>
        </w:rPr>
      </w:pPr>
      <w:r>
        <w:rPr>
          <w:rFonts w:cs="Times New Roman"/>
          <w:color w:val="auto"/>
        </w:rPr>
        <w:t>（7）</w:t>
      </w:r>
      <w:r>
        <w:rPr>
          <w:rFonts w:hint="eastAsia" w:cs="Times New Roman"/>
          <w:color w:val="auto"/>
        </w:rPr>
        <w:t>《陕西省湿地保护条例》（2023年3月28日）</w:t>
      </w:r>
    </w:p>
    <w:p>
      <w:pPr>
        <w:pStyle w:val="187"/>
        <w:adjustRightInd w:val="0"/>
        <w:snapToGrid w:val="0"/>
        <w:ind w:left="480" w:leftChars="200" w:firstLine="0" w:firstLineChars="0"/>
        <w:rPr>
          <w:rFonts w:cs="Times New Roman"/>
          <w:color w:val="auto"/>
        </w:rPr>
      </w:pPr>
      <w:r>
        <w:rPr>
          <w:rFonts w:hint="eastAsia" w:cs="Times New Roman"/>
          <w:color w:val="auto"/>
        </w:rPr>
        <w:t>（8）</w:t>
      </w:r>
      <w:r>
        <w:rPr>
          <w:rFonts w:cs="Times New Roman"/>
          <w:color w:val="auto"/>
        </w:rPr>
        <w:t>《安康市汉江水质保护条例》（2023年3月1日起施行）；</w:t>
      </w:r>
    </w:p>
    <w:p>
      <w:pPr>
        <w:adjustRightInd w:val="0"/>
        <w:snapToGrid w:val="0"/>
        <w:ind w:firstLine="480"/>
        <w:rPr>
          <w:rFonts w:cs="Times New Roman"/>
          <w:color w:val="auto"/>
        </w:rPr>
      </w:pPr>
      <w:r>
        <w:rPr>
          <w:rFonts w:cs="Times New Roman"/>
          <w:color w:val="auto"/>
        </w:rPr>
        <w:t>（9）安康市人民政府《关于进一步加强环境保护工作的决定》，安政发[2013]31号；</w:t>
      </w:r>
    </w:p>
    <w:p>
      <w:pPr>
        <w:adjustRightInd w:val="0"/>
        <w:snapToGrid w:val="0"/>
        <w:ind w:firstLine="480"/>
        <w:rPr>
          <w:rFonts w:cs="Times New Roman"/>
          <w:color w:val="auto"/>
        </w:rPr>
      </w:pPr>
      <w:r>
        <w:rPr>
          <w:rFonts w:cs="Times New Roman"/>
          <w:color w:val="auto"/>
        </w:rPr>
        <w:t>（10）安康市人民政府《关于进一步加强汉江水质保护工作的意见》（安政发[2013]32号）；</w:t>
      </w:r>
    </w:p>
    <w:p>
      <w:pPr>
        <w:adjustRightInd w:val="0"/>
        <w:snapToGrid w:val="0"/>
        <w:ind w:firstLine="480"/>
        <w:rPr>
          <w:rFonts w:cs="Times New Roman"/>
          <w:color w:val="auto"/>
        </w:rPr>
      </w:pPr>
      <w:r>
        <w:rPr>
          <w:rFonts w:cs="Times New Roman"/>
          <w:color w:val="auto"/>
        </w:rPr>
        <w:t>（11）安康市人民政府办公室关于印发《安康市“十四五”生态环境保护规划》的通知（安政办发〔2021〕33号）；</w:t>
      </w:r>
    </w:p>
    <w:p>
      <w:pPr>
        <w:adjustRightInd w:val="0"/>
        <w:snapToGrid w:val="0"/>
        <w:ind w:firstLine="480"/>
        <w:rPr>
          <w:rFonts w:cs="Times New Roman"/>
          <w:color w:val="auto"/>
        </w:rPr>
      </w:pPr>
      <w:r>
        <w:rPr>
          <w:rFonts w:cs="Times New Roman"/>
          <w:color w:val="auto"/>
        </w:rPr>
        <w:t>（12）安康市人民政府《关于印发安康市“三线一单”生态环境分区管控方案的通知》（安政发[2021]18号）；</w:t>
      </w:r>
    </w:p>
    <w:p>
      <w:pPr>
        <w:adjustRightInd w:val="0"/>
        <w:snapToGrid w:val="0"/>
        <w:ind w:firstLine="464"/>
        <w:rPr>
          <w:rFonts w:cs="Times New Roman"/>
          <w:color w:val="auto"/>
          <w:spacing w:val="-4"/>
        </w:rPr>
      </w:pPr>
      <w:r>
        <w:rPr>
          <w:rFonts w:cs="Times New Roman"/>
          <w:color w:val="auto"/>
          <w:spacing w:val="-4"/>
        </w:rPr>
        <w:t>（13）《陕西省国民经济和社会发展第十四个五年规划和二〇三五年远景目标纲要》；</w:t>
      </w:r>
    </w:p>
    <w:p>
      <w:pPr>
        <w:adjustRightInd w:val="0"/>
        <w:snapToGrid w:val="0"/>
        <w:ind w:firstLine="464"/>
        <w:rPr>
          <w:rFonts w:cs="Times New Roman"/>
          <w:color w:val="auto"/>
          <w:spacing w:val="-4"/>
        </w:rPr>
      </w:pPr>
      <w:r>
        <w:rPr>
          <w:rFonts w:cs="Times New Roman"/>
          <w:color w:val="auto"/>
          <w:spacing w:val="-4"/>
        </w:rPr>
        <w:t>（14）《安康市国民经济和社会发展第十四个五年规划和二〇三五年远景目标纲要》</w:t>
      </w:r>
      <w:r>
        <w:rPr>
          <w:rFonts w:hint="eastAsia" w:cs="Times New Roman"/>
          <w:color w:val="auto"/>
          <w:spacing w:val="-4"/>
        </w:rPr>
        <w:t>；</w:t>
      </w:r>
    </w:p>
    <w:p>
      <w:pPr>
        <w:adjustRightInd w:val="0"/>
        <w:snapToGrid w:val="0"/>
        <w:ind w:firstLine="480"/>
        <w:rPr>
          <w:rFonts w:cs="Times New Roman"/>
          <w:color w:val="auto"/>
          <w:spacing w:val="-4"/>
        </w:rPr>
      </w:pPr>
      <w:r>
        <w:rPr>
          <w:rFonts w:cs="Times New Roman"/>
          <w:color w:val="auto"/>
        </w:rPr>
        <w:t>（15）</w:t>
      </w:r>
      <w:r>
        <w:rPr>
          <w:rFonts w:cs="Times New Roman"/>
          <w:color w:val="auto"/>
          <w:spacing w:val="-4"/>
        </w:rPr>
        <w:t>《</w:t>
      </w:r>
      <w:r>
        <w:rPr>
          <w:rFonts w:hint="eastAsia" w:cs="Times New Roman"/>
          <w:color w:val="auto"/>
          <w:spacing w:val="-4"/>
          <w:lang w:val="en-US" w:eastAsia="zh-CN"/>
        </w:rPr>
        <w:t>岚皋县</w:t>
      </w:r>
      <w:r>
        <w:rPr>
          <w:rFonts w:cs="Times New Roman"/>
          <w:color w:val="auto"/>
          <w:spacing w:val="-4"/>
        </w:rPr>
        <w:t>国民经济和社会发展第十四个五年规划和二〇三五年远景目标纲要》；</w:t>
      </w:r>
    </w:p>
    <w:p>
      <w:pPr>
        <w:adjustRightInd w:val="0"/>
        <w:snapToGrid w:val="0"/>
        <w:ind w:firstLine="480"/>
        <w:rPr>
          <w:rFonts w:cs="Times New Roman"/>
          <w:color w:val="auto"/>
        </w:rPr>
      </w:pPr>
      <w:r>
        <w:rPr>
          <w:rFonts w:cs="Times New Roman"/>
          <w:color w:val="auto"/>
        </w:rPr>
        <w:t>（16）《</w:t>
      </w:r>
      <w:r>
        <w:rPr>
          <w:rFonts w:hint="eastAsia" w:cs="Times New Roman"/>
          <w:color w:val="auto"/>
          <w:lang w:val="en-US" w:eastAsia="zh-CN"/>
        </w:rPr>
        <w:t>岚皋县</w:t>
      </w:r>
      <w:r>
        <w:rPr>
          <w:rFonts w:cs="Times New Roman"/>
          <w:color w:val="auto"/>
        </w:rPr>
        <w:t>“十四五”生态环境保护规划》（</w:t>
      </w:r>
      <w:r>
        <w:rPr>
          <w:rFonts w:hint="eastAsia" w:cs="Times New Roman"/>
          <w:color w:val="auto"/>
          <w:lang w:val="en-US" w:eastAsia="zh-CN"/>
        </w:rPr>
        <w:t>2021.9.2</w:t>
      </w:r>
      <w:r>
        <w:rPr>
          <w:rFonts w:cs="Times New Roman"/>
          <w:color w:val="auto"/>
        </w:rPr>
        <w:t>）</w:t>
      </w:r>
      <w:r>
        <w:rPr>
          <w:rFonts w:hint="eastAsia" w:cs="Times New Roman"/>
          <w:color w:val="auto"/>
        </w:rPr>
        <w:t>。</w:t>
      </w:r>
    </w:p>
    <w:p>
      <w:pPr>
        <w:pStyle w:val="4"/>
        <w:numPr>
          <w:ilvl w:val="2"/>
          <w:numId w:val="0"/>
        </w:numPr>
        <w:adjustRightInd w:val="0"/>
        <w:snapToGrid w:val="0"/>
        <w:ind w:firstLine="480" w:firstLineChars="200"/>
        <w:rPr>
          <w:rFonts w:cs="Times New Roman"/>
          <w:color w:val="auto"/>
        </w:rPr>
      </w:pPr>
      <w:r>
        <w:rPr>
          <w:rFonts w:cs="Times New Roman"/>
          <w:color w:val="auto"/>
        </w:rPr>
        <w:t>2.1.4环境保护技术规范</w:t>
      </w:r>
    </w:p>
    <w:p>
      <w:pPr>
        <w:pStyle w:val="61"/>
        <w:snapToGrid w:val="0"/>
        <w:ind w:firstLine="480"/>
        <w:rPr>
          <w:rFonts w:cs="Times New Roman"/>
          <w:color w:val="auto"/>
        </w:rPr>
      </w:pPr>
      <w:r>
        <w:rPr>
          <w:rFonts w:cs="Times New Roman"/>
          <w:color w:val="auto"/>
        </w:rPr>
        <w:t>（1）《建设项目环境影响评价技术导则  总纲》（HJ2.1-2016）；</w:t>
      </w:r>
    </w:p>
    <w:p>
      <w:pPr>
        <w:pStyle w:val="61"/>
        <w:snapToGrid w:val="0"/>
        <w:ind w:firstLine="480"/>
        <w:rPr>
          <w:rFonts w:cs="Times New Roman"/>
          <w:color w:val="auto"/>
        </w:rPr>
      </w:pPr>
      <w:r>
        <w:rPr>
          <w:rFonts w:cs="Times New Roman"/>
          <w:color w:val="auto"/>
        </w:rPr>
        <w:t>（2）《环境影响评价技术导则  大气环境》（HJ2.2-2018）；</w:t>
      </w:r>
    </w:p>
    <w:p>
      <w:pPr>
        <w:pStyle w:val="61"/>
        <w:snapToGrid w:val="0"/>
        <w:ind w:firstLine="480"/>
        <w:rPr>
          <w:rFonts w:cs="Times New Roman"/>
          <w:color w:val="auto"/>
        </w:rPr>
      </w:pPr>
      <w:r>
        <w:rPr>
          <w:rFonts w:cs="Times New Roman"/>
          <w:color w:val="auto"/>
        </w:rPr>
        <w:t>（3）《环境影响评价技术导则  地表水环境》（HJ2.3-2018）；</w:t>
      </w:r>
    </w:p>
    <w:p>
      <w:pPr>
        <w:pStyle w:val="61"/>
        <w:snapToGrid w:val="0"/>
        <w:ind w:firstLine="480"/>
        <w:rPr>
          <w:rFonts w:cs="Times New Roman"/>
          <w:color w:val="auto"/>
        </w:rPr>
      </w:pPr>
      <w:r>
        <w:rPr>
          <w:rFonts w:cs="Times New Roman"/>
          <w:color w:val="auto"/>
        </w:rPr>
        <w:t>（4）《环境影响评价技术导则  地下水环境》（HJ610-2016）；</w:t>
      </w:r>
    </w:p>
    <w:p>
      <w:pPr>
        <w:pStyle w:val="61"/>
        <w:snapToGrid w:val="0"/>
        <w:ind w:firstLine="480"/>
        <w:rPr>
          <w:rFonts w:cs="Times New Roman"/>
          <w:color w:val="auto"/>
        </w:rPr>
      </w:pPr>
      <w:r>
        <w:rPr>
          <w:rFonts w:cs="Times New Roman"/>
          <w:color w:val="auto"/>
        </w:rPr>
        <w:t>（5）《环境影响评价技术导则  声环境》（HJ2.4-2021）；</w:t>
      </w:r>
    </w:p>
    <w:p>
      <w:pPr>
        <w:pStyle w:val="61"/>
        <w:snapToGrid w:val="0"/>
        <w:ind w:firstLine="480"/>
        <w:rPr>
          <w:rFonts w:cs="Times New Roman"/>
          <w:color w:val="auto"/>
        </w:rPr>
      </w:pPr>
      <w:r>
        <w:rPr>
          <w:rFonts w:cs="Times New Roman"/>
          <w:color w:val="auto"/>
        </w:rPr>
        <w:t>（6）《环境影响评价技术导则  生态环境》（HJ19-2022）；</w:t>
      </w:r>
    </w:p>
    <w:p>
      <w:pPr>
        <w:pStyle w:val="61"/>
        <w:snapToGrid w:val="0"/>
        <w:ind w:firstLine="480"/>
        <w:rPr>
          <w:rFonts w:cs="Times New Roman"/>
          <w:color w:val="auto"/>
        </w:rPr>
      </w:pPr>
      <w:r>
        <w:rPr>
          <w:rFonts w:cs="Times New Roman"/>
          <w:color w:val="auto"/>
        </w:rPr>
        <w:t>（7）《环境影响评价技术导则  土壤环境（试行）》（HJ964-2018）；</w:t>
      </w:r>
    </w:p>
    <w:p>
      <w:pPr>
        <w:pStyle w:val="61"/>
        <w:snapToGrid w:val="0"/>
        <w:ind w:firstLine="480"/>
        <w:rPr>
          <w:rFonts w:cs="Times New Roman"/>
          <w:color w:val="auto"/>
        </w:rPr>
      </w:pPr>
      <w:r>
        <w:rPr>
          <w:rFonts w:cs="Times New Roman"/>
          <w:color w:val="auto"/>
        </w:rPr>
        <w:t>（8）《环境影响评价技术导则 水利水电工程》(HJ/T88-2003)；</w:t>
      </w:r>
    </w:p>
    <w:p>
      <w:pPr>
        <w:pStyle w:val="61"/>
        <w:snapToGrid w:val="0"/>
        <w:ind w:firstLine="480"/>
        <w:rPr>
          <w:rFonts w:cs="Times New Roman"/>
          <w:color w:val="auto"/>
        </w:rPr>
      </w:pPr>
      <w:r>
        <w:rPr>
          <w:rFonts w:cs="Times New Roman"/>
          <w:color w:val="auto"/>
        </w:rPr>
        <w:t>（9）《水土保持综合治理规范》(GB/T16453.1～16453.6-2008)；</w:t>
      </w:r>
    </w:p>
    <w:p>
      <w:pPr>
        <w:pStyle w:val="61"/>
        <w:snapToGrid w:val="0"/>
        <w:ind w:firstLine="480"/>
        <w:rPr>
          <w:rFonts w:cs="Times New Roman"/>
          <w:color w:val="auto"/>
        </w:rPr>
      </w:pPr>
      <w:r>
        <w:rPr>
          <w:rFonts w:cs="Times New Roman"/>
          <w:color w:val="auto"/>
        </w:rPr>
        <w:t>（10）《生态环境状况评价技术规范（试行）》（HJ/T192-2006）；</w:t>
      </w:r>
    </w:p>
    <w:p>
      <w:pPr>
        <w:pStyle w:val="61"/>
        <w:snapToGrid w:val="0"/>
        <w:ind w:firstLine="480"/>
        <w:rPr>
          <w:rFonts w:cs="Times New Roman"/>
          <w:color w:val="auto"/>
        </w:rPr>
      </w:pPr>
      <w:r>
        <w:rPr>
          <w:rFonts w:cs="Times New Roman"/>
          <w:color w:val="auto"/>
        </w:rPr>
        <w:t>（11）《建设项目环境风险评价技术导则》（HJ169-2018）；</w:t>
      </w:r>
    </w:p>
    <w:p>
      <w:pPr>
        <w:pStyle w:val="61"/>
        <w:snapToGrid w:val="0"/>
        <w:ind w:firstLine="480"/>
        <w:rPr>
          <w:rFonts w:cs="Times New Roman"/>
          <w:color w:val="auto"/>
        </w:rPr>
      </w:pPr>
      <w:r>
        <w:rPr>
          <w:rFonts w:cs="Times New Roman"/>
          <w:color w:val="auto"/>
        </w:rPr>
        <w:t>（12）《水域纳污能力计算规程》（GB/T 25173-2010）；</w:t>
      </w:r>
    </w:p>
    <w:p>
      <w:pPr>
        <w:pStyle w:val="61"/>
        <w:snapToGrid w:val="0"/>
        <w:ind w:firstLine="480"/>
        <w:rPr>
          <w:rFonts w:cs="Times New Roman"/>
          <w:color w:val="auto"/>
        </w:rPr>
      </w:pPr>
      <w:r>
        <w:rPr>
          <w:rFonts w:cs="Times New Roman"/>
          <w:color w:val="auto"/>
        </w:rPr>
        <w:t>（13）《河湖生态环境需水计算规范》（SL/Z712-2014）。</w:t>
      </w:r>
    </w:p>
    <w:p>
      <w:pPr>
        <w:pStyle w:val="4"/>
        <w:numPr>
          <w:ilvl w:val="2"/>
          <w:numId w:val="0"/>
        </w:numPr>
        <w:adjustRightInd w:val="0"/>
        <w:snapToGrid w:val="0"/>
        <w:ind w:firstLine="480" w:firstLineChars="200"/>
        <w:rPr>
          <w:rFonts w:cs="Times New Roman"/>
          <w:color w:val="auto"/>
        </w:rPr>
      </w:pPr>
      <w:r>
        <w:rPr>
          <w:rFonts w:cs="Times New Roman"/>
          <w:color w:val="auto"/>
        </w:rPr>
        <w:t>2.1.5相关文件及技术资料</w:t>
      </w:r>
    </w:p>
    <w:p>
      <w:pPr>
        <w:pStyle w:val="61"/>
        <w:snapToGrid w:val="0"/>
        <w:ind w:firstLine="480"/>
        <w:rPr>
          <w:rFonts w:cs="Times New Roman"/>
          <w:color w:val="auto"/>
        </w:rPr>
      </w:pPr>
      <w:r>
        <w:rPr>
          <w:rFonts w:cs="Times New Roman"/>
          <w:color w:val="auto"/>
        </w:rPr>
        <w:t>（1）</w:t>
      </w:r>
      <w:r>
        <w:rPr>
          <w:rFonts w:hint="eastAsia" w:cs="Times New Roman"/>
          <w:color w:val="auto"/>
          <w:lang w:val="en-US" w:eastAsia="zh-CN"/>
        </w:rPr>
        <w:t>安康市生态环境局岚皋分局</w:t>
      </w:r>
      <w:r>
        <w:rPr>
          <w:rFonts w:cs="Times New Roman"/>
          <w:color w:val="auto"/>
        </w:rPr>
        <w:t>《环评委托书》；</w:t>
      </w:r>
    </w:p>
    <w:p>
      <w:pPr>
        <w:pStyle w:val="61"/>
        <w:snapToGrid w:val="0"/>
        <w:ind w:firstLine="480"/>
        <w:rPr>
          <w:rFonts w:cs="Times New Roman"/>
          <w:color w:val="auto"/>
        </w:rPr>
      </w:pPr>
      <w:r>
        <w:rPr>
          <w:rFonts w:cs="Times New Roman"/>
          <w:color w:val="auto"/>
        </w:rPr>
        <w:t>（2）</w:t>
      </w:r>
      <w:r>
        <w:rPr>
          <w:rFonts w:hint="eastAsia" w:cs="Times New Roman"/>
          <w:color w:val="auto"/>
          <w:lang w:val="en-US" w:eastAsia="zh-CN"/>
        </w:rPr>
        <w:t>岚皋县</w:t>
      </w:r>
      <w:r>
        <w:rPr>
          <w:rFonts w:cs="Times New Roman"/>
          <w:color w:val="auto"/>
        </w:rPr>
        <w:t>发展和改革局《安康市岚皋县岚河生态缓冲带保护修复项目</w:t>
      </w:r>
      <w:r>
        <w:rPr>
          <w:rFonts w:hint="eastAsia" w:cs="Times New Roman"/>
          <w:color w:val="auto"/>
          <w:lang w:val="en-US" w:eastAsia="zh-CN"/>
        </w:rPr>
        <w:t>可行性研究报告的批复</w:t>
      </w:r>
      <w:r>
        <w:rPr>
          <w:rFonts w:cs="Times New Roman"/>
          <w:color w:val="auto"/>
        </w:rPr>
        <w:t>》（</w:t>
      </w:r>
      <w:r>
        <w:rPr>
          <w:rFonts w:hint="eastAsia" w:cs="Times New Roman"/>
          <w:color w:val="auto"/>
          <w:lang w:val="en-US" w:eastAsia="zh-CN"/>
        </w:rPr>
        <w:t>岚</w:t>
      </w:r>
      <w:r>
        <w:rPr>
          <w:rFonts w:cs="Times New Roman"/>
          <w:color w:val="auto"/>
        </w:rPr>
        <w:t>发改</w:t>
      </w:r>
      <w:r>
        <w:rPr>
          <w:rFonts w:hint="eastAsia" w:cs="Times New Roman"/>
          <w:color w:val="auto"/>
          <w:lang w:val="en-US" w:eastAsia="zh-CN"/>
        </w:rPr>
        <w:t>环资</w:t>
      </w:r>
      <w:r>
        <w:rPr>
          <w:rFonts w:cs="Times New Roman"/>
          <w:color w:val="auto"/>
        </w:rPr>
        <w:t>〔202</w:t>
      </w:r>
      <w:r>
        <w:rPr>
          <w:rFonts w:hint="eastAsia" w:cs="Times New Roman"/>
          <w:color w:val="auto"/>
          <w:lang w:val="en-US" w:eastAsia="zh-CN"/>
        </w:rPr>
        <w:t>2</w:t>
      </w:r>
      <w:r>
        <w:rPr>
          <w:rFonts w:cs="Times New Roman"/>
          <w:color w:val="auto"/>
        </w:rPr>
        <w:t>〕</w:t>
      </w:r>
      <w:r>
        <w:rPr>
          <w:rFonts w:hint="eastAsia" w:cs="Times New Roman"/>
          <w:color w:val="auto"/>
          <w:lang w:val="en-US" w:eastAsia="zh-CN"/>
        </w:rPr>
        <w:t>183</w:t>
      </w:r>
      <w:r>
        <w:rPr>
          <w:rFonts w:cs="Times New Roman"/>
          <w:color w:val="auto"/>
        </w:rPr>
        <w:t>号）；</w:t>
      </w:r>
    </w:p>
    <w:p>
      <w:pPr>
        <w:pStyle w:val="61"/>
        <w:snapToGrid w:val="0"/>
        <w:ind w:firstLine="480"/>
        <w:rPr>
          <w:rFonts w:cs="Times New Roman"/>
          <w:color w:val="auto"/>
        </w:rPr>
      </w:pPr>
      <w:r>
        <w:rPr>
          <w:rFonts w:cs="Times New Roman"/>
          <w:color w:val="auto"/>
        </w:rPr>
        <w:t>（</w:t>
      </w:r>
      <w:r>
        <w:rPr>
          <w:rFonts w:hint="eastAsia" w:cs="Times New Roman"/>
          <w:color w:val="auto"/>
          <w:lang w:val="en-US" w:eastAsia="zh-CN"/>
        </w:rPr>
        <w:t>3</w:t>
      </w:r>
      <w:r>
        <w:rPr>
          <w:rFonts w:cs="Times New Roman"/>
          <w:color w:val="auto"/>
        </w:rPr>
        <w:t>）</w:t>
      </w:r>
      <w:r>
        <w:rPr>
          <w:rFonts w:hint="eastAsia" w:cs="Times New Roman"/>
          <w:color w:val="auto"/>
          <w:lang w:val="en-US" w:eastAsia="zh-CN"/>
        </w:rPr>
        <w:t>岚皋县</w:t>
      </w:r>
      <w:r>
        <w:rPr>
          <w:rFonts w:cs="Times New Roman"/>
          <w:color w:val="auto"/>
        </w:rPr>
        <w:t>发展和改革局《</w:t>
      </w:r>
      <w:r>
        <w:rPr>
          <w:rFonts w:hint="eastAsia" w:cs="Times New Roman"/>
          <w:color w:val="auto"/>
        </w:rPr>
        <w:t>安康市岚皋县岚河生态缓冲带保护修复项目（一期）初步设计的批复</w:t>
      </w:r>
      <w:r>
        <w:rPr>
          <w:rFonts w:cs="Times New Roman"/>
          <w:color w:val="auto"/>
        </w:rPr>
        <w:t>》（</w:t>
      </w:r>
      <w:r>
        <w:rPr>
          <w:rFonts w:hint="eastAsia" w:cs="Times New Roman"/>
          <w:color w:val="auto"/>
          <w:lang w:val="en-US" w:eastAsia="zh-CN"/>
        </w:rPr>
        <w:t>岚</w:t>
      </w:r>
      <w:r>
        <w:rPr>
          <w:rFonts w:cs="Times New Roman"/>
          <w:color w:val="auto"/>
        </w:rPr>
        <w:t>发改</w:t>
      </w:r>
      <w:r>
        <w:rPr>
          <w:rFonts w:hint="eastAsia" w:cs="Times New Roman"/>
          <w:color w:val="auto"/>
          <w:lang w:val="en-US" w:eastAsia="zh-CN"/>
        </w:rPr>
        <w:t>环资</w:t>
      </w:r>
      <w:r>
        <w:rPr>
          <w:rFonts w:cs="Times New Roman"/>
          <w:color w:val="auto"/>
        </w:rPr>
        <w:t>〔202</w:t>
      </w:r>
      <w:r>
        <w:rPr>
          <w:rFonts w:hint="eastAsia" w:cs="Times New Roman"/>
          <w:color w:val="auto"/>
          <w:lang w:val="en-US" w:eastAsia="zh-CN"/>
        </w:rPr>
        <w:t>3</w:t>
      </w:r>
      <w:r>
        <w:rPr>
          <w:rFonts w:cs="Times New Roman"/>
          <w:color w:val="auto"/>
        </w:rPr>
        <w:t>〕</w:t>
      </w:r>
      <w:r>
        <w:rPr>
          <w:rFonts w:hint="eastAsia" w:cs="Times New Roman"/>
          <w:color w:val="auto"/>
          <w:lang w:val="en-US" w:eastAsia="zh-CN"/>
        </w:rPr>
        <w:t>811</w:t>
      </w:r>
      <w:r>
        <w:rPr>
          <w:rFonts w:cs="Times New Roman"/>
          <w:color w:val="auto"/>
        </w:rPr>
        <w:t>号）；</w:t>
      </w:r>
    </w:p>
    <w:p>
      <w:pPr>
        <w:pStyle w:val="61"/>
        <w:snapToGrid w:val="0"/>
        <w:ind w:firstLine="480"/>
        <w:rPr>
          <w:rFonts w:cs="Times New Roman"/>
          <w:color w:val="auto"/>
        </w:rPr>
      </w:pPr>
      <w:r>
        <w:rPr>
          <w:rFonts w:cs="Times New Roman"/>
          <w:color w:val="auto"/>
        </w:rPr>
        <w:t>（</w:t>
      </w:r>
      <w:r>
        <w:rPr>
          <w:rFonts w:hint="eastAsia" w:cs="Times New Roman"/>
          <w:color w:val="auto"/>
          <w:lang w:val="en-US" w:eastAsia="zh-CN"/>
        </w:rPr>
        <w:t>4</w:t>
      </w:r>
      <w:r>
        <w:rPr>
          <w:rFonts w:cs="Times New Roman"/>
          <w:color w:val="auto"/>
        </w:rPr>
        <w:t>）《安康市岚皋县岚河生态缓冲带保护修复项目</w:t>
      </w:r>
      <w:r>
        <w:rPr>
          <w:rFonts w:hint="eastAsia" w:cs="Times New Roman"/>
          <w:color w:val="auto"/>
          <w:lang w:val="en-US" w:eastAsia="zh-CN"/>
        </w:rPr>
        <w:t>可行性研究报告</w:t>
      </w:r>
      <w:r>
        <w:rPr>
          <w:rFonts w:cs="Times New Roman"/>
          <w:color w:val="auto"/>
        </w:rPr>
        <w:t>》（</w:t>
      </w:r>
      <w:r>
        <w:rPr>
          <w:rFonts w:hint="eastAsia" w:cs="Times New Roman"/>
          <w:color w:val="auto"/>
          <w:lang w:val="en-US" w:eastAsia="zh-CN"/>
        </w:rPr>
        <w:t>中大设计集团有限公司</w:t>
      </w:r>
      <w:r>
        <w:rPr>
          <w:rFonts w:cs="Times New Roman"/>
          <w:color w:val="auto"/>
        </w:rPr>
        <w:t>，202</w:t>
      </w:r>
      <w:r>
        <w:rPr>
          <w:rFonts w:hint="eastAsia" w:cs="Times New Roman"/>
          <w:color w:val="auto"/>
          <w:lang w:val="en-US" w:eastAsia="zh-CN"/>
        </w:rPr>
        <w:t>3</w:t>
      </w:r>
      <w:r>
        <w:rPr>
          <w:rFonts w:cs="Times New Roman"/>
          <w:color w:val="auto"/>
        </w:rPr>
        <w:t>年</w:t>
      </w:r>
      <w:r>
        <w:rPr>
          <w:rFonts w:hint="eastAsia" w:cs="Times New Roman"/>
          <w:color w:val="auto"/>
          <w:lang w:val="en-US" w:eastAsia="zh-CN"/>
        </w:rPr>
        <w:t>9</w:t>
      </w:r>
      <w:r>
        <w:rPr>
          <w:rFonts w:cs="Times New Roman"/>
          <w:color w:val="auto"/>
        </w:rPr>
        <w:t>月）；</w:t>
      </w:r>
    </w:p>
    <w:p>
      <w:pPr>
        <w:pStyle w:val="61"/>
        <w:snapToGrid w:val="0"/>
        <w:ind w:firstLine="480"/>
        <w:rPr>
          <w:rFonts w:cs="Times New Roman"/>
          <w:color w:val="auto"/>
        </w:rPr>
      </w:pPr>
      <w:r>
        <w:rPr>
          <w:rFonts w:hint="eastAsia" w:cs="Times New Roman"/>
          <w:color w:val="auto"/>
        </w:rPr>
        <w:t>（</w:t>
      </w:r>
      <w:r>
        <w:rPr>
          <w:rFonts w:hint="eastAsia" w:cs="Times New Roman"/>
          <w:color w:val="auto"/>
          <w:lang w:val="en-US" w:eastAsia="zh-CN"/>
        </w:rPr>
        <w:t>5</w:t>
      </w:r>
      <w:r>
        <w:rPr>
          <w:rFonts w:hint="eastAsia" w:cs="Times New Roman"/>
          <w:color w:val="auto"/>
        </w:rPr>
        <w:t>）环境质量现状检测</w:t>
      </w:r>
      <w:r>
        <w:rPr>
          <w:rFonts w:cs="Times New Roman"/>
          <w:color w:val="auto"/>
        </w:rPr>
        <w:t>报告；</w:t>
      </w:r>
    </w:p>
    <w:p>
      <w:pPr>
        <w:pStyle w:val="61"/>
        <w:snapToGrid w:val="0"/>
        <w:ind w:firstLine="480"/>
        <w:rPr>
          <w:rFonts w:cs="Times New Roman"/>
          <w:color w:val="auto"/>
        </w:rPr>
      </w:pPr>
      <w:r>
        <w:rPr>
          <w:rFonts w:cs="Times New Roman"/>
          <w:color w:val="auto"/>
        </w:rPr>
        <w:t>（</w:t>
      </w:r>
      <w:r>
        <w:rPr>
          <w:rFonts w:hint="eastAsia" w:cs="Times New Roman"/>
          <w:color w:val="auto"/>
          <w:lang w:val="en-US" w:eastAsia="zh-CN"/>
        </w:rPr>
        <w:t>6</w:t>
      </w:r>
      <w:r>
        <w:rPr>
          <w:rFonts w:cs="Times New Roman"/>
          <w:color w:val="auto"/>
        </w:rPr>
        <w:t>）</w:t>
      </w:r>
      <w:r>
        <w:rPr>
          <w:rFonts w:hint="eastAsia" w:cs="Times New Roman"/>
          <w:color w:val="auto"/>
          <w:lang w:val="en-US" w:eastAsia="zh-CN"/>
        </w:rPr>
        <w:t>安康市生态环境局岚皋分局</w:t>
      </w:r>
      <w:r>
        <w:rPr>
          <w:rFonts w:cs="Times New Roman"/>
          <w:color w:val="auto"/>
        </w:rPr>
        <w:t>提供的其他相关资料。</w:t>
      </w:r>
    </w:p>
    <w:p>
      <w:pPr>
        <w:pStyle w:val="3"/>
        <w:keepNext/>
        <w:keepLines/>
        <w:pageBreakBefore w:val="0"/>
        <w:widowControl w:val="0"/>
        <w:numPr>
          <w:ilvl w:val="1"/>
          <w:numId w:val="0"/>
        </w:numPr>
        <w:kinsoku/>
        <w:wordWrap w:val="0"/>
        <w:overflowPunct/>
        <w:topLinePunct/>
        <w:autoSpaceDE/>
        <w:autoSpaceDN/>
        <w:bidi w:val="0"/>
        <w:adjustRightInd w:val="0"/>
        <w:snapToGrid w:val="0"/>
        <w:ind w:firstLine="560" w:firstLineChars="200"/>
        <w:textAlignment w:val="auto"/>
        <w:rPr>
          <w:rFonts w:cs="Times New Roman"/>
          <w:b w:val="0"/>
          <w:color w:val="auto"/>
        </w:rPr>
      </w:pPr>
      <w:bookmarkStart w:id="10" w:name="_Toc142388362"/>
      <w:r>
        <w:rPr>
          <w:rFonts w:cs="Times New Roman"/>
          <w:b w:val="0"/>
          <w:color w:val="auto"/>
        </w:rPr>
        <w:t>2.2评价目的和评价原则</w:t>
      </w:r>
      <w:bookmarkEnd w:id="10"/>
    </w:p>
    <w:p>
      <w:pPr>
        <w:pStyle w:val="4"/>
        <w:numPr>
          <w:ilvl w:val="2"/>
          <w:numId w:val="0"/>
        </w:numPr>
        <w:adjustRightInd w:val="0"/>
        <w:snapToGrid w:val="0"/>
        <w:ind w:firstLine="480" w:firstLineChars="200"/>
        <w:rPr>
          <w:rFonts w:cs="Times New Roman"/>
          <w:color w:val="auto"/>
        </w:rPr>
      </w:pPr>
      <w:r>
        <w:rPr>
          <w:rFonts w:cs="Times New Roman"/>
          <w:color w:val="auto"/>
        </w:rPr>
        <w:t>2.2.1评价目的</w:t>
      </w:r>
    </w:p>
    <w:p>
      <w:pPr>
        <w:snapToGrid w:val="0"/>
        <w:ind w:firstLine="480"/>
        <w:rPr>
          <w:rFonts w:cs="Times New Roman"/>
          <w:color w:val="auto"/>
        </w:rPr>
      </w:pPr>
      <w:r>
        <w:rPr>
          <w:rFonts w:cs="Times New Roman"/>
          <w:color w:val="auto"/>
        </w:rPr>
        <w:t>根据本工程项目组成和评价区环境特点，以及国家有关法律法规和地方有关要求，编制本报告书的目的在于：</w:t>
      </w:r>
    </w:p>
    <w:p>
      <w:pPr>
        <w:snapToGrid w:val="0"/>
        <w:ind w:firstLine="480"/>
        <w:rPr>
          <w:rFonts w:cs="Times New Roman"/>
          <w:color w:val="auto"/>
        </w:rPr>
      </w:pPr>
      <w:r>
        <w:rPr>
          <w:rFonts w:cs="Times New Roman"/>
          <w:color w:val="auto"/>
        </w:rPr>
        <w:t>（1）调查分析工程涉及区域的水环境、大气环境、声环境、生态环境和社会环境现状，明确当地环境功能、环境质量现状及其发展趋势，明确工程涉及的主要环境保护目标。</w:t>
      </w:r>
    </w:p>
    <w:p>
      <w:pPr>
        <w:snapToGrid w:val="0"/>
        <w:ind w:firstLine="480"/>
        <w:rPr>
          <w:rFonts w:cs="Times New Roman"/>
          <w:color w:val="auto"/>
        </w:rPr>
      </w:pPr>
      <w:r>
        <w:rPr>
          <w:rFonts w:cs="Times New Roman"/>
          <w:color w:val="auto"/>
        </w:rPr>
        <w:t>（2）依据相关环境保护法规和技术规范的要求，结合工程施工和运行情况，全面、系统的分析工程施工、建设征地、工程运行对自然环境、生态环境和社会环境的有利影响和不利影响。</w:t>
      </w:r>
    </w:p>
    <w:p>
      <w:pPr>
        <w:snapToGrid w:val="0"/>
        <w:ind w:firstLine="480"/>
        <w:rPr>
          <w:rFonts w:cs="Times New Roman"/>
          <w:color w:val="auto"/>
        </w:rPr>
      </w:pPr>
      <w:r>
        <w:rPr>
          <w:rFonts w:cs="Times New Roman"/>
          <w:color w:val="auto"/>
        </w:rPr>
        <w:t>（3）针对工程施工期、运行期给区域环境带来的不利影响，提出预防或减轻不良环境影响的对策和措施，进行相应的环境监测、环境管理规划，使工程建设尽量不降低所在地区及其周围区域的环境质量，保证工程顺利施工和正常运行，充分发挥工程的经济效益、社会效益和环境效益，促进工程区域生态环境的良性发展。</w:t>
      </w:r>
    </w:p>
    <w:p>
      <w:pPr>
        <w:snapToGrid w:val="0"/>
        <w:ind w:firstLine="480"/>
        <w:rPr>
          <w:rFonts w:cs="Times New Roman"/>
          <w:color w:val="auto"/>
        </w:rPr>
      </w:pPr>
      <w:r>
        <w:rPr>
          <w:rFonts w:cs="Times New Roman"/>
          <w:color w:val="auto"/>
        </w:rPr>
        <w:t>（4）分析工程施工期、运行期以区域环境的总体变化趋势，从环境保护方面论证工程建设的可行性，为工程方案论证、环境管理和项目决策提供科学的依据。</w:t>
      </w:r>
    </w:p>
    <w:p>
      <w:pPr>
        <w:pStyle w:val="4"/>
        <w:numPr>
          <w:ilvl w:val="2"/>
          <w:numId w:val="0"/>
        </w:numPr>
        <w:adjustRightInd w:val="0"/>
        <w:snapToGrid w:val="0"/>
        <w:ind w:firstLine="480" w:firstLineChars="200"/>
        <w:rPr>
          <w:rFonts w:cs="Times New Roman"/>
          <w:color w:val="auto"/>
        </w:rPr>
      </w:pPr>
      <w:r>
        <w:rPr>
          <w:rFonts w:cs="Times New Roman"/>
          <w:color w:val="auto"/>
        </w:rPr>
        <w:t>2.2.2评价原则</w:t>
      </w:r>
    </w:p>
    <w:p>
      <w:pPr>
        <w:pStyle w:val="61"/>
        <w:snapToGrid w:val="0"/>
        <w:ind w:firstLine="480"/>
        <w:rPr>
          <w:rFonts w:cs="Times New Roman"/>
          <w:color w:val="auto"/>
        </w:rPr>
      </w:pPr>
      <w:r>
        <w:rPr>
          <w:rFonts w:cs="Times New Roman"/>
          <w:color w:val="auto"/>
        </w:rPr>
        <w:t>（1）科学、客观、公正原则</w:t>
      </w:r>
    </w:p>
    <w:p>
      <w:pPr>
        <w:pStyle w:val="61"/>
        <w:snapToGrid w:val="0"/>
        <w:ind w:firstLine="480"/>
        <w:rPr>
          <w:rFonts w:cs="Times New Roman"/>
          <w:color w:val="auto"/>
        </w:rPr>
      </w:pPr>
      <w:r>
        <w:rPr>
          <w:rFonts w:cs="Times New Roman"/>
          <w:color w:val="auto"/>
        </w:rPr>
        <w:t>环境影响预测、评价必须科学、客观、公正，综合考虑建设项目在施工期、运行期对各种环境要素及其所构成的生态系统可能造成的影响，为工程决策提供科学依据。</w:t>
      </w:r>
    </w:p>
    <w:p>
      <w:pPr>
        <w:pStyle w:val="61"/>
        <w:snapToGrid w:val="0"/>
        <w:ind w:firstLine="480"/>
        <w:rPr>
          <w:rFonts w:cs="Times New Roman"/>
          <w:color w:val="auto"/>
        </w:rPr>
      </w:pPr>
      <w:r>
        <w:rPr>
          <w:rFonts w:cs="Times New Roman"/>
          <w:color w:val="auto"/>
        </w:rPr>
        <w:t>（2）整体性原则</w:t>
      </w:r>
    </w:p>
    <w:p>
      <w:pPr>
        <w:pStyle w:val="61"/>
        <w:snapToGrid w:val="0"/>
        <w:ind w:firstLine="480"/>
        <w:rPr>
          <w:rFonts w:cs="Times New Roman"/>
          <w:color w:val="auto"/>
        </w:rPr>
      </w:pPr>
      <w:r>
        <w:rPr>
          <w:rFonts w:cs="Times New Roman"/>
          <w:color w:val="auto"/>
        </w:rPr>
        <w:t>环境影响评价应该与相关政策、法律法规、区域及流域规划等相互联系，做统筹整体性考虑。</w:t>
      </w:r>
    </w:p>
    <w:p>
      <w:pPr>
        <w:pStyle w:val="61"/>
        <w:snapToGrid w:val="0"/>
        <w:ind w:firstLine="480"/>
        <w:rPr>
          <w:rFonts w:cs="Times New Roman"/>
          <w:color w:val="auto"/>
        </w:rPr>
      </w:pPr>
      <w:r>
        <w:rPr>
          <w:rFonts w:cs="Times New Roman"/>
          <w:color w:val="auto"/>
        </w:rPr>
        <w:t>（3）突出重点原则</w:t>
      </w:r>
    </w:p>
    <w:p>
      <w:pPr>
        <w:pStyle w:val="61"/>
        <w:snapToGrid w:val="0"/>
        <w:ind w:firstLine="480"/>
        <w:rPr>
          <w:rFonts w:cs="Times New Roman"/>
          <w:color w:val="auto"/>
        </w:rPr>
      </w:pPr>
      <w:r>
        <w:rPr>
          <w:rFonts w:cs="Times New Roman"/>
          <w:color w:val="auto"/>
        </w:rPr>
        <w:t>对评价范围内的环境影响进行全面评价，并对主要环境影响及敏感问题进行重点分析与评价。</w:t>
      </w:r>
    </w:p>
    <w:p>
      <w:pPr>
        <w:pStyle w:val="61"/>
        <w:snapToGrid w:val="0"/>
        <w:ind w:firstLine="480"/>
        <w:rPr>
          <w:rFonts w:cs="Times New Roman"/>
          <w:color w:val="auto"/>
        </w:rPr>
      </w:pPr>
      <w:r>
        <w:rPr>
          <w:rFonts w:cs="Times New Roman"/>
          <w:color w:val="auto"/>
        </w:rPr>
        <w:t>（4）公众参与原则</w:t>
      </w:r>
    </w:p>
    <w:p>
      <w:pPr>
        <w:pStyle w:val="61"/>
        <w:snapToGrid w:val="0"/>
        <w:ind w:firstLine="480"/>
        <w:rPr>
          <w:rFonts w:cs="Times New Roman"/>
          <w:color w:val="auto"/>
        </w:rPr>
      </w:pPr>
      <w:r>
        <w:rPr>
          <w:rFonts w:cs="Times New Roman"/>
          <w:color w:val="auto"/>
        </w:rPr>
        <w:t>在环境影响评价过程中，鼓励和支持公众参与，充分考虑社会各方面利益。</w:t>
      </w:r>
    </w:p>
    <w:p>
      <w:pPr>
        <w:pStyle w:val="61"/>
        <w:snapToGrid w:val="0"/>
        <w:ind w:firstLine="480"/>
        <w:rPr>
          <w:rFonts w:cs="Times New Roman"/>
          <w:color w:val="auto"/>
        </w:rPr>
      </w:pPr>
      <w:r>
        <w:rPr>
          <w:rFonts w:cs="Times New Roman"/>
          <w:color w:val="auto"/>
        </w:rPr>
        <w:t>（5）生态优先原则</w:t>
      </w:r>
    </w:p>
    <w:p>
      <w:pPr>
        <w:pStyle w:val="61"/>
        <w:snapToGrid w:val="0"/>
        <w:ind w:firstLine="480"/>
        <w:rPr>
          <w:rFonts w:cs="Times New Roman"/>
          <w:color w:val="auto"/>
        </w:rPr>
      </w:pPr>
      <w:r>
        <w:rPr>
          <w:rFonts w:cs="Times New Roman"/>
          <w:color w:val="auto"/>
        </w:rPr>
        <w:t>在工程环境保护措施及生态恢复措施中认真贯彻生态优先原则，做到源头和过程控制，强化后期恢复，将生态影响降低到最低程度。</w:t>
      </w:r>
    </w:p>
    <w:p>
      <w:pPr>
        <w:pStyle w:val="61"/>
        <w:snapToGrid w:val="0"/>
        <w:ind w:firstLine="480"/>
        <w:rPr>
          <w:rFonts w:cs="Times New Roman"/>
          <w:color w:val="auto"/>
        </w:rPr>
      </w:pPr>
      <w:r>
        <w:rPr>
          <w:rFonts w:cs="Times New Roman"/>
          <w:color w:val="auto"/>
        </w:rPr>
        <w:t>（6）可操作性和针对性原则</w:t>
      </w:r>
    </w:p>
    <w:p>
      <w:pPr>
        <w:pStyle w:val="61"/>
        <w:snapToGrid w:val="0"/>
        <w:ind w:firstLine="480"/>
        <w:rPr>
          <w:rFonts w:cs="Times New Roman"/>
          <w:color w:val="auto"/>
        </w:rPr>
      </w:pPr>
      <w:r>
        <w:rPr>
          <w:rFonts w:cs="Times New Roman"/>
          <w:color w:val="auto"/>
        </w:rPr>
        <w:t>所拟定环保措施和生态恢复措施应充分考虑到当地社会经济、自然生态环境状况及区域、流域开发环保总体要求，力求做到可操作性，并具有针对性。</w:t>
      </w:r>
    </w:p>
    <w:p>
      <w:pPr>
        <w:pStyle w:val="3"/>
        <w:numPr>
          <w:ilvl w:val="1"/>
          <w:numId w:val="0"/>
        </w:numPr>
        <w:ind w:firstLine="560" w:firstLineChars="200"/>
        <w:rPr>
          <w:rFonts w:cs="Times New Roman"/>
          <w:b w:val="0"/>
          <w:color w:val="auto"/>
        </w:rPr>
      </w:pPr>
      <w:bookmarkStart w:id="11" w:name="_Toc476707082"/>
      <w:bookmarkStart w:id="12" w:name="_Toc142388363"/>
      <w:r>
        <w:rPr>
          <w:rFonts w:cs="Times New Roman"/>
          <w:b w:val="0"/>
          <w:color w:val="auto"/>
        </w:rPr>
        <w:t>2.3环境影响因素识别及评价因子</w:t>
      </w:r>
      <w:bookmarkEnd w:id="11"/>
      <w:r>
        <w:rPr>
          <w:rFonts w:cs="Times New Roman"/>
          <w:b w:val="0"/>
          <w:color w:val="auto"/>
        </w:rPr>
        <w:t>筛选</w:t>
      </w:r>
      <w:bookmarkEnd w:id="12"/>
    </w:p>
    <w:p>
      <w:pPr>
        <w:pStyle w:val="4"/>
        <w:numPr>
          <w:ilvl w:val="2"/>
          <w:numId w:val="0"/>
        </w:numPr>
        <w:adjustRightInd w:val="0"/>
        <w:snapToGrid w:val="0"/>
        <w:ind w:firstLine="480" w:firstLineChars="200"/>
        <w:rPr>
          <w:rFonts w:cs="Times New Roman"/>
          <w:color w:val="auto"/>
        </w:rPr>
      </w:pPr>
      <w:r>
        <w:rPr>
          <w:rFonts w:cs="Times New Roman"/>
          <w:color w:val="auto"/>
        </w:rPr>
        <w:t>2.3.1环境影响因素识别</w:t>
      </w:r>
    </w:p>
    <w:p>
      <w:pPr>
        <w:snapToGrid w:val="0"/>
        <w:ind w:firstLine="480"/>
        <w:rPr>
          <w:rFonts w:eastAsia="黑体" w:cs="Times New Roman"/>
          <w:color w:val="auto"/>
        </w:rPr>
      </w:pPr>
      <w:r>
        <w:rPr>
          <w:rFonts w:cs="Times New Roman"/>
          <w:color w:val="auto"/>
        </w:rPr>
        <w:t>根据该项目的生产特点和污染物的排放种类、排放量以及对环境的影响，将建设和生产过程中产生的污染物及对环境的影响列于表2.3-1。</w:t>
      </w:r>
    </w:p>
    <w:p>
      <w:pPr>
        <w:snapToGrid w:val="0"/>
        <w:spacing w:line="240" w:lineRule="auto"/>
        <w:ind w:firstLine="482"/>
        <w:jc w:val="center"/>
        <w:rPr>
          <w:rFonts w:cs="Times New Roman" w:eastAsiaTheme="minorEastAsia"/>
          <w:b/>
          <w:color w:val="auto"/>
        </w:rPr>
      </w:pPr>
      <w:r>
        <w:rPr>
          <w:rFonts w:cs="Times New Roman" w:eastAsiaTheme="minorEastAsia"/>
          <w:b/>
          <w:color w:val="auto"/>
        </w:rPr>
        <w:t>表2.3-1  环境影响要素识别表</w:t>
      </w:r>
    </w:p>
    <w:tbl>
      <w:tblPr>
        <w:tblStyle w:val="43"/>
        <w:tblW w:w="4762" w:type="pct"/>
        <w:tblInd w:w="29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0"/>
        <w:gridCol w:w="1297"/>
        <w:gridCol w:w="544"/>
        <w:gridCol w:w="539"/>
        <w:gridCol w:w="543"/>
        <w:gridCol w:w="538"/>
        <w:gridCol w:w="549"/>
        <w:gridCol w:w="538"/>
        <w:gridCol w:w="538"/>
        <w:gridCol w:w="660"/>
        <w:gridCol w:w="538"/>
        <w:gridCol w:w="571"/>
        <w:gridCol w:w="468"/>
        <w:gridCol w:w="482"/>
        <w:gridCol w:w="5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76" w:type="pct"/>
            <w:gridSpan w:val="2"/>
            <w:vMerge w:val="restart"/>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影响类型影响</w:t>
            </w:r>
          </w:p>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阶段</w:t>
            </w:r>
          </w:p>
        </w:tc>
        <w:tc>
          <w:tcPr>
            <w:tcW w:w="3181" w:type="pct"/>
            <w:gridSpan w:val="10"/>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影响类型</w:t>
            </w:r>
          </w:p>
        </w:tc>
        <w:tc>
          <w:tcPr>
            <w:tcW w:w="842" w:type="pct"/>
            <w:gridSpan w:val="3"/>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影响程度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976" w:type="pct"/>
            <w:gridSpan w:val="2"/>
            <w:vMerge w:val="continue"/>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p>
        </w:tc>
        <w:tc>
          <w:tcPr>
            <w:tcW w:w="311"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有利</w:t>
            </w:r>
          </w:p>
        </w:tc>
        <w:tc>
          <w:tcPr>
            <w:tcW w:w="308"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不利</w:t>
            </w:r>
          </w:p>
        </w:tc>
        <w:tc>
          <w:tcPr>
            <w:tcW w:w="311"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直接</w:t>
            </w:r>
          </w:p>
        </w:tc>
        <w:tc>
          <w:tcPr>
            <w:tcW w:w="308"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间接</w:t>
            </w:r>
          </w:p>
        </w:tc>
        <w:tc>
          <w:tcPr>
            <w:tcW w:w="314"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长期</w:t>
            </w:r>
          </w:p>
        </w:tc>
        <w:tc>
          <w:tcPr>
            <w:tcW w:w="308"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短期</w:t>
            </w:r>
          </w:p>
        </w:tc>
        <w:tc>
          <w:tcPr>
            <w:tcW w:w="308"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局部</w:t>
            </w:r>
          </w:p>
        </w:tc>
        <w:tc>
          <w:tcPr>
            <w:tcW w:w="378"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大范围</w:t>
            </w:r>
          </w:p>
        </w:tc>
        <w:tc>
          <w:tcPr>
            <w:tcW w:w="308"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可逆</w:t>
            </w:r>
          </w:p>
        </w:tc>
        <w:tc>
          <w:tcPr>
            <w:tcW w:w="322"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不可逆</w:t>
            </w:r>
          </w:p>
        </w:tc>
        <w:tc>
          <w:tcPr>
            <w:tcW w:w="268"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小</w:t>
            </w:r>
          </w:p>
        </w:tc>
        <w:tc>
          <w:tcPr>
            <w:tcW w:w="276"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中</w:t>
            </w:r>
          </w:p>
        </w:tc>
        <w:tc>
          <w:tcPr>
            <w:tcW w:w="296" w:type="pct"/>
            <w:tcBorders>
              <w:bottom w:val="single" w:color="auto" w:sz="12" w:space="0"/>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34" w:type="pct"/>
            <w:vMerge w:val="restar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施工期</w:t>
            </w:r>
          </w:p>
        </w:tc>
        <w:tc>
          <w:tcPr>
            <w:tcW w:w="742"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废气、扬尘</w:t>
            </w:r>
          </w:p>
        </w:tc>
        <w:tc>
          <w:tcPr>
            <w:tcW w:w="311"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11"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78"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22"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68"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276"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96" w:type="pct"/>
            <w:tcBorders>
              <w:top w:val="single" w:color="auto" w:sz="12" w:space="0"/>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4" w:type="pct"/>
            <w:vMerge w:val="continue"/>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生产、生活废水</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6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34" w:type="pct"/>
            <w:vMerge w:val="continue"/>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噪声</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6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34" w:type="pct"/>
            <w:vMerge w:val="continue"/>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固体废弃物</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6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34" w:type="pct"/>
            <w:vMerge w:val="continue"/>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土壤环境</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6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34" w:type="pct"/>
            <w:vMerge w:val="continue"/>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植被类型</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6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4" w:type="pct"/>
            <w:vMerge w:val="continue"/>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工程占地</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6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34" w:type="pct"/>
            <w:vMerge w:val="continue"/>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水土流失</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6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34" w:type="pct"/>
            <w:vMerge w:val="continue"/>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人群健康</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6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-1</w:t>
            </w: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4" w:type="pct"/>
            <w:vMerge w:val="restar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运营期</w:t>
            </w: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对汛期的水文情势</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26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4" w:type="pct"/>
            <w:vMerge w:val="continue"/>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社会经济</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26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kern w:val="0"/>
                <w:sz w:val="21"/>
                <w:szCs w:val="21"/>
              </w:rPr>
              <w:t>+2</w:t>
            </w: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4" w:type="pct"/>
            <w:vMerge w:val="continue"/>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废水</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6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4" w:type="pct"/>
            <w:vMerge w:val="continue"/>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固体废弃物</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68" w:type="pct"/>
            <w:tcBorders>
              <w:tl2br w:val="nil"/>
              <w:tr2bl w:val="nil"/>
            </w:tcBorders>
            <w:vAlign w:val="center"/>
          </w:tcPr>
          <w:p>
            <w:pPr>
              <w:pStyle w:val="61"/>
              <w:snapToGrid w:val="0"/>
              <w:spacing w:line="240" w:lineRule="atLeast"/>
              <w:ind w:firstLine="0" w:firstLineChars="0"/>
              <w:jc w:val="center"/>
              <w:rPr>
                <w:rFonts w:cs="Times New Roman"/>
                <w:b/>
                <w:bCs/>
                <w:color w:val="auto"/>
                <w:sz w:val="21"/>
                <w:szCs w:val="21"/>
              </w:rPr>
            </w:pP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34" w:type="pct"/>
            <w:vMerge w:val="continue"/>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74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景观</w:t>
            </w: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+3</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1"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+3</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14"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+3</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7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+3</w:t>
            </w:r>
          </w:p>
        </w:tc>
        <w:tc>
          <w:tcPr>
            <w:tcW w:w="30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322"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68"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c>
          <w:tcPr>
            <w:tcW w:w="27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r>
              <w:rPr>
                <w:rFonts w:cs="Times New Roman"/>
                <w:color w:val="auto"/>
                <w:sz w:val="21"/>
                <w:szCs w:val="21"/>
              </w:rPr>
              <w:t>+3</w:t>
            </w:r>
          </w:p>
        </w:tc>
        <w:tc>
          <w:tcPr>
            <w:tcW w:w="296" w:type="pct"/>
            <w:tcBorders>
              <w:tl2br w:val="nil"/>
              <w:tr2bl w:val="nil"/>
            </w:tcBorders>
            <w:vAlign w:val="center"/>
          </w:tcPr>
          <w:p>
            <w:pPr>
              <w:pStyle w:val="61"/>
              <w:snapToGrid w:val="0"/>
              <w:spacing w:line="240" w:lineRule="atLeast"/>
              <w:ind w:firstLine="0" w:firstLineChars="0"/>
              <w:jc w:val="center"/>
              <w:rPr>
                <w:rFonts w:cs="Times New Roman"/>
                <w:color w:val="auto"/>
                <w:sz w:val="21"/>
                <w:szCs w:val="21"/>
              </w:rPr>
            </w:pPr>
          </w:p>
        </w:tc>
      </w:tr>
    </w:tbl>
    <w:p>
      <w:pPr>
        <w:spacing w:line="320" w:lineRule="exact"/>
        <w:ind w:firstLine="210" w:firstLineChars="100"/>
        <w:rPr>
          <w:rFonts w:cs="Times New Roman"/>
          <w:color w:val="auto"/>
          <w:kern w:val="0"/>
          <w:sz w:val="21"/>
          <w:szCs w:val="21"/>
        </w:rPr>
      </w:pPr>
      <w:r>
        <w:rPr>
          <w:rFonts w:cs="Times New Roman"/>
          <w:color w:val="auto"/>
          <w:kern w:val="0"/>
          <w:sz w:val="21"/>
          <w:szCs w:val="21"/>
        </w:rPr>
        <w:t>注：1、表中“+”表示正效益，“-”表示负效益；</w:t>
      </w:r>
    </w:p>
    <w:p>
      <w:pPr>
        <w:spacing w:line="320" w:lineRule="exact"/>
        <w:ind w:firstLine="630" w:firstLineChars="300"/>
        <w:rPr>
          <w:rFonts w:cs="Times New Roman"/>
          <w:color w:val="auto"/>
          <w:kern w:val="0"/>
          <w:sz w:val="21"/>
          <w:szCs w:val="21"/>
        </w:rPr>
      </w:pPr>
      <w:r>
        <w:rPr>
          <w:rFonts w:cs="Times New Roman"/>
          <w:color w:val="auto"/>
          <w:kern w:val="0"/>
          <w:sz w:val="21"/>
          <w:szCs w:val="21"/>
        </w:rPr>
        <w:t>2、表中数字表示影响的相对程度，“1”表示影响较小，“2”表示影响中等，“3”表示影响较大；</w:t>
      </w:r>
    </w:p>
    <w:p>
      <w:pPr>
        <w:pStyle w:val="61"/>
        <w:ind w:firstLine="480"/>
        <w:rPr>
          <w:rFonts w:cs="Times New Roman"/>
          <w:color w:val="auto"/>
          <w:kern w:val="0"/>
        </w:rPr>
      </w:pPr>
      <w:r>
        <w:rPr>
          <w:rFonts w:cs="Times New Roman"/>
          <w:color w:val="auto"/>
          <w:kern w:val="0"/>
        </w:rPr>
        <w:t>由上表分析可知：</w:t>
      </w:r>
    </w:p>
    <w:p>
      <w:pPr>
        <w:pStyle w:val="61"/>
        <w:snapToGrid w:val="0"/>
        <w:ind w:firstLine="480"/>
        <w:rPr>
          <w:rFonts w:cs="Times New Roman"/>
          <w:color w:val="auto"/>
          <w:kern w:val="0"/>
        </w:rPr>
      </w:pPr>
      <w:r>
        <w:rPr>
          <w:rFonts w:cs="Times New Roman"/>
          <w:color w:val="auto"/>
          <w:kern w:val="0"/>
        </w:rPr>
        <w:t>①工程建设对社会、生态及自然环境均会产生较大影响，施工期以不利影响为主，运营期以有利影响为主；</w:t>
      </w:r>
    </w:p>
    <w:p>
      <w:pPr>
        <w:pStyle w:val="61"/>
        <w:snapToGrid w:val="0"/>
        <w:ind w:firstLine="480"/>
        <w:rPr>
          <w:rFonts w:cs="Times New Roman"/>
          <w:color w:val="auto"/>
          <w:kern w:val="0"/>
        </w:rPr>
      </w:pPr>
      <w:r>
        <w:rPr>
          <w:rFonts w:cs="Times New Roman"/>
          <w:color w:val="auto"/>
          <w:kern w:val="0"/>
        </w:rPr>
        <w:t>②工程建设施工期对环境的影响以短期不利影响为主；</w:t>
      </w:r>
    </w:p>
    <w:p>
      <w:pPr>
        <w:pStyle w:val="61"/>
        <w:snapToGrid w:val="0"/>
        <w:ind w:firstLine="480"/>
        <w:rPr>
          <w:rFonts w:cs="Times New Roman"/>
          <w:color w:val="auto"/>
          <w:kern w:val="0"/>
        </w:rPr>
      </w:pPr>
      <w:r>
        <w:rPr>
          <w:rFonts w:cs="Times New Roman"/>
          <w:color w:val="auto"/>
          <w:kern w:val="0"/>
        </w:rPr>
        <w:t>③工程运营期对环境的影响以长期有利影响为主，其中对社会经济发展、城市发展、保障居民健康、城市生态景观、水环境质量和水生生态环境均产生较大的有利影响；</w:t>
      </w:r>
    </w:p>
    <w:p>
      <w:pPr>
        <w:snapToGrid w:val="0"/>
        <w:ind w:firstLine="480"/>
        <w:rPr>
          <w:rFonts w:cs="Times New Roman"/>
          <w:color w:val="auto"/>
          <w:kern w:val="0"/>
        </w:rPr>
      </w:pPr>
      <w:r>
        <w:rPr>
          <w:rFonts w:cs="Times New Roman"/>
          <w:color w:val="auto"/>
          <w:kern w:val="0"/>
        </w:rPr>
        <w:t>各类临时堆料场的环境影响以短期不利影响为主。</w:t>
      </w:r>
    </w:p>
    <w:p>
      <w:pPr>
        <w:pStyle w:val="4"/>
        <w:numPr>
          <w:ilvl w:val="2"/>
          <w:numId w:val="0"/>
        </w:numPr>
        <w:adjustRightInd w:val="0"/>
        <w:snapToGrid w:val="0"/>
        <w:ind w:firstLine="480" w:firstLineChars="200"/>
        <w:rPr>
          <w:rFonts w:cs="Times New Roman"/>
          <w:color w:val="auto"/>
        </w:rPr>
      </w:pPr>
      <w:r>
        <w:rPr>
          <w:rFonts w:cs="Times New Roman"/>
          <w:color w:val="auto"/>
        </w:rPr>
        <w:t>2.3.2评价因子筛选</w:t>
      </w:r>
    </w:p>
    <w:p>
      <w:pPr>
        <w:spacing w:line="440" w:lineRule="exact"/>
        <w:ind w:firstLine="480"/>
        <w:rPr>
          <w:rFonts w:cs="Times New Roman"/>
          <w:color w:val="auto"/>
        </w:rPr>
      </w:pPr>
      <w:r>
        <w:rPr>
          <w:rFonts w:cs="Times New Roman"/>
          <w:color w:val="auto"/>
        </w:rPr>
        <w:t>根据环境影响要素识别结果，结合建设项目工程特征、排污种类、排污去向及周围地区环境质量概况，确定本次评价因子包括污染源评价因子、环境质量评价因子和影响分析因子，评价因子见表2.3-2。</w:t>
      </w:r>
    </w:p>
    <w:p>
      <w:pPr>
        <w:snapToGrid w:val="0"/>
        <w:spacing w:before="200" w:beforeLines="50" w:line="240" w:lineRule="auto"/>
        <w:ind w:firstLine="482"/>
        <w:jc w:val="center"/>
        <w:rPr>
          <w:rFonts w:cs="Times New Roman" w:eastAsiaTheme="minorEastAsia"/>
          <w:b/>
          <w:color w:val="auto"/>
        </w:rPr>
      </w:pPr>
      <w:r>
        <w:rPr>
          <w:rFonts w:cs="Times New Roman" w:eastAsiaTheme="minorEastAsia"/>
          <w:b/>
          <w:color w:val="auto"/>
        </w:rPr>
        <w:t>表2.3-2  项目评价因子一览表</w:t>
      </w:r>
    </w:p>
    <w:tbl>
      <w:tblPr>
        <w:tblStyle w:val="188"/>
        <w:tblW w:w="9779" w:type="dxa"/>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4962"/>
        <w:gridCol w:w="368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8" w:hRule="atLeast"/>
          <w:tblHeader/>
        </w:trPr>
        <w:tc>
          <w:tcPr>
            <w:tcW w:w="1132" w:type="dxa"/>
            <w:tcBorders>
              <w:top w:val="single" w:color="000000" w:sz="12" w:space="0"/>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14:textOutline w14:w="3797" w14:cap="sq" w14:cmpd="sng" w14:algn="ctr">
                  <w14:solidFill>
                    <w14:srgbClr w14:val="000000"/>
                  </w14:solidFill>
                  <w14:prstDash w14:val="solid"/>
                  <w14:bevel/>
                </w14:textOutline>
              </w:rPr>
              <w:t>环境要素</w:t>
            </w:r>
          </w:p>
        </w:tc>
        <w:tc>
          <w:tcPr>
            <w:tcW w:w="4962" w:type="dxa"/>
            <w:tcBorders>
              <w:top w:val="single" w:color="000000" w:sz="12" w:space="0"/>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14:textOutline w14:w="3797" w14:cap="sq" w14:cmpd="sng" w14:algn="ctr">
                  <w14:solidFill>
                    <w14:srgbClr w14:val="000000"/>
                  </w14:solidFill>
                  <w14:prstDash w14:val="solid"/>
                  <w14:bevel/>
                </w14:textOutline>
              </w:rPr>
              <w:t>现状评价因子</w:t>
            </w:r>
          </w:p>
        </w:tc>
        <w:tc>
          <w:tcPr>
            <w:tcW w:w="3685" w:type="dxa"/>
            <w:tcBorders>
              <w:top w:val="single" w:color="000000" w:sz="12" w:space="0"/>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14:textOutline w14:w="3797" w14:cap="sq" w14:cmpd="sng" w14:algn="ctr">
                  <w14:solidFill>
                    <w14:srgbClr w14:val="000000"/>
                  </w14:solidFill>
                  <w14:prstDash w14:val="solid"/>
                  <w14:bevel/>
                </w14:textOutline>
              </w:rPr>
              <w:t>影响评价因子</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32" w:type="dxa"/>
            <w:tcBorders>
              <w:top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大气环境</w:t>
            </w:r>
          </w:p>
        </w:tc>
        <w:tc>
          <w:tcPr>
            <w:tcW w:w="4962" w:type="dxa"/>
            <w:tcBorders>
              <w:top w:val="single" w:color="000000" w:sz="12" w:space="0"/>
            </w:tcBorders>
            <w:vAlign w:val="center"/>
          </w:tcPr>
          <w:p>
            <w:pPr>
              <w:widowControl/>
              <w:kinsoku w:val="0"/>
              <w:autoSpaceDE w:val="0"/>
              <w:autoSpaceDN w:val="0"/>
              <w:adjustRightInd w:val="0"/>
              <w:snapToGrid w:val="0"/>
              <w:spacing w:line="240" w:lineRule="auto"/>
              <w:ind w:left="113"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SO</w:t>
            </w:r>
            <w:r>
              <w:rPr>
                <w:rFonts w:cs="Times New Roman"/>
                <w:snapToGrid w:val="0"/>
                <w:color w:val="auto"/>
                <w:kern w:val="0"/>
                <w:sz w:val="10"/>
                <w:szCs w:val="10"/>
              </w:rPr>
              <w:t>2</w:t>
            </w:r>
            <w:r>
              <w:rPr>
                <w:rFonts w:cs="Times New Roman"/>
                <w:snapToGrid w:val="0"/>
                <w:color w:val="auto"/>
                <w:kern w:val="0"/>
                <w:sz w:val="20"/>
                <w:szCs w:val="20"/>
              </w:rPr>
              <w:t>、PM</w:t>
            </w:r>
            <w:r>
              <w:rPr>
                <w:rFonts w:cs="Times New Roman"/>
                <w:snapToGrid w:val="0"/>
                <w:color w:val="auto"/>
                <w:kern w:val="0"/>
                <w:sz w:val="10"/>
                <w:szCs w:val="10"/>
              </w:rPr>
              <w:t>10</w:t>
            </w:r>
            <w:r>
              <w:rPr>
                <w:rFonts w:cs="Times New Roman"/>
                <w:snapToGrid w:val="0"/>
                <w:color w:val="auto"/>
                <w:kern w:val="0"/>
                <w:sz w:val="20"/>
                <w:szCs w:val="20"/>
              </w:rPr>
              <w:t>、NO</w:t>
            </w:r>
            <w:r>
              <w:rPr>
                <w:rFonts w:cs="Times New Roman"/>
                <w:snapToGrid w:val="0"/>
                <w:color w:val="auto"/>
                <w:kern w:val="0"/>
                <w:sz w:val="10"/>
                <w:szCs w:val="10"/>
              </w:rPr>
              <w:t>2</w:t>
            </w:r>
            <w:r>
              <w:rPr>
                <w:rFonts w:cs="Times New Roman"/>
                <w:snapToGrid w:val="0"/>
                <w:color w:val="auto"/>
                <w:kern w:val="0"/>
                <w:sz w:val="20"/>
                <w:szCs w:val="20"/>
              </w:rPr>
              <w:t>、PM</w:t>
            </w:r>
            <w:r>
              <w:rPr>
                <w:rFonts w:cs="Times New Roman"/>
                <w:snapToGrid w:val="0"/>
                <w:color w:val="auto"/>
                <w:kern w:val="0"/>
                <w:sz w:val="10"/>
                <w:szCs w:val="10"/>
              </w:rPr>
              <w:t>2.5</w:t>
            </w:r>
            <w:r>
              <w:rPr>
                <w:rFonts w:cs="Times New Roman"/>
                <w:snapToGrid w:val="0"/>
                <w:color w:val="auto"/>
                <w:kern w:val="0"/>
                <w:sz w:val="20"/>
                <w:szCs w:val="20"/>
              </w:rPr>
              <w:t>、CO、O</w:t>
            </w:r>
            <w:r>
              <w:rPr>
                <w:rFonts w:cs="Times New Roman"/>
                <w:snapToGrid w:val="0"/>
                <w:color w:val="auto"/>
                <w:kern w:val="0"/>
                <w:sz w:val="10"/>
                <w:szCs w:val="10"/>
              </w:rPr>
              <w:t>3</w:t>
            </w:r>
          </w:p>
        </w:tc>
        <w:tc>
          <w:tcPr>
            <w:tcW w:w="3685" w:type="dxa"/>
            <w:tcBorders>
              <w:top w:val="single" w:color="000000" w:sz="12" w:space="0"/>
            </w:tcBorders>
            <w:vAlign w:val="center"/>
          </w:tcPr>
          <w:p>
            <w:pPr>
              <w:widowControl/>
              <w:kinsoku w:val="0"/>
              <w:autoSpaceDE w:val="0"/>
              <w:autoSpaceDN w:val="0"/>
              <w:adjustRightInd w:val="0"/>
              <w:snapToGrid w:val="0"/>
              <w:spacing w:line="240" w:lineRule="auto"/>
              <w:ind w:left="108"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32" w:type="dxa"/>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地表水环境</w:t>
            </w:r>
          </w:p>
        </w:tc>
        <w:tc>
          <w:tcPr>
            <w:tcW w:w="4962" w:type="dxa"/>
            <w:vAlign w:val="center"/>
          </w:tcPr>
          <w:p>
            <w:pPr>
              <w:widowControl/>
              <w:kinsoku w:val="0"/>
              <w:autoSpaceDE w:val="0"/>
              <w:autoSpaceDN w:val="0"/>
              <w:adjustRightInd w:val="0"/>
              <w:snapToGrid w:val="0"/>
              <w:spacing w:line="240" w:lineRule="auto"/>
              <w:ind w:left="110"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pH、COD、BOD</w:t>
            </w:r>
            <w:r>
              <w:rPr>
                <w:rFonts w:cs="Times New Roman"/>
                <w:snapToGrid w:val="0"/>
                <w:color w:val="auto"/>
                <w:kern w:val="0"/>
                <w:sz w:val="10"/>
                <w:szCs w:val="10"/>
              </w:rPr>
              <w:t>5</w:t>
            </w:r>
            <w:r>
              <w:rPr>
                <w:rFonts w:cs="Times New Roman"/>
                <w:snapToGrid w:val="0"/>
                <w:color w:val="auto"/>
                <w:kern w:val="0"/>
                <w:sz w:val="20"/>
                <w:szCs w:val="20"/>
              </w:rPr>
              <w:t>、氨氮、总磷、石油类</w:t>
            </w:r>
          </w:p>
        </w:tc>
        <w:tc>
          <w:tcPr>
            <w:tcW w:w="3685" w:type="dxa"/>
            <w:vAlign w:val="center"/>
          </w:tcPr>
          <w:p>
            <w:pPr>
              <w:widowControl/>
              <w:kinsoku w:val="0"/>
              <w:autoSpaceDE w:val="0"/>
              <w:autoSpaceDN w:val="0"/>
              <w:adjustRightInd w:val="0"/>
              <w:snapToGrid w:val="0"/>
              <w:spacing w:line="240" w:lineRule="auto"/>
              <w:ind w:left="108"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NH</w:t>
            </w:r>
            <w:r>
              <w:rPr>
                <w:rFonts w:cs="Times New Roman"/>
                <w:snapToGrid w:val="0"/>
                <w:color w:val="auto"/>
                <w:kern w:val="0"/>
                <w:sz w:val="10"/>
                <w:szCs w:val="10"/>
              </w:rPr>
              <w:t>3</w:t>
            </w:r>
            <w:r>
              <w:rPr>
                <w:rFonts w:cs="Times New Roman"/>
                <w:snapToGrid w:val="0"/>
                <w:color w:val="auto"/>
                <w:kern w:val="0"/>
                <w:sz w:val="20"/>
                <w:szCs w:val="20"/>
              </w:rPr>
              <w:t>-N、TP、SS</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132" w:type="dxa"/>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地下水</w:t>
            </w:r>
          </w:p>
        </w:tc>
        <w:tc>
          <w:tcPr>
            <w:tcW w:w="4962" w:type="dxa"/>
            <w:vAlign w:val="center"/>
          </w:tcPr>
          <w:p>
            <w:pPr>
              <w:widowControl/>
              <w:kinsoku w:val="0"/>
              <w:autoSpaceDE w:val="0"/>
              <w:autoSpaceDN w:val="0"/>
              <w:adjustRightInd w:val="0"/>
              <w:snapToGrid w:val="0"/>
              <w:spacing w:line="240" w:lineRule="auto"/>
              <w:ind w:left="110" w:right="142"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pH、氨氮、硝酸盐、亚硝酸盐、挥发性酚类、氰化物、砷、汞、铬（六价）、总硬度、铅、氟、镉、铁、锰、溶解性总固体、高锰酸盐指数、硫酸盐、氯化物、总大肠菌群、细菌总数</w:t>
            </w:r>
          </w:p>
        </w:tc>
        <w:tc>
          <w:tcPr>
            <w:tcW w:w="3685" w:type="dxa"/>
            <w:vAlign w:val="center"/>
          </w:tcPr>
          <w:p>
            <w:pPr>
              <w:widowControl/>
              <w:kinsoku w:val="0"/>
              <w:autoSpaceDE w:val="0"/>
              <w:autoSpaceDN w:val="0"/>
              <w:adjustRightInd w:val="0"/>
              <w:snapToGrid w:val="0"/>
              <w:spacing w:line="240" w:lineRule="auto"/>
              <w:ind w:left="114"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32" w:type="dxa"/>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声环境</w:t>
            </w:r>
          </w:p>
        </w:tc>
        <w:tc>
          <w:tcPr>
            <w:tcW w:w="4962" w:type="dxa"/>
            <w:vAlign w:val="center"/>
          </w:tcPr>
          <w:p>
            <w:pPr>
              <w:widowControl/>
              <w:kinsoku w:val="0"/>
              <w:autoSpaceDE w:val="0"/>
              <w:autoSpaceDN w:val="0"/>
              <w:adjustRightInd w:val="0"/>
              <w:snapToGrid w:val="0"/>
              <w:spacing w:line="240" w:lineRule="auto"/>
              <w:ind w:left="113"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连续等效A声级</w:t>
            </w:r>
          </w:p>
        </w:tc>
        <w:tc>
          <w:tcPr>
            <w:tcW w:w="3685" w:type="dxa"/>
            <w:vAlign w:val="center"/>
          </w:tcPr>
          <w:p>
            <w:pPr>
              <w:widowControl/>
              <w:kinsoku w:val="0"/>
              <w:autoSpaceDE w:val="0"/>
              <w:autoSpaceDN w:val="0"/>
              <w:adjustRightInd w:val="0"/>
              <w:snapToGrid w:val="0"/>
              <w:spacing w:line="240" w:lineRule="auto"/>
              <w:ind w:left="115"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连续等效A声级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32" w:type="dxa"/>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生态环境</w:t>
            </w:r>
          </w:p>
        </w:tc>
        <w:tc>
          <w:tcPr>
            <w:tcW w:w="4962" w:type="dxa"/>
            <w:vAlign w:val="center"/>
          </w:tcPr>
          <w:p>
            <w:pPr>
              <w:widowControl/>
              <w:kinsoku w:val="0"/>
              <w:autoSpaceDE w:val="0"/>
              <w:autoSpaceDN w:val="0"/>
              <w:adjustRightInd w:val="0"/>
              <w:snapToGrid w:val="0"/>
              <w:spacing w:line="240" w:lineRule="auto"/>
              <w:ind w:left="115" w:right="35" w:hanging="2"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土地利用现状，生态系统分布，植被、动物分布类型，生态类型、鱼类鸟类分布及活动范围</w:t>
            </w:r>
          </w:p>
        </w:tc>
        <w:tc>
          <w:tcPr>
            <w:tcW w:w="3685" w:type="dxa"/>
            <w:vAlign w:val="center"/>
          </w:tcPr>
          <w:p>
            <w:pPr>
              <w:widowControl/>
              <w:kinsoku w:val="0"/>
              <w:autoSpaceDE w:val="0"/>
              <w:autoSpaceDN w:val="0"/>
              <w:adjustRightInd w:val="0"/>
              <w:snapToGrid w:val="0"/>
              <w:spacing w:line="240" w:lineRule="auto"/>
              <w:ind w:left="117" w:right="38" w:hanging="1"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用地类型变化，景观、生态功能，鱼类、鸟类觅食及迁徙</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32" w:type="dxa"/>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环境风险</w:t>
            </w:r>
          </w:p>
        </w:tc>
        <w:tc>
          <w:tcPr>
            <w:tcW w:w="4962" w:type="dxa"/>
            <w:vAlign w:val="center"/>
          </w:tcPr>
          <w:p>
            <w:pPr>
              <w:widowControl/>
              <w:kinsoku w:val="0"/>
              <w:autoSpaceDE w:val="0"/>
              <w:autoSpaceDN w:val="0"/>
              <w:adjustRightInd w:val="0"/>
              <w:snapToGrid w:val="0"/>
              <w:spacing w:line="240" w:lineRule="auto"/>
              <w:ind w:left="2281" w:firstLine="0" w:firstLineChars="0"/>
              <w:textAlignment w:val="baseline"/>
              <w:rPr>
                <w:rFonts w:cs="Times New Roman"/>
                <w:snapToGrid w:val="0"/>
                <w:color w:val="auto"/>
                <w:kern w:val="0"/>
                <w:sz w:val="20"/>
                <w:szCs w:val="20"/>
              </w:rPr>
            </w:pPr>
            <w:r>
              <w:rPr>
                <w:rFonts w:cs="Times New Roman"/>
                <w:snapToGrid w:val="0"/>
                <w:color w:val="auto"/>
                <w:kern w:val="0"/>
                <w:sz w:val="20"/>
                <w:szCs w:val="20"/>
              </w:rPr>
              <w:t>/</w:t>
            </w:r>
          </w:p>
        </w:tc>
        <w:tc>
          <w:tcPr>
            <w:tcW w:w="3685" w:type="dxa"/>
            <w:vAlign w:val="center"/>
          </w:tcPr>
          <w:p>
            <w:pPr>
              <w:widowControl/>
              <w:kinsoku w:val="0"/>
              <w:autoSpaceDE w:val="0"/>
              <w:autoSpaceDN w:val="0"/>
              <w:adjustRightInd w:val="0"/>
              <w:snapToGrid w:val="0"/>
              <w:spacing w:line="240" w:lineRule="auto"/>
              <w:ind w:left="115" w:firstLine="0" w:firstLineChars="0"/>
              <w:jc w:val="center"/>
              <w:textAlignment w:val="baseline"/>
              <w:rPr>
                <w:rFonts w:cs="Times New Roman"/>
                <w:snapToGrid w:val="0"/>
                <w:color w:val="auto"/>
                <w:kern w:val="0"/>
                <w:sz w:val="20"/>
                <w:szCs w:val="20"/>
              </w:rPr>
            </w:pPr>
            <w:r>
              <w:rPr>
                <w:rFonts w:cs="Times New Roman"/>
                <w:snapToGrid w:val="0"/>
                <w:color w:val="auto"/>
                <w:kern w:val="0"/>
                <w:sz w:val="20"/>
                <w:szCs w:val="20"/>
              </w:rPr>
              <w:t>/</w:t>
            </w:r>
          </w:p>
        </w:tc>
      </w:tr>
    </w:tbl>
    <w:p>
      <w:pPr>
        <w:pStyle w:val="3"/>
        <w:numPr>
          <w:ilvl w:val="1"/>
          <w:numId w:val="0"/>
        </w:numPr>
        <w:ind w:firstLine="560" w:firstLineChars="200"/>
        <w:rPr>
          <w:rFonts w:cs="Times New Roman"/>
          <w:b w:val="0"/>
          <w:color w:val="auto"/>
        </w:rPr>
      </w:pPr>
      <w:bookmarkStart w:id="13" w:name="_Toc142388364"/>
      <w:r>
        <w:rPr>
          <w:rFonts w:cs="Times New Roman"/>
          <w:b w:val="0"/>
          <w:color w:val="auto"/>
        </w:rPr>
        <w:t>2.4评价等级及评价范围</w:t>
      </w:r>
      <w:bookmarkEnd w:id="13"/>
    </w:p>
    <w:p>
      <w:pPr>
        <w:pStyle w:val="4"/>
        <w:numPr>
          <w:ilvl w:val="2"/>
          <w:numId w:val="0"/>
        </w:numPr>
        <w:adjustRightInd w:val="0"/>
        <w:snapToGrid w:val="0"/>
        <w:ind w:firstLine="480" w:firstLineChars="200"/>
        <w:rPr>
          <w:rFonts w:cs="Times New Roman"/>
          <w:color w:val="auto"/>
        </w:rPr>
      </w:pPr>
      <w:r>
        <w:rPr>
          <w:rFonts w:cs="Times New Roman"/>
          <w:color w:val="auto"/>
        </w:rPr>
        <w:t>2.4.1大气评价等级及范围</w:t>
      </w:r>
    </w:p>
    <w:p>
      <w:pPr>
        <w:pStyle w:val="20"/>
        <w:snapToGrid w:val="0"/>
        <w:ind w:firstLine="480"/>
        <w:jc w:val="both"/>
        <w:rPr>
          <w:rFonts w:cs="Times New Roman"/>
          <w:color w:val="auto"/>
          <w:sz w:val="24"/>
        </w:rPr>
      </w:pPr>
      <w:r>
        <w:rPr>
          <w:rFonts w:hint="eastAsia" w:cs="Times New Roman"/>
          <w:color w:val="auto"/>
          <w:sz w:val="24"/>
        </w:rPr>
        <w:t>本工程对环境空气的污染主要来自施工期的扬尘，另外还有施工机械、运输车辆排出的尾气污染物等。施工期由于施工强度较小，粉尘、废气和恶臭的排放主要为无组织排放，排放量有限，其影响区域为工程施工区及周边区域，影响是局部、暂时的。运行期</w:t>
      </w:r>
      <w:r>
        <w:rPr>
          <w:rFonts w:hint="eastAsia" w:cs="Times New Roman"/>
          <w:color w:val="auto"/>
          <w:sz w:val="24"/>
          <w:lang w:val="en-US" w:eastAsia="zh-CN"/>
        </w:rPr>
        <w:t>无</w:t>
      </w:r>
      <w:r>
        <w:rPr>
          <w:rFonts w:hint="eastAsia" w:cs="Times New Roman"/>
          <w:color w:val="auto"/>
          <w:sz w:val="24"/>
        </w:rPr>
        <w:t>大气污染源。</w:t>
      </w:r>
    </w:p>
    <w:p>
      <w:pPr>
        <w:pStyle w:val="20"/>
        <w:snapToGrid w:val="0"/>
        <w:ind w:firstLine="480"/>
        <w:jc w:val="both"/>
        <w:rPr>
          <w:color w:val="auto"/>
        </w:rPr>
      </w:pPr>
      <w:r>
        <w:rPr>
          <w:rFonts w:hint="eastAsia" w:cs="Times New Roman"/>
          <w:color w:val="auto"/>
          <w:sz w:val="24"/>
        </w:rPr>
        <w:t>根据《环境影响评价技术导则大气环境》（</w:t>
      </w:r>
      <w:r>
        <w:rPr>
          <w:rFonts w:cs="Times New Roman"/>
          <w:color w:val="auto"/>
          <w:sz w:val="24"/>
        </w:rPr>
        <w:t>HJ2.2-2018</w:t>
      </w:r>
      <w:r>
        <w:rPr>
          <w:rFonts w:hint="eastAsia" w:cs="Times New Roman"/>
          <w:color w:val="auto"/>
          <w:sz w:val="24"/>
        </w:rPr>
        <w:t>）第</w:t>
      </w:r>
      <w:r>
        <w:rPr>
          <w:rFonts w:cs="Times New Roman"/>
          <w:color w:val="auto"/>
          <w:sz w:val="24"/>
        </w:rPr>
        <w:t>5.3</w:t>
      </w:r>
      <w:r>
        <w:rPr>
          <w:rFonts w:hint="eastAsia" w:cs="Times New Roman"/>
          <w:color w:val="auto"/>
          <w:sz w:val="24"/>
        </w:rPr>
        <w:t>节</w:t>
      </w:r>
      <w:r>
        <w:rPr>
          <w:rFonts w:cs="Times New Roman"/>
          <w:color w:val="auto"/>
          <w:sz w:val="24"/>
        </w:rPr>
        <w:t>“</w:t>
      </w:r>
      <w:r>
        <w:rPr>
          <w:rFonts w:hint="eastAsia" w:cs="Times New Roman"/>
          <w:color w:val="auto"/>
          <w:sz w:val="24"/>
        </w:rPr>
        <w:t>评价等级判定</w:t>
      </w:r>
      <w:r>
        <w:rPr>
          <w:rFonts w:cs="Times New Roman"/>
          <w:color w:val="auto"/>
          <w:sz w:val="24"/>
        </w:rPr>
        <w:t>”</w:t>
      </w:r>
      <w:r>
        <w:rPr>
          <w:rFonts w:hint="eastAsia" w:cs="Times New Roman"/>
          <w:color w:val="auto"/>
          <w:sz w:val="24"/>
        </w:rPr>
        <w:t>要求，工程大气环境影响评价工作等级为三级。三级评价项目不需设置大气环境影响评价范围。</w:t>
      </w:r>
    </w:p>
    <w:p>
      <w:pPr>
        <w:pStyle w:val="4"/>
        <w:numPr>
          <w:ilvl w:val="2"/>
          <w:numId w:val="0"/>
        </w:numPr>
        <w:adjustRightInd w:val="0"/>
        <w:snapToGrid w:val="0"/>
        <w:ind w:firstLine="480" w:firstLineChars="200"/>
        <w:rPr>
          <w:rFonts w:cs="Times New Roman"/>
          <w:color w:val="auto"/>
        </w:rPr>
      </w:pPr>
      <w:r>
        <w:rPr>
          <w:rFonts w:cs="Times New Roman"/>
          <w:color w:val="auto"/>
        </w:rPr>
        <w:t>2.4.2地表水环境评价等级及范围</w:t>
      </w:r>
    </w:p>
    <w:p>
      <w:pPr>
        <w:pStyle w:val="20"/>
        <w:snapToGrid w:val="0"/>
        <w:ind w:firstLine="480"/>
        <w:jc w:val="both"/>
        <w:rPr>
          <w:rFonts w:cs="Times New Roman"/>
          <w:color w:val="auto"/>
          <w:sz w:val="24"/>
        </w:rPr>
      </w:pPr>
      <w:r>
        <w:rPr>
          <w:rFonts w:cs="Times New Roman"/>
          <w:color w:val="auto"/>
          <w:sz w:val="24"/>
        </w:rPr>
        <w:t>本项目施工过程中有工作人员生活废水、施工废水等废水产生，同时项目河道施工均可影响涉及水体的水文要素，因此本项目属于水污染影响与水文要素影响兼有的复合影响型。</w:t>
      </w:r>
    </w:p>
    <w:p>
      <w:pPr>
        <w:pStyle w:val="20"/>
        <w:snapToGrid w:val="0"/>
        <w:ind w:firstLine="482"/>
        <w:jc w:val="both"/>
        <w:rPr>
          <w:rFonts w:cs="Times New Roman"/>
          <w:b/>
          <w:bCs/>
          <w:color w:val="auto"/>
          <w:sz w:val="24"/>
        </w:rPr>
      </w:pPr>
      <w:r>
        <w:rPr>
          <w:rFonts w:cs="Times New Roman"/>
          <w:b/>
          <w:bCs/>
          <w:color w:val="auto"/>
          <w:sz w:val="24"/>
        </w:rPr>
        <w:t>1.按水污染影响型建设项目来判定</w:t>
      </w:r>
    </w:p>
    <w:p>
      <w:pPr>
        <w:pStyle w:val="20"/>
        <w:snapToGrid w:val="0"/>
        <w:ind w:firstLine="480"/>
        <w:jc w:val="both"/>
        <w:rPr>
          <w:rFonts w:cs="Times New Roman"/>
          <w:color w:val="auto"/>
          <w:sz w:val="24"/>
        </w:rPr>
      </w:pPr>
      <w:r>
        <w:rPr>
          <w:rFonts w:cs="Times New Roman"/>
          <w:color w:val="auto"/>
          <w:sz w:val="24"/>
        </w:rPr>
        <w:t>（1）项目施工期废水存在如下特点：施工人员均为附近居民，项目不设置集中的施工营房和食堂，施工人员住宿、餐饮主要依托附近居民住宅内现有的厕所或者化粪池收集处理，废水中主要污染物为COD、BOD</w:t>
      </w:r>
      <w:r>
        <w:rPr>
          <w:rFonts w:cs="Times New Roman"/>
          <w:color w:val="auto"/>
          <w:sz w:val="24"/>
          <w:vertAlign w:val="subscript"/>
        </w:rPr>
        <w:t>5</w:t>
      </w:r>
      <w:r>
        <w:rPr>
          <w:rFonts w:cs="Times New Roman"/>
          <w:color w:val="auto"/>
          <w:sz w:val="24"/>
        </w:rPr>
        <w:t>、氨氮、SS等，经处理后定期清运作为农肥或绿化灌溉，不外排。施工场地施工机械车辆维修养护和冲洗废水主要污染物为SS和石油类，经隔油池和沉淀池处理后回用于施工现场车辆冲洗，不外排。淤泥余水经絮凝沉淀处理后，用于周边洒水抑尘，不外排。基坑废水经沉淀处理后洒水降尘，不外排。</w:t>
      </w:r>
    </w:p>
    <w:p>
      <w:pPr>
        <w:pStyle w:val="20"/>
        <w:snapToGrid w:val="0"/>
        <w:ind w:firstLine="480"/>
        <w:jc w:val="both"/>
        <w:rPr>
          <w:rFonts w:cs="Times New Roman"/>
          <w:color w:val="auto"/>
          <w:sz w:val="24"/>
        </w:rPr>
      </w:pPr>
      <w:r>
        <w:rPr>
          <w:rFonts w:cs="Times New Roman"/>
          <w:color w:val="auto"/>
          <w:sz w:val="24"/>
        </w:rPr>
        <w:t>（2）运行期项目无废水产生。</w:t>
      </w:r>
    </w:p>
    <w:p>
      <w:pPr>
        <w:pStyle w:val="20"/>
        <w:snapToGrid w:val="0"/>
        <w:ind w:firstLine="480"/>
        <w:jc w:val="both"/>
        <w:rPr>
          <w:rFonts w:cs="Times New Roman"/>
          <w:color w:val="auto"/>
          <w:sz w:val="24"/>
        </w:rPr>
      </w:pPr>
      <w:r>
        <w:rPr>
          <w:rFonts w:cs="Times New Roman"/>
          <w:color w:val="auto"/>
          <w:sz w:val="24"/>
        </w:rPr>
        <w:t>根据《环境影响评价技术导则-地表水环境》(HJ2.3-2018)，水污染影响型建设项目地表水评价工作等级分级见表2.4-1。</w:t>
      </w:r>
    </w:p>
    <w:p>
      <w:pPr>
        <w:snapToGrid w:val="0"/>
        <w:spacing w:line="240" w:lineRule="auto"/>
        <w:ind w:firstLine="482"/>
        <w:jc w:val="center"/>
        <w:rPr>
          <w:rFonts w:cs="Times New Roman" w:eastAsiaTheme="minorEastAsia"/>
          <w:b/>
          <w:color w:val="auto"/>
        </w:rPr>
      </w:pPr>
      <w:r>
        <w:rPr>
          <w:rFonts w:cs="Times New Roman" w:eastAsiaTheme="minorEastAsia"/>
          <w:b/>
          <w:color w:val="auto"/>
        </w:rPr>
        <w:t>表2.4-1  水污染影响型建设项目评价等级判定</w:t>
      </w:r>
    </w:p>
    <w:tbl>
      <w:tblPr>
        <w:tblStyle w:val="188"/>
        <w:tblW w:w="836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698"/>
        <w:gridCol w:w="1427"/>
        <w:gridCol w:w="523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1698" w:type="dxa"/>
            <w:vMerge w:val="restart"/>
            <w:vAlign w:val="center"/>
          </w:tcPr>
          <w:p>
            <w:pPr>
              <w:widowControl/>
              <w:kinsoku w:val="0"/>
              <w:autoSpaceDE w:val="0"/>
              <w:autoSpaceDN w:val="0"/>
              <w:adjustRightInd w:val="0"/>
              <w:snapToGrid w:val="0"/>
              <w:spacing w:line="240" w:lineRule="auto"/>
              <w:ind w:left="435" w:firstLine="0" w:firstLineChars="0"/>
              <w:textAlignment w:val="baseline"/>
              <w:rPr>
                <w:rFonts w:cs="Times New Roman"/>
                <w:snapToGrid w:val="0"/>
                <w:color w:val="auto"/>
                <w:kern w:val="0"/>
                <w:sz w:val="21"/>
                <w:szCs w:val="21"/>
              </w:rPr>
            </w:pPr>
            <w:r>
              <w:rPr>
                <w:rFonts w:cs="Times New Roman"/>
                <w:snapToGrid w:val="0"/>
                <w:color w:val="auto"/>
                <w:spacing w:val="-1"/>
                <w:kern w:val="0"/>
                <w:sz w:val="21"/>
                <w:szCs w:val="21"/>
              </w:rPr>
              <w:t>评价等级</w:t>
            </w:r>
          </w:p>
        </w:tc>
        <w:tc>
          <w:tcPr>
            <w:tcW w:w="6666" w:type="dxa"/>
            <w:gridSpan w:val="2"/>
            <w:vAlign w:val="center"/>
          </w:tcPr>
          <w:p>
            <w:pPr>
              <w:widowControl/>
              <w:kinsoku w:val="0"/>
              <w:autoSpaceDE w:val="0"/>
              <w:autoSpaceDN w:val="0"/>
              <w:adjustRightInd w:val="0"/>
              <w:snapToGrid w:val="0"/>
              <w:spacing w:line="240" w:lineRule="auto"/>
              <w:ind w:left="3393" w:firstLine="0" w:firstLineChars="0"/>
              <w:textAlignment w:val="baseline"/>
              <w:rPr>
                <w:rFonts w:cs="Times New Roman"/>
                <w:snapToGrid w:val="0"/>
                <w:color w:val="auto"/>
                <w:kern w:val="0"/>
                <w:sz w:val="21"/>
                <w:szCs w:val="21"/>
              </w:rPr>
            </w:pPr>
            <w:r>
              <w:rPr>
                <w:rFonts w:cs="Times New Roman"/>
                <w:snapToGrid w:val="0"/>
                <w:color w:val="auto"/>
                <w:spacing w:val="-2"/>
                <w:kern w:val="0"/>
                <w:sz w:val="21"/>
                <w:szCs w:val="21"/>
              </w:rPr>
              <w:t>判</w:t>
            </w:r>
            <w:r>
              <w:rPr>
                <w:rFonts w:cs="Times New Roman"/>
                <w:snapToGrid w:val="0"/>
                <w:color w:val="auto"/>
                <w:spacing w:val="-1"/>
                <w:kern w:val="0"/>
                <w:sz w:val="21"/>
                <w:szCs w:val="21"/>
              </w:rPr>
              <w:t>定依据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1698" w:type="dxa"/>
            <w:vMerge w:val="continue"/>
            <w:tcBorders>
              <w:bottom w:val="single" w:color="000000" w:sz="12" w:space="0"/>
            </w:tcBorders>
            <w:vAlign w:val="center"/>
          </w:tcPr>
          <w:p>
            <w:pPr>
              <w:widowControl/>
              <w:kinsoku w:val="0"/>
              <w:autoSpaceDE w:val="0"/>
              <w:autoSpaceDN w:val="0"/>
              <w:adjustRightInd w:val="0"/>
              <w:snapToGrid w:val="0"/>
              <w:spacing w:line="240" w:lineRule="auto"/>
              <w:ind w:firstLine="0" w:firstLineChars="0"/>
              <w:textAlignment w:val="baseline"/>
              <w:rPr>
                <w:rFonts w:eastAsia="Arial" w:cs="Times New Roman"/>
                <w:snapToGrid w:val="0"/>
                <w:color w:val="auto"/>
                <w:kern w:val="0"/>
                <w:sz w:val="21"/>
                <w:szCs w:val="21"/>
              </w:rPr>
            </w:pPr>
          </w:p>
        </w:tc>
        <w:tc>
          <w:tcPr>
            <w:tcW w:w="1427" w:type="dxa"/>
            <w:tcBorders>
              <w:bottom w:val="single" w:color="000000" w:sz="12" w:space="0"/>
            </w:tcBorders>
            <w:vAlign w:val="center"/>
          </w:tcPr>
          <w:p>
            <w:pPr>
              <w:widowControl/>
              <w:kinsoku w:val="0"/>
              <w:autoSpaceDE w:val="0"/>
              <w:autoSpaceDN w:val="0"/>
              <w:adjustRightInd w:val="0"/>
              <w:snapToGrid w:val="0"/>
              <w:spacing w:line="240" w:lineRule="auto"/>
              <w:ind w:left="292" w:firstLine="0" w:firstLineChars="0"/>
              <w:textAlignment w:val="baseline"/>
              <w:rPr>
                <w:rFonts w:cs="Times New Roman"/>
                <w:snapToGrid w:val="0"/>
                <w:color w:val="auto"/>
                <w:kern w:val="0"/>
                <w:sz w:val="21"/>
                <w:szCs w:val="21"/>
              </w:rPr>
            </w:pPr>
            <w:r>
              <w:rPr>
                <w:rFonts w:cs="Times New Roman"/>
                <w:snapToGrid w:val="0"/>
                <w:color w:val="auto"/>
                <w:spacing w:val="-2"/>
                <w:kern w:val="0"/>
                <w:sz w:val="21"/>
                <w:szCs w:val="21"/>
              </w:rPr>
              <w:t>排</w:t>
            </w:r>
            <w:r>
              <w:rPr>
                <w:rFonts w:cs="Times New Roman"/>
                <w:snapToGrid w:val="0"/>
                <w:color w:val="auto"/>
                <w:spacing w:val="-1"/>
                <w:kern w:val="0"/>
                <w:sz w:val="21"/>
                <w:szCs w:val="21"/>
              </w:rPr>
              <w:t>放方式</w:t>
            </w:r>
          </w:p>
        </w:tc>
        <w:tc>
          <w:tcPr>
            <w:tcW w:w="5239" w:type="dxa"/>
            <w:tcBorders>
              <w:bottom w:val="single" w:color="000000" w:sz="12" w:space="0"/>
            </w:tcBorders>
            <w:vAlign w:val="center"/>
          </w:tcPr>
          <w:p>
            <w:pPr>
              <w:widowControl/>
              <w:kinsoku w:val="0"/>
              <w:autoSpaceDE w:val="0"/>
              <w:autoSpaceDN w:val="0"/>
              <w:adjustRightInd w:val="0"/>
              <w:snapToGrid w:val="0"/>
              <w:spacing w:line="240" w:lineRule="auto"/>
              <w:ind w:left="520" w:firstLine="0" w:firstLineChars="0"/>
              <w:textAlignment w:val="baseline"/>
              <w:rPr>
                <w:rFonts w:cs="Times New Roman"/>
                <w:snapToGrid w:val="0"/>
                <w:color w:val="auto"/>
                <w:kern w:val="0"/>
                <w:sz w:val="21"/>
                <w:szCs w:val="21"/>
              </w:rPr>
            </w:pPr>
            <w:r>
              <w:rPr>
                <w:rFonts w:cs="Times New Roman"/>
                <w:snapToGrid w:val="0"/>
                <w:color w:val="auto"/>
                <w:spacing w:val="-1"/>
                <w:kern w:val="0"/>
                <w:position w:val="1"/>
                <w:sz w:val="21"/>
                <w:szCs w:val="21"/>
              </w:rPr>
              <w:t>废水排放量</w:t>
            </w:r>
            <w:r>
              <w:rPr>
                <w:rFonts w:eastAsia="Times New Roman" w:cs="Times New Roman"/>
                <w:snapToGrid w:val="0"/>
                <w:color w:val="auto"/>
                <w:kern w:val="0"/>
                <w:position w:val="1"/>
                <w:sz w:val="21"/>
                <w:szCs w:val="21"/>
              </w:rPr>
              <w:t>Q</w:t>
            </w:r>
            <w:r>
              <w:rPr>
                <w:rFonts w:eastAsia="Times New Roman" w:cs="Times New Roman"/>
                <w:snapToGrid w:val="0"/>
                <w:color w:val="auto"/>
                <w:spacing w:val="-1"/>
                <w:kern w:val="0"/>
                <w:position w:val="1"/>
                <w:sz w:val="21"/>
                <w:szCs w:val="21"/>
              </w:rPr>
              <w:t>/</w:t>
            </w:r>
            <w:r>
              <w:rPr>
                <w:rFonts w:cs="Times New Roman"/>
                <w:snapToGrid w:val="0"/>
                <w:color w:val="auto"/>
                <w:kern w:val="0"/>
                <w:position w:val="1"/>
                <w:sz w:val="21"/>
                <w:szCs w:val="21"/>
              </w:rPr>
              <w:t>(</w:t>
            </w:r>
            <w:r>
              <w:rPr>
                <w:rFonts w:eastAsia="Times New Roman" w:cs="Times New Roman"/>
                <w:snapToGrid w:val="0"/>
                <w:color w:val="auto"/>
                <w:kern w:val="0"/>
                <w:position w:val="1"/>
                <w:sz w:val="21"/>
                <w:szCs w:val="21"/>
              </w:rPr>
              <w:t>m</w:t>
            </w:r>
            <w:r>
              <w:rPr>
                <w:rFonts w:eastAsia="Times New Roman" w:cs="Times New Roman"/>
                <w:snapToGrid w:val="0"/>
                <w:color w:val="auto"/>
                <w:kern w:val="0"/>
                <w:position w:val="10"/>
                <w:sz w:val="13"/>
                <w:szCs w:val="13"/>
              </w:rPr>
              <w:t>3</w:t>
            </w:r>
            <w:r>
              <w:rPr>
                <w:rFonts w:eastAsia="Times New Roman" w:cs="Times New Roman"/>
                <w:snapToGrid w:val="0"/>
                <w:color w:val="auto"/>
                <w:kern w:val="0"/>
                <w:position w:val="1"/>
                <w:sz w:val="21"/>
                <w:szCs w:val="21"/>
              </w:rPr>
              <w:t>/d</w:t>
            </w:r>
            <w:r>
              <w:rPr>
                <w:rFonts w:cs="Times New Roman"/>
                <w:snapToGrid w:val="0"/>
                <w:color w:val="auto"/>
                <w:kern w:val="0"/>
                <w:position w:val="1"/>
                <w:sz w:val="21"/>
                <w:szCs w:val="21"/>
              </w:rPr>
              <w:t>)；水污染物当量数</w:t>
            </w:r>
            <w:r>
              <w:rPr>
                <w:rFonts w:eastAsia="Times New Roman" w:cs="Times New Roman"/>
                <w:snapToGrid w:val="0"/>
                <w:color w:val="auto"/>
                <w:kern w:val="0"/>
                <w:position w:val="1"/>
                <w:sz w:val="21"/>
                <w:szCs w:val="21"/>
              </w:rPr>
              <w:t>W/</w:t>
            </w:r>
            <w:r>
              <w:rPr>
                <w:rFonts w:cs="Times New Roman"/>
                <w:snapToGrid w:val="0"/>
                <w:color w:val="auto"/>
                <w:kern w:val="0"/>
                <w:position w:val="1"/>
                <w:sz w:val="21"/>
                <w:szCs w:val="21"/>
              </w:rPr>
              <w:t>(无量纲)</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698"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left="650" w:firstLine="0" w:firstLineChars="0"/>
              <w:textAlignment w:val="baseline"/>
              <w:rPr>
                <w:rFonts w:cs="Times New Roman"/>
                <w:snapToGrid w:val="0"/>
                <w:color w:val="auto"/>
                <w:kern w:val="0"/>
                <w:sz w:val="21"/>
                <w:szCs w:val="21"/>
              </w:rPr>
            </w:pPr>
            <w:r>
              <w:rPr>
                <w:rFonts w:cs="Times New Roman"/>
                <w:snapToGrid w:val="0"/>
                <w:color w:val="auto"/>
                <w:spacing w:val="-3"/>
                <w:kern w:val="0"/>
                <w:sz w:val="21"/>
                <w:szCs w:val="21"/>
              </w:rPr>
              <w:t>一</w:t>
            </w:r>
            <w:r>
              <w:rPr>
                <w:rFonts w:cs="Times New Roman"/>
                <w:snapToGrid w:val="0"/>
                <w:color w:val="auto"/>
                <w:spacing w:val="-2"/>
                <w:kern w:val="0"/>
                <w:sz w:val="21"/>
                <w:szCs w:val="21"/>
              </w:rPr>
              <w:t>级</w:t>
            </w:r>
          </w:p>
        </w:tc>
        <w:tc>
          <w:tcPr>
            <w:tcW w:w="1427"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left="294" w:firstLine="0" w:firstLineChars="0"/>
              <w:textAlignment w:val="baseline"/>
              <w:rPr>
                <w:rFonts w:cs="Times New Roman"/>
                <w:snapToGrid w:val="0"/>
                <w:color w:val="auto"/>
                <w:kern w:val="0"/>
                <w:sz w:val="21"/>
                <w:szCs w:val="21"/>
              </w:rPr>
            </w:pPr>
            <w:r>
              <w:rPr>
                <w:rFonts w:cs="Times New Roman"/>
                <w:snapToGrid w:val="0"/>
                <w:color w:val="auto"/>
                <w:spacing w:val="-2"/>
                <w:kern w:val="0"/>
                <w:sz w:val="21"/>
                <w:szCs w:val="21"/>
              </w:rPr>
              <w:t>直接排</w:t>
            </w:r>
            <w:r>
              <w:rPr>
                <w:rFonts w:cs="Times New Roman"/>
                <w:snapToGrid w:val="0"/>
                <w:color w:val="auto"/>
                <w:spacing w:val="-1"/>
                <w:kern w:val="0"/>
                <w:sz w:val="21"/>
                <w:szCs w:val="21"/>
              </w:rPr>
              <w:t>放</w:t>
            </w:r>
          </w:p>
        </w:tc>
        <w:tc>
          <w:tcPr>
            <w:tcW w:w="5239"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left="1984" w:firstLine="0" w:firstLineChars="0"/>
              <w:textAlignment w:val="baseline"/>
              <w:rPr>
                <w:rFonts w:eastAsia="Times New Roman" w:cs="Times New Roman"/>
                <w:snapToGrid w:val="0"/>
                <w:color w:val="auto"/>
                <w:kern w:val="0"/>
                <w:sz w:val="21"/>
                <w:szCs w:val="21"/>
              </w:rPr>
            </w:pPr>
            <w:r>
              <w:rPr>
                <w:rFonts w:eastAsia="Times New Roman" w:cs="Times New Roman"/>
                <w:snapToGrid w:val="0"/>
                <w:color w:val="auto"/>
                <w:spacing w:val="-3"/>
                <w:kern w:val="0"/>
                <w:sz w:val="21"/>
                <w:szCs w:val="21"/>
              </w:rPr>
              <w:t>Q</w:t>
            </w:r>
            <w:r>
              <w:rPr>
                <w:rFonts w:cs="Times New Roman"/>
                <w:snapToGrid w:val="0"/>
                <w:color w:val="auto"/>
                <w:spacing w:val="-5"/>
                <w:kern w:val="0"/>
                <w:sz w:val="21"/>
                <w:szCs w:val="21"/>
              </w:rPr>
              <w:t>≥</w:t>
            </w:r>
            <w:r>
              <w:rPr>
                <w:rFonts w:eastAsia="Times New Roman" w:cs="Times New Roman"/>
                <w:snapToGrid w:val="0"/>
                <w:color w:val="auto"/>
                <w:spacing w:val="-3"/>
                <w:kern w:val="0"/>
                <w:sz w:val="21"/>
                <w:szCs w:val="21"/>
              </w:rPr>
              <w:t>20000</w:t>
            </w:r>
            <w:r>
              <w:rPr>
                <w:rFonts w:cs="Times New Roman"/>
                <w:snapToGrid w:val="0"/>
                <w:color w:val="auto"/>
                <w:spacing w:val="-3"/>
                <w:kern w:val="0"/>
                <w:sz w:val="21"/>
                <w:szCs w:val="21"/>
              </w:rPr>
              <w:t>或</w:t>
            </w:r>
            <w:r>
              <w:rPr>
                <w:rFonts w:eastAsia="Times New Roman" w:cs="Times New Roman"/>
                <w:snapToGrid w:val="0"/>
                <w:color w:val="auto"/>
                <w:spacing w:val="-3"/>
                <w:kern w:val="0"/>
                <w:sz w:val="21"/>
                <w:szCs w:val="21"/>
              </w:rPr>
              <w:t>W</w:t>
            </w:r>
            <w:r>
              <w:rPr>
                <w:rFonts w:cs="Times New Roman"/>
                <w:snapToGrid w:val="0"/>
                <w:color w:val="auto"/>
                <w:spacing w:val="-3"/>
                <w:kern w:val="0"/>
                <w:sz w:val="21"/>
                <w:szCs w:val="21"/>
              </w:rPr>
              <w:t>≥</w:t>
            </w:r>
            <w:r>
              <w:rPr>
                <w:rFonts w:eastAsia="Times New Roman" w:cs="Times New Roman"/>
                <w:snapToGrid w:val="0"/>
                <w:color w:val="auto"/>
                <w:spacing w:val="-3"/>
                <w:kern w:val="0"/>
                <w:sz w:val="21"/>
                <w:szCs w:val="21"/>
              </w:rPr>
              <w:t>600000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1698" w:type="dxa"/>
            <w:tcBorders>
              <w:tl2br w:val="nil"/>
              <w:tr2bl w:val="nil"/>
            </w:tcBorders>
            <w:vAlign w:val="center"/>
          </w:tcPr>
          <w:p>
            <w:pPr>
              <w:widowControl/>
              <w:kinsoku w:val="0"/>
              <w:autoSpaceDE w:val="0"/>
              <w:autoSpaceDN w:val="0"/>
              <w:adjustRightInd w:val="0"/>
              <w:snapToGrid w:val="0"/>
              <w:spacing w:line="240" w:lineRule="auto"/>
              <w:ind w:left="650" w:firstLine="0" w:firstLineChars="0"/>
              <w:textAlignment w:val="baseline"/>
              <w:rPr>
                <w:rFonts w:cs="Times New Roman"/>
                <w:snapToGrid w:val="0"/>
                <w:color w:val="auto"/>
                <w:kern w:val="0"/>
                <w:sz w:val="21"/>
                <w:szCs w:val="21"/>
              </w:rPr>
            </w:pPr>
            <w:r>
              <w:rPr>
                <w:rFonts w:cs="Times New Roman"/>
                <w:snapToGrid w:val="0"/>
                <w:color w:val="auto"/>
                <w:spacing w:val="-3"/>
                <w:kern w:val="0"/>
                <w:sz w:val="21"/>
                <w:szCs w:val="21"/>
              </w:rPr>
              <w:t>二</w:t>
            </w:r>
            <w:r>
              <w:rPr>
                <w:rFonts w:cs="Times New Roman"/>
                <w:snapToGrid w:val="0"/>
                <w:color w:val="auto"/>
                <w:spacing w:val="-2"/>
                <w:kern w:val="0"/>
                <w:sz w:val="21"/>
                <w:szCs w:val="21"/>
              </w:rPr>
              <w:t>级</w:t>
            </w:r>
          </w:p>
        </w:tc>
        <w:tc>
          <w:tcPr>
            <w:tcW w:w="1427" w:type="dxa"/>
            <w:tcBorders>
              <w:tl2br w:val="nil"/>
              <w:tr2bl w:val="nil"/>
            </w:tcBorders>
            <w:vAlign w:val="center"/>
          </w:tcPr>
          <w:p>
            <w:pPr>
              <w:widowControl/>
              <w:kinsoku w:val="0"/>
              <w:autoSpaceDE w:val="0"/>
              <w:autoSpaceDN w:val="0"/>
              <w:adjustRightInd w:val="0"/>
              <w:snapToGrid w:val="0"/>
              <w:spacing w:line="240" w:lineRule="auto"/>
              <w:ind w:left="294" w:firstLine="0" w:firstLineChars="0"/>
              <w:textAlignment w:val="baseline"/>
              <w:rPr>
                <w:rFonts w:cs="Times New Roman"/>
                <w:snapToGrid w:val="0"/>
                <w:color w:val="auto"/>
                <w:kern w:val="0"/>
                <w:sz w:val="21"/>
                <w:szCs w:val="21"/>
              </w:rPr>
            </w:pPr>
            <w:r>
              <w:rPr>
                <w:rFonts w:cs="Times New Roman"/>
                <w:snapToGrid w:val="0"/>
                <w:color w:val="auto"/>
                <w:spacing w:val="-2"/>
                <w:kern w:val="0"/>
                <w:sz w:val="21"/>
                <w:szCs w:val="21"/>
              </w:rPr>
              <w:t>直接排</w:t>
            </w:r>
            <w:r>
              <w:rPr>
                <w:rFonts w:cs="Times New Roman"/>
                <w:snapToGrid w:val="0"/>
                <w:color w:val="auto"/>
                <w:spacing w:val="-1"/>
                <w:kern w:val="0"/>
                <w:sz w:val="21"/>
                <w:szCs w:val="21"/>
              </w:rPr>
              <w:t>放</w:t>
            </w:r>
          </w:p>
        </w:tc>
        <w:tc>
          <w:tcPr>
            <w:tcW w:w="5239" w:type="dxa"/>
            <w:tcBorders>
              <w:tl2br w:val="nil"/>
              <w:tr2bl w:val="nil"/>
            </w:tcBorders>
            <w:vAlign w:val="center"/>
          </w:tcPr>
          <w:p>
            <w:pPr>
              <w:widowControl/>
              <w:kinsoku w:val="0"/>
              <w:autoSpaceDE w:val="0"/>
              <w:autoSpaceDN w:val="0"/>
              <w:adjustRightInd w:val="0"/>
              <w:snapToGrid w:val="0"/>
              <w:spacing w:line="240" w:lineRule="auto"/>
              <w:ind w:left="2895" w:firstLine="0" w:firstLineChars="0"/>
              <w:textAlignment w:val="baseline"/>
              <w:rPr>
                <w:rFonts w:cs="Times New Roman"/>
                <w:snapToGrid w:val="0"/>
                <w:color w:val="auto"/>
                <w:kern w:val="0"/>
                <w:sz w:val="21"/>
                <w:szCs w:val="21"/>
              </w:rPr>
            </w:pPr>
            <w:r>
              <w:rPr>
                <w:rFonts w:cs="Times New Roman"/>
                <w:snapToGrid w:val="0"/>
                <w:color w:val="auto"/>
                <w:spacing w:val="-2"/>
                <w:kern w:val="0"/>
                <w:sz w:val="21"/>
                <w:szCs w:val="21"/>
              </w:rPr>
              <w:t>其他</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98" w:type="dxa"/>
            <w:tcBorders>
              <w:tl2br w:val="nil"/>
              <w:tr2bl w:val="nil"/>
            </w:tcBorders>
            <w:vAlign w:val="center"/>
          </w:tcPr>
          <w:p>
            <w:pPr>
              <w:widowControl/>
              <w:kinsoku w:val="0"/>
              <w:autoSpaceDE w:val="0"/>
              <w:autoSpaceDN w:val="0"/>
              <w:adjustRightInd w:val="0"/>
              <w:snapToGrid w:val="0"/>
              <w:spacing w:line="240" w:lineRule="auto"/>
              <w:ind w:left="543" w:firstLine="0" w:firstLineChars="0"/>
              <w:textAlignment w:val="baseline"/>
              <w:rPr>
                <w:rFonts w:eastAsia="Times New Roman" w:cs="Times New Roman"/>
                <w:snapToGrid w:val="0"/>
                <w:color w:val="auto"/>
                <w:kern w:val="0"/>
                <w:sz w:val="21"/>
                <w:szCs w:val="21"/>
              </w:rPr>
            </w:pPr>
            <w:r>
              <w:rPr>
                <w:rFonts w:cs="Times New Roman"/>
                <w:snapToGrid w:val="0"/>
                <w:color w:val="auto"/>
                <w:spacing w:val="-17"/>
                <w:kern w:val="0"/>
                <w:sz w:val="21"/>
                <w:szCs w:val="21"/>
              </w:rPr>
              <w:t>三</w:t>
            </w:r>
            <w:r>
              <w:rPr>
                <w:rFonts w:cs="Times New Roman"/>
                <w:snapToGrid w:val="0"/>
                <w:color w:val="auto"/>
                <w:spacing w:val="-14"/>
                <w:kern w:val="0"/>
                <w:sz w:val="21"/>
                <w:szCs w:val="21"/>
              </w:rPr>
              <w:t>级</w:t>
            </w:r>
            <w:r>
              <w:rPr>
                <w:rFonts w:eastAsia="Times New Roman" w:cs="Times New Roman"/>
                <w:snapToGrid w:val="0"/>
                <w:color w:val="auto"/>
                <w:spacing w:val="-14"/>
                <w:kern w:val="0"/>
                <w:sz w:val="21"/>
                <w:szCs w:val="21"/>
              </w:rPr>
              <w:t>A</w:t>
            </w:r>
          </w:p>
        </w:tc>
        <w:tc>
          <w:tcPr>
            <w:tcW w:w="1427" w:type="dxa"/>
            <w:tcBorders>
              <w:tl2br w:val="nil"/>
              <w:tr2bl w:val="nil"/>
            </w:tcBorders>
            <w:vAlign w:val="center"/>
          </w:tcPr>
          <w:p>
            <w:pPr>
              <w:widowControl/>
              <w:kinsoku w:val="0"/>
              <w:autoSpaceDE w:val="0"/>
              <w:autoSpaceDN w:val="0"/>
              <w:adjustRightInd w:val="0"/>
              <w:snapToGrid w:val="0"/>
              <w:spacing w:line="240" w:lineRule="auto"/>
              <w:ind w:left="309" w:firstLine="0" w:firstLineChars="0"/>
              <w:textAlignment w:val="baseline"/>
              <w:rPr>
                <w:rFonts w:cs="Times New Roman"/>
                <w:snapToGrid w:val="0"/>
                <w:color w:val="auto"/>
                <w:kern w:val="0"/>
                <w:sz w:val="21"/>
                <w:szCs w:val="21"/>
              </w:rPr>
            </w:pPr>
            <w:r>
              <w:rPr>
                <w:rFonts w:cs="Times New Roman"/>
                <w:snapToGrid w:val="0"/>
                <w:color w:val="auto"/>
                <w:spacing w:val="-7"/>
                <w:kern w:val="0"/>
                <w:sz w:val="21"/>
                <w:szCs w:val="21"/>
              </w:rPr>
              <w:t>间</w:t>
            </w:r>
            <w:r>
              <w:rPr>
                <w:rFonts w:cs="Times New Roman"/>
                <w:snapToGrid w:val="0"/>
                <w:color w:val="auto"/>
                <w:spacing w:val="-5"/>
                <w:kern w:val="0"/>
                <w:sz w:val="21"/>
                <w:szCs w:val="21"/>
              </w:rPr>
              <w:t>接排放</w:t>
            </w:r>
          </w:p>
        </w:tc>
        <w:tc>
          <w:tcPr>
            <w:tcW w:w="5239" w:type="dxa"/>
            <w:tcBorders>
              <w:tl2br w:val="nil"/>
              <w:tr2bl w:val="nil"/>
            </w:tcBorders>
            <w:vAlign w:val="center"/>
          </w:tcPr>
          <w:p>
            <w:pPr>
              <w:widowControl/>
              <w:kinsoku w:val="0"/>
              <w:autoSpaceDE w:val="0"/>
              <w:autoSpaceDN w:val="0"/>
              <w:adjustRightInd w:val="0"/>
              <w:snapToGrid w:val="0"/>
              <w:spacing w:line="240" w:lineRule="auto"/>
              <w:ind w:left="2195" w:firstLine="0" w:firstLineChars="0"/>
              <w:textAlignment w:val="baseline"/>
              <w:rPr>
                <w:rFonts w:eastAsia="Times New Roman" w:cs="Times New Roman"/>
                <w:snapToGrid w:val="0"/>
                <w:color w:val="auto"/>
                <w:kern w:val="0"/>
                <w:sz w:val="21"/>
                <w:szCs w:val="21"/>
              </w:rPr>
            </w:pPr>
            <w:r>
              <w:rPr>
                <w:rFonts w:eastAsia="Times New Roman" w:cs="Times New Roman"/>
                <w:snapToGrid w:val="0"/>
                <w:color w:val="auto"/>
                <w:spacing w:val="-4"/>
                <w:kern w:val="0"/>
                <w:sz w:val="21"/>
                <w:szCs w:val="21"/>
              </w:rPr>
              <w:t>Q</w:t>
            </w:r>
            <w:r>
              <w:rPr>
                <w:rFonts w:cs="Times New Roman"/>
                <w:snapToGrid w:val="0"/>
                <w:color w:val="auto"/>
                <w:spacing w:val="-4"/>
                <w:kern w:val="0"/>
                <w:sz w:val="21"/>
                <w:szCs w:val="21"/>
              </w:rPr>
              <w:t>＜</w:t>
            </w:r>
            <w:r>
              <w:rPr>
                <w:rFonts w:eastAsia="Times New Roman" w:cs="Times New Roman"/>
                <w:snapToGrid w:val="0"/>
                <w:color w:val="auto"/>
                <w:spacing w:val="-4"/>
                <w:kern w:val="0"/>
                <w:sz w:val="21"/>
                <w:szCs w:val="21"/>
              </w:rPr>
              <w:t>200</w:t>
            </w:r>
            <w:r>
              <w:rPr>
                <w:rFonts w:cs="Times New Roman"/>
                <w:snapToGrid w:val="0"/>
                <w:color w:val="auto"/>
                <w:spacing w:val="-4"/>
                <w:kern w:val="0"/>
                <w:sz w:val="21"/>
                <w:szCs w:val="21"/>
              </w:rPr>
              <w:t>或</w:t>
            </w:r>
            <w:r>
              <w:rPr>
                <w:rFonts w:eastAsia="Times New Roman" w:cs="Times New Roman"/>
                <w:snapToGrid w:val="0"/>
                <w:color w:val="auto"/>
                <w:spacing w:val="-4"/>
                <w:kern w:val="0"/>
                <w:sz w:val="21"/>
                <w:szCs w:val="21"/>
              </w:rPr>
              <w:t>W</w:t>
            </w:r>
            <w:r>
              <w:rPr>
                <w:rFonts w:cs="Times New Roman"/>
                <w:snapToGrid w:val="0"/>
                <w:color w:val="auto"/>
                <w:spacing w:val="-4"/>
                <w:kern w:val="0"/>
                <w:sz w:val="21"/>
                <w:szCs w:val="21"/>
              </w:rPr>
              <w:t>＜</w:t>
            </w:r>
            <w:r>
              <w:rPr>
                <w:rFonts w:eastAsia="Times New Roman" w:cs="Times New Roman"/>
                <w:snapToGrid w:val="0"/>
                <w:color w:val="auto"/>
                <w:spacing w:val="-4"/>
                <w:kern w:val="0"/>
                <w:sz w:val="21"/>
                <w:szCs w:val="21"/>
              </w:rPr>
              <w:t>6000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698" w:type="dxa"/>
            <w:tcBorders>
              <w:tl2br w:val="nil"/>
              <w:tr2bl w:val="nil"/>
            </w:tcBorders>
            <w:vAlign w:val="center"/>
          </w:tcPr>
          <w:p>
            <w:pPr>
              <w:widowControl/>
              <w:kinsoku w:val="0"/>
              <w:autoSpaceDE w:val="0"/>
              <w:autoSpaceDN w:val="0"/>
              <w:adjustRightInd w:val="0"/>
              <w:snapToGrid w:val="0"/>
              <w:spacing w:line="240" w:lineRule="auto"/>
              <w:ind w:left="551" w:firstLine="0" w:firstLineChars="0"/>
              <w:textAlignment w:val="baseline"/>
              <w:rPr>
                <w:rFonts w:eastAsia="Times New Roman" w:cs="Times New Roman"/>
                <w:snapToGrid w:val="0"/>
                <w:color w:val="auto"/>
                <w:kern w:val="0"/>
                <w:sz w:val="21"/>
                <w:szCs w:val="21"/>
              </w:rPr>
            </w:pPr>
            <w:r>
              <w:rPr>
                <w:rFonts w:cs="Times New Roman"/>
                <w:snapToGrid w:val="0"/>
                <w:color w:val="auto"/>
                <w:spacing w:val="-15"/>
                <w:kern w:val="0"/>
                <w:sz w:val="21"/>
                <w:szCs w:val="21"/>
              </w:rPr>
              <w:t>三</w:t>
            </w:r>
            <w:r>
              <w:rPr>
                <w:rFonts w:cs="Times New Roman"/>
                <w:snapToGrid w:val="0"/>
                <w:color w:val="auto"/>
                <w:spacing w:val="-14"/>
                <w:kern w:val="0"/>
                <w:sz w:val="21"/>
                <w:szCs w:val="21"/>
              </w:rPr>
              <w:t>级</w:t>
            </w:r>
            <w:r>
              <w:rPr>
                <w:rFonts w:eastAsia="Times New Roman" w:cs="Times New Roman"/>
                <w:snapToGrid w:val="0"/>
                <w:color w:val="auto"/>
                <w:spacing w:val="-14"/>
                <w:kern w:val="0"/>
                <w:sz w:val="21"/>
                <w:szCs w:val="21"/>
              </w:rPr>
              <w:t>B</w:t>
            </w:r>
          </w:p>
        </w:tc>
        <w:tc>
          <w:tcPr>
            <w:tcW w:w="1427" w:type="dxa"/>
            <w:tcBorders>
              <w:tl2br w:val="nil"/>
              <w:tr2bl w:val="nil"/>
            </w:tcBorders>
            <w:vAlign w:val="center"/>
          </w:tcPr>
          <w:p>
            <w:pPr>
              <w:widowControl/>
              <w:kinsoku w:val="0"/>
              <w:autoSpaceDE w:val="0"/>
              <w:autoSpaceDN w:val="0"/>
              <w:adjustRightInd w:val="0"/>
              <w:snapToGrid w:val="0"/>
              <w:spacing w:line="240" w:lineRule="auto"/>
              <w:ind w:left="309" w:firstLine="0" w:firstLineChars="0"/>
              <w:textAlignment w:val="baseline"/>
              <w:rPr>
                <w:rFonts w:cs="Times New Roman"/>
                <w:snapToGrid w:val="0"/>
                <w:color w:val="auto"/>
                <w:kern w:val="0"/>
                <w:sz w:val="21"/>
                <w:szCs w:val="21"/>
              </w:rPr>
            </w:pPr>
            <w:r>
              <w:rPr>
                <w:rFonts w:cs="Times New Roman"/>
                <w:snapToGrid w:val="0"/>
                <w:color w:val="auto"/>
                <w:spacing w:val="-7"/>
                <w:kern w:val="0"/>
                <w:sz w:val="21"/>
                <w:szCs w:val="21"/>
              </w:rPr>
              <w:t>间</w:t>
            </w:r>
            <w:r>
              <w:rPr>
                <w:rFonts w:cs="Times New Roman"/>
                <w:snapToGrid w:val="0"/>
                <w:color w:val="auto"/>
                <w:spacing w:val="-5"/>
                <w:kern w:val="0"/>
                <w:sz w:val="21"/>
                <w:szCs w:val="21"/>
              </w:rPr>
              <w:t>接排放</w:t>
            </w:r>
          </w:p>
        </w:tc>
        <w:tc>
          <w:tcPr>
            <w:tcW w:w="5239" w:type="dxa"/>
            <w:tcBorders>
              <w:tl2br w:val="nil"/>
              <w:tr2bl w:val="nil"/>
            </w:tcBorders>
            <w:vAlign w:val="center"/>
          </w:tcPr>
          <w:p>
            <w:pPr>
              <w:widowControl/>
              <w:kinsoku w:val="0"/>
              <w:autoSpaceDE w:val="0"/>
              <w:autoSpaceDN w:val="0"/>
              <w:adjustRightInd w:val="0"/>
              <w:snapToGrid w:val="0"/>
              <w:spacing w:line="240" w:lineRule="auto"/>
              <w:ind w:left="3070" w:firstLine="0" w:firstLineChars="0"/>
              <w:textAlignment w:val="baseline"/>
              <w:rPr>
                <w:rFonts w:eastAsia="Times New Roman" w:cs="Times New Roman"/>
                <w:snapToGrid w:val="0"/>
                <w:color w:val="auto"/>
                <w:kern w:val="0"/>
                <w:sz w:val="21"/>
                <w:szCs w:val="21"/>
              </w:rPr>
            </w:pPr>
            <w:r>
              <w:rPr>
                <w:rFonts w:eastAsia="Times New Roman" w:cs="Times New Roman"/>
                <w:snapToGrid w:val="0"/>
                <w:color w:val="auto"/>
                <w:kern w:val="0"/>
                <w:sz w:val="21"/>
                <w:szCs w:val="21"/>
              </w:rPr>
              <w:t>/</w:t>
            </w:r>
          </w:p>
        </w:tc>
      </w:tr>
    </w:tbl>
    <w:p>
      <w:pPr>
        <w:topLinePunct/>
        <w:adjustRightInd w:val="0"/>
        <w:snapToGrid w:val="0"/>
        <w:ind w:firstLine="480"/>
        <w:textAlignment w:val="baseline"/>
        <w:rPr>
          <w:rFonts w:cs="Times New Roman"/>
          <w:snapToGrid w:val="0"/>
          <w:color w:val="auto"/>
          <w:kern w:val="0"/>
        </w:rPr>
      </w:pPr>
      <w:r>
        <w:rPr>
          <w:rFonts w:cs="Times New Roman"/>
          <w:snapToGrid w:val="0"/>
          <w:color w:val="auto"/>
          <w:kern w:val="0"/>
        </w:rPr>
        <w:t>对照《环境影响评价技术导则</w:t>
      </w:r>
      <w:r>
        <w:rPr>
          <w:rFonts w:eastAsia="Times New Roman" w:cs="Times New Roman"/>
          <w:snapToGrid w:val="0"/>
          <w:color w:val="auto"/>
          <w:kern w:val="0"/>
        </w:rPr>
        <w:t>-</w:t>
      </w:r>
      <w:r>
        <w:rPr>
          <w:rFonts w:cs="Times New Roman"/>
          <w:snapToGrid w:val="0"/>
          <w:color w:val="auto"/>
          <w:kern w:val="0"/>
        </w:rPr>
        <w:t>地表水环境》(</w:t>
      </w:r>
      <w:r>
        <w:rPr>
          <w:rFonts w:eastAsia="Times New Roman" w:cs="Times New Roman"/>
          <w:snapToGrid w:val="0"/>
          <w:color w:val="auto"/>
          <w:kern w:val="0"/>
        </w:rPr>
        <w:t>HJ2.3-2018</w:t>
      </w:r>
      <w:r>
        <w:rPr>
          <w:rFonts w:cs="Times New Roman"/>
          <w:snapToGrid w:val="0"/>
          <w:color w:val="auto"/>
          <w:kern w:val="0"/>
        </w:rPr>
        <w:t>)第</w:t>
      </w:r>
      <w:r>
        <w:rPr>
          <w:rFonts w:eastAsia="Times New Roman" w:cs="Times New Roman"/>
          <w:snapToGrid w:val="0"/>
          <w:color w:val="auto"/>
          <w:kern w:val="0"/>
        </w:rPr>
        <w:t>5.2</w:t>
      </w:r>
      <w:r>
        <w:rPr>
          <w:rFonts w:cs="Times New Roman"/>
          <w:snapToGrid w:val="0"/>
          <w:color w:val="auto"/>
          <w:kern w:val="0"/>
        </w:rPr>
        <w:t>条表</w:t>
      </w:r>
      <w:r>
        <w:rPr>
          <w:rFonts w:eastAsia="Times New Roman" w:cs="Times New Roman"/>
          <w:snapToGrid w:val="0"/>
          <w:color w:val="auto"/>
          <w:kern w:val="0"/>
        </w:rPr>
        <w:t>1</w:t>
      </w:r>
      <w:r>
        <w:rPr>
          <w:rFonts w:cs="Times New Roman"/>
          <w:snapToGrid w:val="0"/>
          <w:color w:val="auto"/>
          <w:kern w:val="0"/>
        </w:rPr>
        <w:t>中所列出的环境影响评价等级判定标准：“建设项目生产工艺中有废水产生，但作为回水利用，不排放到外环境的，按三级</w:t>
      </w:r>
      <w:r>
        <w:rPr>
          <w:rFonts w:eastAsia="Times New Roman" w:cs="Times New Roman"/>
          <w:snapToGrid w:val="0"/>
          <w:color w:val="auto"/>
          <w:kern w:val="0"/>
        </w:rPr>
        <w:t>B</w:t>
      </w:r>
      <w:r>
        <w:rPr>
          <w:rFonts w:cs="Times New Roman"/>
          <w:snapToGrid w:val="0"/>
          <w:color w:val="auto"/>
          <w:kern w:val="0"/>
        </w:rPr>
        <w:t>评价”。本项目从水污染影响型判定，水环境评价等级为三级</w:t>
      </w:r>
      <w:r>
        <w:rPr>
          <w:rFonts w:eastAsia="Times New Roman" w:cs="Times New Roman"/>
          <w:snapToGrid w:val="0"/>
          <w:color w:val="auto"/>
          <w:kern w:val="0"/>
        </w:rPr>
        <w:t>B</w:t>
      </w:r>
      <w:r>
        <w:rPr>
          <w:rFonts w:cs="Times New Roman"/>
          <w:snapToGrid w:val="0"/>
          <w:color w:val="auto"/>
          <w:kern w:val="0"/>
        </w:rPr>
        <w:t>。</w:t>
      </w:r>
    </w:p>
    <w:p>
      <w:pPr>
        <w:pStyle w:val="20"/>
        <w:ind w:firstLine="482"/>
        <w:jc w:val="both"/>
        <w:rPr>
          <w:rFonts w:cs="Times New Roman"/>
          <w:b/>
          <w:bCs/>
          <w:color w:val="auto"/>
          <w:sz w:val="24"/>
        </w:rPr>
      </w:pPr>
      <w:r>
        <w:rPr>
          <w:rFonts w:cs="Times New Roman"/>
          <w:b/>
          <w:bCs/>
          <w:color w:val="auto"/>
          <w:sz w:val="24"/>
        </w:rPr>
        <w:t>2.按水文要素影响型建设项目来判定</w:t>
      </w:r>
    </w:p>
    <w:p>
      <w:pPr>
        <w:pStyle w:val="140"/>
        <w:snapToGrid w:val="0"/>
        <w:ind w:firstLine="480"/>
        <w:rPr>
          <w:rFonts w:cs="Times New Roman"/>
          <w:color w:val="auto"/>
        </w:rPr>
      </w:pPr>
      <w:r>
        <w:rPr>
          <w:rFonts w:cs="Times New Roman"/>
          <w:color w:val="auto"/>
        </w:rPr>
        <w:t>根据《环境影响评价技术导则 地表水环境》（HJ2.3-2018）5.2.3节规定：水文要素影响型建设项目评价等级划分根据水温、径流与受影响地表水域等三类水文要素的影响程度进行判定。本项目不涉及水温、径流水文要素的影响，仅从受影响地表水域水文要素的影响程度进行判定。水文要素影响型建设项目评价等级判定见表2.4-2。</w:t>
      </w:r>
    </w:p>
    <w:p>
      <w:pPr>
        <w:pStyle w:val="122"/>
        <w:rPr>
          <w:rFonts w:eastAsiaTheme="minorEastAsia"/>
          <w:b/>
          <w:color w:val="auto"/>
          <w:kern w:val="2"/>
          <w:lang w:val="en-US"/>
        </w:rPr>
      </w:pPr>
      <w:r>
        <w:rPr>
          <w:rFonts w:eastAsiaTheme="minorEastAsia"/>
          <w:b/>
          <w:color w:val="auto"/>
          <w:kern w:val="2"/>
          <w:lang w:val="en-US"/>
        </w:rPr>
        <w:t>表2.4-2  水文要素影响型建设项目评价等级判定</w:t>
      </w:r>
    </w:p>
    <w:tbl>
      <w:tblPr>
        <w:tblStyle w:val="4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1139"/>
        <w:gridCol w:w="1225"/>
        <w:gridCol w:w="1025"/>
        <w:gridCol w:w="1874"/>
        <w:gridCol w:w="1550"/>
        <w:gridCol w:w="1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0" w:type="auto"/>
            <w:vMerge w:val="restart"/>
            <w:vAlign w:val="center"/>
          </w:tcPr>
          <w:p>
            <w:pPr>
              <w:snapToGrid w:val="0"/>
              <w:spacing w:line="240" w:lineRule="atLeast"/>
              <w:ind w:firstLine="0" w:firstLineChars="0"/>
              <w:jc w:val="center"/>
              <w:rPr>
                <w:rFonts w:cs="Times New Roman"/>
                <w:b/>
                <w:color w:val="auto"/>
                <w:sz w:val="21"/>
                <w:szCs w:val="21"/>
              </w:rPr>
            </w:pPr>
            <w:r>
              <w:rPr>
                <w:rFonts w:cs="Times New Roman"/>
                <w:b/>
                <w:color w:val="auto"/>
                <w:sz w:val="21"/>
                <w:szCs w:val="21"/>
              </w:rPr>
              <w:t>评价等级</w:t>
            </w:r>
          </w:p>
        </w:tc>
        <w:tc>
          <w:tcPr>
            <w:tcW w:w="0" w:type="auto"/>
            <w:vAlign w:val="center"/>
          </w:tcPr>
          <w:p>
            <w:pPr>
              <w:snapToGrid w:val="0"/>
              <w:spacing w:line="240" w:lineRule="atLeast"/>
              <w:ind w:firstLine="0" w:firstLineChars="0"/>
              <w:jc w:val="center"/>
              <w:rPr>
                <w:rFonts w:cs="Times New Roman"/>
                <w:b/>
                <w:color w:val="auto"/>
                <w:sz w:val="21"/>
                <w:szCs w:val="21"/>
              </w:rPr>
            </w:pPr>
            <w:r>
              <w:rPr>
                <w:rFonts w:cs="Times New Roman"/>
                <w:b/>
                <w:color w:val="auto"/>
                <w:sz w:val="21"/>
                <w:szCs w:val="21"/>
              </w:rPr>
              <w:t>水温</w:t>
            </w:r>
          </w:p>
        </w:tc>
        <w:tc>
          <w:tcPr>
            <w:tcW w:w="0" w:type="auto"/>
            <w:gridSpan w:val="2"/>
            <w:vAlign w:val="center"/>
          </w:tcPr>
          <w:p>
            <w:pPr>
              <w:snapToGrid w:val="0"/>
              <w:spacing w:line="240" w:lineRule="atLeast"/>
              <w:ind w:firstLine="0" w:firstLineChars="0"/>
              <w:jc w:val="center"/>
              <w:rPr>
                <w:rFonts w:cs="Times New Roman"/>
                <w:b/>
                <w:color w:val="auto"/>
                <w:sz w:val="21"/>
                <w:szCs w:val="21"/>
              </w:rPr>
            </w:pPr>
            <w:r>
              <w:rPr>
                <w:rFonts w:cs="Times New Roman"/>
                <w:b/>
                <w:color w:val="auto"/>
                <w:sz w:val="21"/>
                <w:szCs w:val="21"/>
              </w:rPr>
              <w:t>径流</w:t>
            </w:r>
          </w:p>
        </w:tc>
        <w:tc>
          <w:tcPr>
            <w:tcW w:w="0" w:type="auto"/>
            <w:gridSpan w:val="3"/>
            <w:vAlign w:val="center"/>
          </w:tcPr>
          <w:p>
            <w:pPr>
              <w:snapToGrid w:val="0"/>
              <w:spacing w:line="240" w:lineRule="atLeast"/>
              <w:ind w:firstLine="0" w:firstLineChars="0"/>
              <w:jc w:val="center"/>
              <w:rPr>
                <w:rFonts w:cs="Times New Roman"/>
                <w:b/>
                <w:color w:val="auto"/>
                <w:sz w:val="21"/>
                <w:szCs w:val="21"/>
              </w:rPr>
            </w:pPr>
            <w:r>
              <w:rPr>
                <w:rFonts w:cs="Times New Roman"/>
                <w:b/>
                <w:color w:val="auto"/>
                <w:sz w:val="21"/>
                <w:szCs w:val="21"/>
              </w:rPr>
              <w:t>受影响地表水域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0" w:type="auto"/>
            <w:vMerge w:val="continue"/>
            <w:vAlign w:val="center"/>
          </w:tcPr>
          <w:p>
            <w:pPr>
              <w:snapToGrid w:val="0"/>
              <w:spacing w:line="240" w:lineRule="atLeast"/>
              <w:ind w:firstLine="0" w:firstLineChars="0"/>
              <w:jc w:val="center"/>
              <w:rPr>
                <w:rFonts w:cs="Times New Roman"/>
                <w:b/>
                <w:color w:val="auto"/>
                <w:sz w:val="21"/>
                <w:szCs w:val="21"/>
              </w:rPr>
            </w:pPr>
          </w:p>
        </w:tc>
        <w:tc>
          <w:tcPr>
            <w:tcW w:w="0" w:type="auto"/>
            <w:vMerge w:val="restart"/>
            <w:vAlign w:val="center"/>
          </w:tcPr>
          <w:p>
            <w:pPr>
              <w:snapToGrid w:val="0"/>
              <w:spacing w:line="240" w:lineRule="atLeast"/>
              <w:ind w:firstLine="0" w:firstLineChars="0"/>
              <w:jc w:val="center"/>
              <w:rPr>
                <w:rFonts w:cs="Times New Roman"/>
                <w:b/>
                <w:color w:val="auto"/>
                <w:sz w:val="21"/>
                <w:szCs w:val="21"/>
              </w:rPr>
            </w:pPr>
            <w:r>
              <w:rPr>
                <w:rFonts w:cs="Times New Roman"/>
                <w:b/>
                <w:color w:val="auto"/>
                <w:sz w:val="21"/>
                <w:szCs w:val="21"/>
              </w:rPr>
              <w:t>年径流量与总库容百分比α/%</w:t>
            </w:r>
          </w:p>
        </w:tc>
        <w:tc>
          <w:tcPr>
            <w:tcW w:w="0" w:type="auto"/>
            <w:vMerge w:val="restart"/>
            <w:vAlign w:val="center"/>
          </w:tcPr>
          <w:p>
            <w:pPr>
              <w:snapToGrid w:val="0"/>
              <w:spacing w:line="240" w:lineRule="atLeast"/>
              <w:ind w:firstLine="0" w:firstLineChars="0"/>
              <w:jc w:val="center"/>
              <w:rPr>
                <w:rFonts w:cs="Times New Roman"/>
                <w:b/>
                <w:color w:val="auto"/>
                <w:sz w:val="21"/>
                <w:szCs w:val="21"/>
              </w:rPr>
            </w:pPr>
            <w:r>
              <w:rPr>
                <w:rFonts w:cs="Times New Roman"/>
                <w:b/>
                <w:color w:val="auto"/>
                <w:sz w:val="21"/>
                <w:szCs w:val="21"/>
              </w:rPr>
              <w:t>兴利库容与年径流量百分比β/%</w:t>
            </w:r>
          </w:p>
        </w:tc>
        <w:tc>
          <w:tcPr>
            <w:tcW w:w="0" w:type="auto"/>
            <w:vMerge w:val="restart"/>
            <w:vAlign w:val="center"/>
          </w:tcPr>
          <w:p>
            <w:pPr>
              <w:snapToGrid w:val="0"/>
              <w:spacing w:line="240" w:lineRule="atLeast"/>
              <w:ind w:firstLine="0" w:firstLineChars="0"/>
              <w:jc w:val="center"/>
              <w:rPr>
                <w:rFonts w:cs="Times New Roman"/>
                <w:b/>
                <w:color w:val="auto"/>
                <w:sz w:val="21"/>
                <w:szCs w:val="21"/>
              </w:rPr>
            </w:pPr>
            <w:r>
              <w:rPr>
                <w:rFonts w:cs="Times New Roman"/>
                <w:b/>
                <w:color w:val="auto"/>
                <w:sz w:val="21"/>
                <w:szCs w:val="21"/>
              </w:rPr>
              <w:t>取水量占多年平均径流量百分比γ/%</w:t>
            </w:r>
          </w:p>
        </w:tc>
        <w:tc>
          <w:tcPr>
            <w:tcW w:w="0" w:type="auto"/>
            <w:gridSpan w:val="2"/>
            <w:vAlign w:val="center"/>
          </w:tcPr>
          <w:p>
            <w:pPr>
              <w:snapToGrid w:val="0"/>
              <w:spacing w:line="240" w:lineRule="atLeast"/>
              <w:ind w:firstLine="0" w:firstLineChars="0"/>
              <w:jc w:val="center"/>
              <w:rPr>
                <w:rFonts w:cs="Times New Roman"/>
                <w:b/>
                <w:color w:val="auto"/>
                <w:sz w:val="21"/>
                <w:szCs w:val="21"/>
              </w:rPr>
            </w:pPr>
            <w:r>
              <w:rPr>
                <w:rFonts w:cs="Times New Roman"/>
                <w:b/>
                <w:color w:val="auto"/>
                <w:sz w:val="21"/>
                <w:szCs w:val="21"/>
              </w:rPr>
              <w:t>工程垂直投影面积及外扩范围A</w:t>
            </w:r>
            <w:r>
              <w:rPr>
                <w:rFonts w:cs="Times New Roman"/>
                <w:b/>
                <w:color w:val="auto"/>
                <w:sz w:val="21"/>
                <w:szCs w:val="21"/>
                <w:vertAlign w:val="subscript"/>
              </w:rPr>
              <w:t>1</w:t>
            </w:r>
            <w:r>
              <w:rPr>
                <w:rFonts w:cs="Times New Roman"/>
                <w:b/>
                <w:color w:val="auto"/>
                <w:sz w:val="21"/>
                <w:szCs w:val="21"/>
              </w:rPr>
              <w:t>/km</w:t>
            </w:r>
            <w:r>
              <w:rPr>
                <w:rFonts w:cs="Times New Roman"/>
                <w:b/>
                <w:color w:val="auto"/>
                <w:sz w:val="21"/>
                <w:szCs w:val="21"/>
                <w:vertAlign w:val="superscript"/>
              </w:rPr>
              <w:t>2</w:t>
            </w:r>
            <w:r>
              <w:rPr>
                <w:rFonts w:cs="Times New Roman"/>
                <w:b/>
                <w:color w:val="auto"/>
                <w:sz w:val="21"/>
                <w:szCs w:val="21"/>
              </w:rPr>
              <w:t>；工程扰动水底面积A</w:t>
            </w:r>
            <w:r>
              <w:rPr>
                <w:rFonts w:cs="Times New Roman"/>
                <w:b/>
                <w:color w:val="auto"/>
                <w:sz w:val="21"/>
                <w:szCs w:val="21"/>
                <w:vertAlign w:val="subscript"/>
              </w:rPr>
              <w:t>2</w:t>
            </w:r>
            <w:r>
              <w:rPr>
                <w:rFonts w:cs="Times New Roman"/>
                <w:b/>
                <w:color w:val="auto"/>
                <w:sz w:val="21"/>
                <w:szCs w:val="21"/>
              </w:rPr>
              <w:t>/km</w:t>
            </w:r>
            <w:r>
              <w:rPr>
                <w:rFonts w:cs="Times New Roman"/>
                <w:b/>
                <w:color w:val="auto"/>
                <w:sz w:val="21"/>
                <w:szCs w:val="21"/>
                <w:vertAlign w:val="superscript"/>
              </w:rPr>
              <w:t>2</w:t>
            </w:r>
            <w:r>
              <w:rPr>
                <w:rFonts w:cs="Times New Roman"/>
                <w:b/>
                <w:color w:val="auto"/>
                <w:sz w:val="21"/>
                <w:szCs w:val="21"/>
              </w:rPr>
              <w:t>；过水断面宽度占用比例或占用水域面积比例R/%</w:t>
            </w:r>
          </w:p>
        </w:tc>
        <w:tc>
          <w:tcPr>
            <w:tcW w:w="0" w:type="auto"/>
            <w:vAlign w:val="center"/>
          </w:tcPr>
          <w:p>
            <w:pPr>
              <w:snapToGrid w:val="0"/>
              <w:spacing w:line="240" w:lineRule="atLeast"/>
              <w:ind w:firstLine="0" w:firstLineChars="0"/>
              <w:jc w:val="center"/>
              <w:rPr>
                <w:rFonts w:cs="Times New Roman"/>
                <w:b/>
                <w:color w:val="auto"/>
                <w:sz w:val="21"/>
                <w:szCs w:val="21"/>
              </w:rPr>
            </w:pPr>
            <w:r>
              <w:rPr>
                <w:rFonts w:cs="Times New Roman"/>
                <w:b/>
                <w:color w:val="auto"/>
                <w:sz w:val="21"/>
                <w:szCs w:val="21"/>
              </w:rPr>
              <w:t>工程垂直投影面积及外扩范围A</w:t>
            </w:r>
            <w:r>
              <w:rPr>
                <w:rFonts w:cs="Times New Roman"/>
                <w:b/>
                <w:color w:val="auto"/>
                <w:sz w:val="21"/>
                <w:szCs w:val="21"/>
                <w:vertAlign w:val="subscript"/>
              </w:rPr>
              <w:t>1</w:t>
            </w:r>
            <w:r>
              <w:rPr>
                <w:rFonts w:cs="Times New Roman"/>
                <w:b/>
                <w:color w:val="auto"/>
                <w:sz w:val="21"/>
                <w:szCs w:val="21"/>
              </w:rPr>
              <w:t>/km</w:t>
            </w:r>
            <w:r>
              <w:rPr>
                <w:rFonts w:cs="Times New Roman"/>
                <w:b/>
                <w:color w:val="auto"/>
                <w:sz w:val="21"/>
                <w:szCs w:val="21"/>
                <w:vertAlign w:val="superscript"/>
              </w:rPr>
              <w:t>2</w:t>
            </w:r>
            <w:r>
              <w:rPr>
                <w:rFonts w:cs="Times New Roman"/>
                <w:b/>
                <w:color w:val="auto"/>
                <w:sz w:val="21"/>
                <w:szCs w:val="21"/>
              </w:rPr>
              <w:t>；工程扰动水底面积A</w:t>
            </w:r>
            <w:r>
              <w:rPr>
                <w:rFonts w:cs="Times New Roman"/>
                <w:b/>
                <w:color w:val="auto"/>
                <w:sz w:val="21"/>
                <w:szCs w:val="21"/>
                <w:vertAlign w:val="subscript"/>
              </w:rPr>
              <w:t>2</w:t>
            </w:r>
            <w:r>
              <w:rPr>
                <w:rFonts w:cs="Times New Roman"/>
                <w:b/>
                <w:color w:val="auto"/>
                <w:sz w:val="21"/>
                <w:szCs w:val="21"/>
              </w:rPr>
              <w:t>/km</w:t>
            </w:r>
            <w:r>
              <w:rPr>
                <w:rFonts w:cs="Times New Roman"/>
                <w:b/>
                <w:color w:val="auto"/>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0" w:type="auto"/>
            <w:vMerge w:val="continue"/>
            <w:tcBorders>
              <w:bottom w:val="single" w:color="auto" w:sz="12" w:space="0"/>
            </w:tcBorders>
            <w:vAlign w:val="center"/>
          </w:tcPr>
          <w:p>
            <w:pPr>
              <w:snapToGrid w:val="0"/>
              <w:spacing w:line="240" w:lineRule="atLeast"/>
              <w:ind w:firstLine="0" w:firstLineChars="0"/>
              <w:jc w:val="center"/>
              <w:rPr>
                <w:rFonts w:cs="Times New Roman"/>
                <w:b/>
                <w:color w:val="auto"/>
                <w:sz w:val="21"/>
                <w:szCs w:val="21"/>
              </w:rPr>
            </w:pPr>
          </w:p>
        </w:tc>
        <w:tc>
          <w:tcPr>
            <w:tcW w:w="0" w:type="auto"/>
            <w:vMerge w:val="continue"/>
            <w:tcBorders>
              <w:bottom w:val="single" w:color="auto" w:sz="12" w:space="0"/>
            </w:tcBorders>
            <w:vAlign w:val="center"/>
          </w:tcPr>
          <w:p>
            <w:pPr>
              <w:snapToGrid w:val="0"/>
              <w:spacing w:line="240" w:lineRule="atLeast"/>
              <w:ind w:firstLine="0" w:firstLineChars="0"/>
              <w:jc w:val="center"/>
              <w:rPr>
                <w:rFonts w:cs="Times New Roman"/>
                <w:b/>
                <w:color w:val="auto"/>
                <w:sz w:val="21"/>
                <w:szCs w:val="21"/>
              </w:rPr>
            </w:pPr>
          </w:p>
        </w:tc>
        <w:tc>
          <w:tcPr>
            <w:tcW w:w="0" w:type="auto"/>
            <w:vMerge w:val="continue"/>
            <w:tcBorders>
              <w:bottom w:val="single" w:color="auto" w:sz="12" w:space="0"/>
            </w:tcBorders>
            <w:vAlign w:val="center"/>
          </w:tcPr>
          <w:p>
            <w:pPr>
              <w:snapToGrid w:val="0"/>
              <w:spacing w:line="240" w:lineRule="atLeast"/>
              <w:ind w:firstLine="0" w:firstLineChars="0"/>
              <w:jc w:val="center"/>
              <w:rPr>
                <w:rFonts w:cs="Times New Roman"/>
                <w:b/>
                <w:color w:val="auto"/>
                <w:sz w:val="21"/>
                <w:szCs w:val="21"/>
              </w:rPr>
            </w:pPr>
          </w:p>
        </w:tc>
        <w:tc>
          <w:tcPr>
            <w:tcW w:w="0" w:type="auto"/>
            <w:vMerge w:val="continue"/>
            <w:tcBorders>
              <w:bottom w:val="single" w:color="auto" w:sz="12" w:space="0"/>
            </w:tcBorders>
            <w:vAlign w:val="center"/>
          </w:tcPr>
          <w:p>
            <w:pPr>
              <w:snapToGrid w:val="0"/>
              <w:spacing w:line="240" w:lineRule="atLeast"/>
              <w:ind w:firstLine="0" w:firstLineChars="0"/>
              <w:jc w:val="center"/>
              <w:rPr>
                <w:rFonts w:cs="Times New Roman"/>
                <w:b/>
                <w:color w:val="auto"/>
                <w:sz w:val="21"/>
                <w:szCs w:val="21"/>
              </w:rPr>
            </w:pPr>
          </w:p>
        </w:tc>
        <w:tc>
          <w:tcPr>
            <w:tcW w:w="0" w:type="auto"/>
            <w:tcBorders>
              <w:bottom w:val="single" w:color="auto" w:sz="12" w:space="0"/>
            </w:tcBorders>
            <w:vAlign w:val="center"/>
          </w:tcPr>
          <w:p>
            <w:pPr>
              <w:snapToGrid w:val="0"/>
              <w:spacing w:line="240" w:lineRule="atLeast"/>
              <w:ind w:firstLine="0" w:firstLineChars="0"/>
              <w:jc w:val="center"/>
              <w:rPr>
                <w:rFonts w:cs="Times New Roman"/>
                <w:b/>
                <w:color w:val="auto"/>
                <w:sz w:val="21"/>
                <w:szCs w:val="21"/>
              </w:rPr>
            </w:pPr>
            <w:r>
              <w:rPr>
                <w:rFonts w:cs="Times New Roman"/>
                <w:b/>
                <w:color w:val="auto"/>
                <w:sz w:val="21"/>
                <w:szCs w:val="21"/>
              </w:rPr>
              <w:t>河流</w:t>
            </w:r>
          </w:p>
        </w:tc>
        <w:tc>
          <w:tcPr>
            <w:tcW w:w="0" w:type="auto"/>
            <w:tcBorders>
              <w:bottom w:val="single" w:color="auto" w:sz="12" w:space="0"/>
            </w:tcBorders>
            <w:vAlign w:val="center"/>
          </w:tcPr>
          <w:p>
            <w:pPr>
              <w:snapToGrid w:val="0"/>
              <w:spacing w:line="240" w:lineRule="atLeast"/>
              <w:ind w:firstLine="0" w:firstLineChars="0"/>
              <w:jc w:val="center"/>
              <w:rPr>
                <w:rFonts w:cs="Times New Roman"/>
                <w:b/>
                <w:color w:val="auto"/>
                <w:sz w:val="21"/>
                <w:szCs w:val="21"/>
              </w:rPr>
            </w:pPr>
            <w:r>
              <w:rPr>
                <w:rFonts w:cs="Times New Roman"/>
                <w:b/>
                <w:color w:val="auto"/>
                <w:sz w:val="21"/>
                <w:szCs w:val="21"/>
              </w:rPr>
              <w:t>湖库</w:t>
            </w:r>
          </w:p>
        </w:tc>
        <w:tc>
          <w:tcPr>
            <w:tcW w:w="0" w:type="auto"/>
            <w:tcBorders>
              <w:bottom w:val="single" w:color="auto" w:sz="12" w:space="0"/>
            </w:tcBorders>
            <w:vAlign w:val="center"/>
          </w:tcPr>
          <w:p>
            <w:pPr>
              <w:snapToGrid w:val="0"/>
              <w:spacing w:line="240" w:lineRule="atLeast"/>
              <w:ind w:firstLine="0" w:firstLineChars="0"/>
              <w:jc w:val="center"/>
              <w:rPr>
                <w:rFonts w:cs="Times New Roman"/>
                <w:b/>
                <w:color w:val="auto"/>
                <w:sz w:val="21"/>
                <w:szCs w:val="21"/>
              </w:rPr>
            </w:pPr>
            <w:r>
              <w:rPr>
                <w:rFonts w:cs="Times New Roman"/>
                <w:b/>
                <w:color w:val="auto"/>
                <w:sz w:val="21"/>
                <w:szCs w:val="21"/>
              </w:rPr>
              <w:t>入海河口、近岸海域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12" w:space="0"/>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一级</w:t>
            </w:r>
          </w:p>
        </w:tc>
        <w:tc>
          <w:tcPr>
            <w:tcW w:w="0" w:type="auto"/>
            <w:tcBorders>
              <w:top w:val="single" w:color="auto" w:sz="12" w:space="0"/>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α≤10；或稳定分层</w:t>
            </w:r>
          </w:p>
        </w:tc>
        <w:tc>
          <w:tcPr>
            <w:tcW w:w="0" w:type="auto"/>
            <w:tcBorders>
              <w:top w:val="single" w:color="auto" w:sz="12" w:space="0"/>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β≥20；或完全年调节与多年调节</w:t>
            </w:r>
          </w:p>
        </w:tc>
        <w:tc>
          <w:tcPr>
            <w:tcW w:w="0" w:type="auto"/>
            <w:tcBorders>
              <w:top w:val="single" w:color="auto" w:sz="12" w:space="0"/>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γ≥30</w:t>
            </w:r>
          </w:p>
        </w:tc>
        <w:tc>
          <w:tcPr>
            <w:tcW w:w="0" w:type="auto"/>
            <w:tcBorders>
              <w:top w:val="single" w:color="auto" w:sz="12" w:space="0"/>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A</w:t>
            </w:r>
            <w:r>
              <w:rPr>
                <w:rFonts w:cs="Times New Roman"/>
                <w:color w:val="auto"/>
                <w:sz w:val="21"/>
                <w:szCs w:val="21"/>
                <w:vertAlign w:val="subscript"/>
              </w:rPr>
              <w:t>1</w:t>
            </w:r>
            <w:r>
              <w:rPr>
                <w:rFonts w:cs="Times New Roman"/>
                <w:color w:val="auto"/>
                <w:sz w:val="21"/>
                <w:szCs w:val="21"/>
              </w:rPr>
              <w:t>≥0.3；或A</w:t>
            </w:r>
            <w:r>
              <w:rPr>
                <w:rFonts w:cs="Times New Roman"/>
                <w:color w:val="auto"/>
                <w:sz w:val="21"/>
                <w:szCs w:val="21"/>
                <w:vertAlign w:val="subscript"/>
              </w:rPr>
              <w:t>2</w:t>
            </w:r>
            <w:r>
              <w:rPr>
                <w:rFonts w:cs="Times New Roman"/>
                <w:color w:val="auto"/>
                <w:sz w:val="21"/>
                <w:szCs w:val="21"/>
              </w:rPr>
              <w:t>≥1.5；或R≥10</w:t>
            </w:r>
          </w:p>
        </w:tc>
        <w:tc>
          <w:tcPr>
            <w:tcW w:w="0" w:type="auto"/>
            <w:tcBorders>
              <w:top w:val="single" w:color="auto" w:sz="12" w:space="0"/>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A1≥0.3；或A</w:t>
            </w:r>
            <w:r>
              <w:rPr>
                <w:rFonts w:cs="Times New Roman"/>
                <w:color w:val="auto"/>
                <w:sz w:val="21"/>
                <w:szCs w:val="21"/>
                <w:vertAlign w:val="subscript"/>
              </w:rPr>
              <w:t>2</w:t>
            </w:r>
            <w:r>
              <w:rPr>
                <w:rFonts w:cs="Times New Roman"/>
                <w:color w:val="auto"/>
                <w:sz w:val="21"/>
                <w:szCs w:val="21"/>
              </w:rPr>
              <w:t>≥1.5；或R≥20</w:t>
            </w:r>
          </w:p>
        </w:tc>
        <w:tc>
          <w:tcPr>
            <w:tcW w:w="0" w:type="auto"/>
            <w:tcBorders>
              <w:top w:val="single" w:color="auto" w:sz="12" w:space="0"/>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A1≥0.5；或A</w:t>
            </w:r>
            <w:r>
              <w:rPr>
                <w:rFonts w:cs="Times New Roman"/>
                <w:color w:val="auto"/>
                <w:sz w:val="21"/>
                <w:szCs w:val="21"/>
                <w:vertAlign w:val="subscript"/>
              </w:rPr>
              <w:t>2</w:t>
            </w:r>
            <w:r>
              <w:rPr>
                <w:rFonts w:cs="Times New Roman"/>
                <w:color w:val="auto"/>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二级</w:t>
            </w:r>
          </w:p>
        </w:tc>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20＞α＞10；或</w:t>
            </w:r>
          </w:p>
          <w:p>
            <w:pPr>
              <w:snapToGrid w:val="0"/>
              <w:spacing w:line="240" w:lineRule="atLeast"/>
              <w:ind w:firstLine="0" w:firstLineChars="0"/>
              <w:jc w:val="center"/>
              <w:rPr>
                <w:rFonts w:cs="Times New Roman"/>
                <w:color w:val="auto"/>
                <w:sz w:val="21"/>
                <w:szCs w:val="21"/>
              </w:rPr>
            </w:pPr>
            <w:r>
              <w:rPr>
                <w:rFonts w:cs="Times New Roman"/>
                <w:color w:val="auto"/>
                <w:sz w:val="21"/>
                <w:szCs w:val="21"/>
              </w:rPr>
              <w:t>不稳定分层</w:t>
            </w:r>
          </w:p>
        </w:tc>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20＞β＞2；或季调节与不完全年调节</w:t>
            </w:r>
          </w:p>
        </w:tc>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30＞γ＞10</w:t>
            </w:r>
          </w:p>
        </w:tc>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0.3＞A</w:t>
            </w:r>
            <w:r>
              <w:rPr>
                <w:rFonts w:cs="Times New Roman"/>
                <w:color w:val="auto"/>
                <w:sz w:val="21"/>
                <w:szCs w:val="21"/>
                <w:vertAlign w:val="subscript"/>
              </w:rPr>
              <w:t>1</w:t>
            </w:r>
            <w:r>
              <w:rPr>
                <w:rFonts w:cs="Times New Roman"/>
                <w:color w:val="auto"/>
                <w:sz w:val="21"/>
                <w:szCs w:val="21"/>
              </w:rPr>
              <w:t>＞0.05；或1.5＞A</w:t>
            </w:r>
            <w:r>
              <w:rPr>
                <w:rFonts w:cs="Times New Roman"/>
                <w:color w:val="auto"/>
                <w:sz w:val="21"/>
                <w:szCs w:val="21"/>
                <w:vertAlign w:val="subscript"/>
              </w:rPr>
              <w:t>2</w:t>
            </w:r>
            <w:r>
              <w:rPr>
                <w:rFonts w:cs="Times New Roman"/>
                <w:color w:val="auto"/>
                <w:sz w:val="21"/>
                <w:szCs w:val="21"/>
              </w:rPr>
              <w:t>＞0.2；或10＞R＞5</w:t>
            </w:r>
          </w:p>
        </w:tc>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0.3＞A1＞0.05；或</w:t>
            </w:r>
          </w:p>
          <w:p>
            <w:pPr>
              <w:snapToGrid w:val="0"/>
              <w:spacing w:line="240" w:lineRule="atLeast"/>
              <w:ind w:firstLine="0" w:firstLineChars="0"/>
              <w:jc w:val="center"/>
              <w:rPr>
                <w:rFonts w:cs="Times New Roman"/>
                <w:color w:val="auto"/>
                <w:sz w:val="21"/>
                <w:szCs w:val="21"/>
              </w:rPr>
            </w:pPr>
            <w:r>
              <w:rPr>
                <w:rFonts w:cs="Times New Roman"/>
                <w:color w:val="auto"/>
                <w:sz w:val="21"/>
                <w:szCs w:val="21"/>
              </w:rPr>
              <w:t>1.5＞A</w:t>
            </w:r>
            <w:r>
              <w:rPr>
                <w:rFonts w:cs="Times New Roman"/>
                <w:color w:val="auto"/>
                <w:sz w:val="21"/>
                <w:szCs w:val="21"/>
                <w:vertAlign w:val="subscript"/>
              </w:rPr>
              <w:t>2</w:t>
            </w:r>
            <w:r>
              <w:rPr>
                <w:rFonts w:cs="Times New Roman"/>
                <w:color w:val="auto"/>
                <w:sz w:val="21"/>
                <w:szCs w:val="21"/>
              </w:rPr>
              <w:t>＞0.2；或20＞R＞5</w:t>
            </w:r>
          </w:p>
        </w:tc>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0.5＞A</w:t>
            </w:r>
            <w:r>
              <w:rPr>
                <w:rFonts w:cs="Times New Roman"/>
                <w:color w:val="auto"/>
                <w:sz w:val="21"/>
                <w:szCs w:val="21"/>
                <w:vertAlign w:val="subscript"/>
              </w:rPr>
              <w:t>1</w:t>
            </w:r>
            <w:r>
              <w:rPr>
                <w:rFonts w:cs="Times New Roman"/>
                <w:color w:val="auto"/>
                <w:sz w:val="21"/>
                <w:szCs w:val="21"/>
              </w:rPr>
              <w:t>＞0.15；或3＞A</w:t>
            </w:r>
            <w:r>
              <w:rPr>
                <w:rFonts w:cs="Times New Roman"/>
                <w:color w:val="auto"/>
                <w:sz w:val="21"/>
                <w:szCs w:val="21"/>
                <w:vertAlign w:val="subscript"/>
              </w:rPr>
              <w:t>2</w:t>
            </w:r>
            <w:r>
              <w:rPr>
                <w:rFonts w:cs="Times New Roman"/>
                <w:color w:val="auto"/>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三级</w:t>
            </w:r>
          </w:p>
        </w:tc>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α≥20；或混合</w:t>
            </w:r>
          </w:p>
          <w:p>
            <w:pPr>
              <w:snapToGrid w:val="0"/>
              <w:spacing w:line="240" w:lineRule="atLeast"/>
              <w:ind w:firstLine="0" w:firstLineChars="0"/>
              <w:jc w:val="center"/>
              <w:rPr>
                <w:rFonts w:cs="Times New Roman"/>
                <w:color w:val="auto"/>
                <w:sz w:val="21"/>
                <w:szCs w:val="21"/>
              </w:rPr>
            </w:pPr>
            <w:r>
              <w:rPr>
                <w:rFonts w:cs="Times New Roman"/>
                <w:color w:val="auto"/>
                <w:sz w:val="21"/>
                <w:szCs w:val="21"/>
              </w:rPr>
              <w:t>型</w:t>
            </w:r>
          </w:p>
        </w:tc>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β≤2；或无调节</w:t>
            </w:r>
          </w:p>
        </w:tc>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γ≤10</w:t>
            </w:r>
          </w:p>
        </w:tc>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A</w:t>
            </w:r>
            <w:r>
              <w:rPr>
                <w:rFonts w:cs="Times New Roman"/>
                <w:color w:val="auto"/>
                <w:sz w:val="21"/>
                <w:szCs w:val="21"/>
                <w:vertAlign w:val="subscript"/>
              </w:rPr>
              <w:t>1</w:t>
            </w:r>
            <w:r>
              <w:rPr>
                <w:rFonts w:cs="Times New Roman"/>
                <w:color w:val="auto"/>
                <w:sz w:val="21"/>
                <w:szCs w:val="21"/>
              </w:rPr>
              <w:t>≤0.05；或A</w:t>
            </w:r>
            <w:r>
              <w:rPr>
                <w:rFonts w:cs="Times New Roman"/>
                <w:color w:val="auto"/>
                <w:sz w:val="21"/>
                <w:szCs w:val="21"/>
                <w:vertAlign w:val="subscript"/>
              </w:rPr>
              <w:t>2</w:t>
            </w:r>
            <w:r>
              <w:rPr>
                <w:rFonts w:cs="Times New Roman"/>
                <w:color w:val="auto"/>
                <w:sz w:val="21"/>
                <w:szCs w:val="21"/>
              </w:rPr>
              <w:t>≤0.2；或R≤5</w:t>
            </w:r>
          </w:p>
        </w:tc>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A</w:t>
            </w:r>
            <w:r>
              <w:rPr>
                <w:rFonts w:cs="Times New Roman"/>
                <w:color w:val="auto"/>
                <w:sz w:val="21"/>
                <w:szCs w:val="21"/>
                <w:vertAlign w:val="subscript"/>
              </w:rPr>
              <w:t>1</w:t>
            </w:r>
            <w:r>
              <w:rPr>
                <w:rFonts w:cs="Times New Roman"/>
                <w:color w:val="auto"/>
                <w:sz w:val="21"/>
                <w:szCs w:val="21"/>
              </w:rPr>
              <w:t>≤0.05；或A</w:t>
            </w:r>
            <w:r>
              <w:rPr>
                <w:rFonts w:cs="Times New Roman"/>
                <w:color w:val="auto"/>
                <w:sz w:val="21"/>
                <w:szCs w:val="21"/>
                <w:vertAlign w:val="subscript"/>
              </w:rPr>
              <w:t>2</w:t>
            </w:r>
            <w:r>
              <w:rPr>
                <w:rFonts w:cs="Times New Roman"/>
                <w:color w:val="auto"/>
                <w:sz w:val="21"/>
                <w:szCs w:val="21"/>
              </w:rPr>
              <w:t>≤0.2；或R≤5</w:t>
            </w:r>
          </w:p>
        </w:tc>
        <w:tc>
          <w:tcPr>
            <w:tcW w:w="0" w:type="auto"/>
            <w:tcBorders>
              <w:tl2br w:val="nil"/>
              <w:tr2bl w:val="nil"/>
            </w:tcBorders>
            <w:vAlign w:val="center"/>
          </w:tcPr>
          <w:p>
            <w:pPr>
              <w:snapToGrid w:val="0"/>
              <w:spacing w:line="240" w:lineRule="atLeast"/>
              <w:ind w:firstLine="0" w:firstLineChars="0"/>
              <w:jc w:val="center"/>
              <w:rPr>
                <w:rFonts w:cs="Times New Roman"/>
                <w:color w:val="auto"/>
                <w:sz w:val="21"/>
                <w:szCs w:val="21"/>
              </w:rPr>
            </w:pPr>
            <w:r>
              <w:rPr>
                <w:rFonts w:cs="Times New Roman"/>
                <w:color w:val="auto"/>
                <w:sz w:val="21"/>
                <w:szCs w:val="21"/>
              </w:rPr>
              <w:t>A1≤0.15；或A</w:t>
            </w:r>
            <w:r>
              <w:rPr>
                <w:rFonts w:cs="Times New Roman"/>
                <w:color w:val="auto"/>
                <w:sz w:val="21"/>
                <w:szCs w:val="21"/>
                <w:vertAlign w:val="subscript"/>
              </w:rPr>
              <w:t>2</w:t>
            </w:r>
            <w:r>
              <w:rPr>
                <w:rFonts w:cs="Times New Roman"/>
                <w:color w:val="auto"/>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gridSpan w:val="7"/>
            <w:tcBorders>
              <w:tl2br w:val="nil"/>
              <w:tr2bl w:val="nil"/>
            </w:tcBorders>
            <w:vAlign w:val="center"/>
          </w:tcPr>
          <w:p>
            <w:pPr>
              <w:snapToGrid w:val="0"/>
              <w:spacing w:line="240" w:lineRule="auto"/>
              <w:ind w:firstLine="0" w:firstLineChars="0"/>
              <w:jc w:val="left"/>
              <w:rPr>
                <w:rFonts w:cs="Times New Roman"/>
                <w:color w:val="auto"/>
                <w:sz w:val="21"/>
                <w:szCs w:val="21"/>
              </w:rPr>
            </w:pPr>
            <w:r>
              <w:rPr>
                <w:rFonts w:cs="Times New Roman"/>
                <w:color w:val="auto"/>
                <w:sz w:val="21"/>
                <w:szCs w:val="21"/>
              </w:rPr>
              <w:t>注1：影响范围涉及饮用水水源保护区、重点保护与珍稀水生生物的栖息地、重要水生生物的自然产卵场、自然保护区等保护目标，评价等级应不低于二级。</w:t>
            </w:r>
          </w:p>
          <w:p>
            <w:pPr>
              <w:snapToGrid w:val="0"/>
              <w:spacing w:line="240" w:lineRule="auto"/>
              <w:ind w:firstLine="0" w:firstLineChars="0"/>
              <w:jc w:val="left"/>
              <w:rPr>
                <w:rFonts w:cs="Times New Roman"/>
                <w:color w:val="auto"/>
                <w:sz w:val="21"/>
                <w:szCs w:val="21"/>
              </w:rPr>
            </w:pPr>
            <w:r>
              <w:rPr>
                <w:rFonts w:cs="Times New Roman"/>
                <w:color w:val="auto"/>
                <w:sz w:val="21"/>
                <w:szCs w:val="21"/>
              </w:rPr>
              <w:t>注2：跨流域调水、引水式电站、可能受到河流感潮河段影响，评价等级不低于二级。</w:t>
            </w:r>
          </w:p>
          <w:p>
            <w:pPr>
              <w:snapToGrid w:val="0"/>
              <w:spacing w:line="240" w:lineRule="auto"/>
              <w:ind w:firstLine="0" w:firstLineChars="0"/>
              <w:jc w:val="left"/>
              <w:rPr>
                <w:rFonts w:cs="Times New Roman"/>
                <w:color w:val="auto"/>
                <w:sz w:val="21"/>
                <w:szCs w:val="21"/>
              </w:rPr>
            </w:pPr>
            <w:r>
              <w:rPr>
                <w:rFonts w:cs="Times New Roman"/>
                <w:color w:val="auto"/>
                <w:sz w:val="21"/>
                <w:szCs w:val="21"/>
              </w:rPr>
              <w:t>注3：造成入海河口（湾口）宽度束窄（束窄尺度达到原宽度的5%以上），评价等级应不低于二级。</w:t>
            </w:r>
          </w:p>
          <w:p>
            <w:pPr>
              <w:snapToGrid w:val="0"/>
              <w:spacing w:line="240" w:lineRule="auto"/>
              <w:ind w:firstLine="0" w:firstLineChars="0"/>
              <w:jc w:val="left"/>
              <w:rPr>
                <w:rFonts w:cs="Times New Roman"/>
                <w:color w:val="auto"/>
                <w:sz w:val="21"/>
                <w:szCs w:val="21"/>
              </w:rPr>
            </w:pPr>
            <w:r>
              <w:rPr>
                <w:rFonts w:cs="Times New Roman"/>
                <w:color w:val="auto"/>
                <w:sz w:val="21"/>
                <w:szCs w:val="21"/>
              </w:rPr>
              <w:t>注4：对不透水的单方向建筑尺度较长的水工建筑物（如防波堤、导流堤等），其与潮流或水流主流向切线垂直方向投影长度大于2km时，评价等级应不低于二级。</w:t>
            </w:r>
          </w:p>
          <w:p>
            <w:pPr>
              <w:snapToGrid w:val="0"/>
              <w:spacing w:line="240" w:lineRule="auto"/>
              <w:ind w:firstLine="0" w:firstLineChars="0"/>
              <w:jc w:val="left"/>
              <w:rPr>
                <w:rFonts w:cs="Times New Roman"/>
                <w:color w:val="auto"/>
                <w:sz w:val="21"/>
                <w:szCs w:val="21"/>
              </w:rPr>
            </w:pPr>
            <w:r>
              <w:rPr>
                <w:rFonts w:cs="Times New Roman"/>
                <w:color w:val="auto"/>
                <w:sz w:val="21"/>
                <w:szCs w:val="21"/>
              </w:rPr>
              <w:t>注5：允许在一类海域建设的项目，评价等级为一级。</w:t>
            </w:r>
          </w:p>
          <w:p>
            <w:pPr>
              <w:snapToGrid w:val="0"/>
              <w:spacing w:line="240" w:lineRule="auto"/>
              <w:ind w:firstLine="0" w:firstLineChars="0"/>
              <w:jc w:val="left"/>
              <w:rPr>
                <w:rFonts w:cs="Times New Roman"/>
                <w:color w:val="auto"/>
                <w:sz w:val="21"/>
                <w:szCs w:val="21"/>
              </w:rPr>
            </w:pPr>
            <w:r>
              <w:rPr>
                <w:rFonts w:cs="Times New Roman"/>
                <w:color w:val="auto"/>
                <w:sz w:val="21"/>
                <w:szCs w:val="21"/>
              </w:rPr>
              <w:t>注6：同时存在多个水文要素影响的建设项目，分别判定各水文要素影响评价等级，并取其中最高等级作为水文要素影响型建设项目评价等级。</w:t>
            </w:r>
          </w:p>
        </w:tc>
      </w:tr>
    </w:tbl>
    <w:p>
      <w:pPr>
        <w:pStyle w:val="140"/>
        <w:snapToGrid w:val="0"/>
        <w:spacing w:before="200" w:beforeLines="50"/>
        <w:ind w:firstLine="480"/>
        <w:rPr>
          <w:rFonts w:cs="Times New Roman"/>
          <w:color w:val="auto"/>
        </w:rPr>
      </w:pPr>
      <w:r>
        <w:rPr>
          <w:rFonts w:cs="Times New Roman"/>
          <w:color w:val="auto"/>
        </w:rPr>
        <w:t>项目治理的河道水体水深较浅，无明显水温分层，项目涉水施工对水体水温影响较小。本次评价以重建拦水堰扰动水底面积A</w:t>
      </w:r>
      <w:r>
        <w:rPr>
          <w:rFonts w:cs="Times New Roman"/>
          <w:color w:val="auto"/>
          <w:vertAlign w:val="subscript"/>
        </w:rPr>
        <w:t>2</w:t>
      </w:r>
      <w:r>
        <w:rPr>
          <w:rFonts w:cs="Times New Roman"/>
          <w:color w:val="auto"/>
        </w:rPr>
        <w:t>来进行水文要素影响评价等级判定。</w:t>
      </w:r>
    </w:p>
    <w:p>
      <w:pPr>
        <w:pStyle w:val="122"/>
        <w:rPr>
          <w:rFonts w:eastAsiaTheme="minorEastAsia"/>
          <w:b/>
          <w:color w:val="auto"/>
          <w:kern w:val="2"/>
        </w:rPr>
      </w:pPr>
      <w:r>
        <w:rPr>
          <w:rFonts w:eastAsiaTheme="minorEastAsia"/>
          <w:b/>
          <w:color w:val="auto"/>
          <w:kern w:val="2"/>
        </w:rPr>
        <w:t>表2.</w:t>
      </w:r>
      <w:r>
        <w:rPr>
          <w:rFonts w:eastAsiaTheme="minorEastAsia"/>
          <w:b/>
          <w:color w:val="auto"/>
          <w:kern w:val="2"/>
          <w:lang w:val="en-US"/>
        </w:rPr>
        <w:t>4</w:t>
      </w:r>
      <w:r>
        <w:rPr>
          <w:rFonts w:eastAsiaTheme="minorEastAsia"/>
          <w:b/>
          <w:color w:val="auto"/>
          <w:kern w:val="2"/>
        </w:rPr>
        <w:t>-</w:t>
      </w:r>
      <w:r>
        <w:rPr>
          <w:rFonts w:eastAsiaTheme="minorEastAsia"/>
          <w:b/>
          <w:color w:val="auto"/>
          <w:kern w:val="2"/>
          <w:lang w:val="en-US"/>
        </w:rPr>
        <w:t>3</w:t>
      </w:r>
      <w:r>
        <w:rPr>
          <w:rFonts w:eastAsiaTheme="minorEastAsia"/>
          <w:b/>
          <w:color w:val="auto"/>
          <w:kern w:val="2"/>
        </w:rPr>
        <w:t xml:space="preserve">  水体扰动水底面积</w:t>
      </w:r>
    </w:p>
    <w:tbl>
      <w:tblPr>
        <w:tblStyle w:val="188"/>
        <w:tblW w:w="9302"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6234"/>
        <w:gridCol w:w="306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blHeader/>
        </w:trPr>
        <w:tc>
          <w:tcPr>
            <w:tcW w:w="6234"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3"/>
                <w:kern w:val="0"/>
                <w:sz w:val="21"/>
                <w:szCs w:val="21"/>
              </w:rPr>
              <w:t>名</w:t>
            </w:r>
            <w:r>
              <w:rPr>
                <w:rFonts w:cs="Times New Roman"/>
                <w:b/>
                <w:bCs/>
                <w:snapToGrid w:val="0"/>
                <w:color w:val="auto"/>
                <w:spacing w:val="-2"/>
                <w:kern w:val="0"/>
                <w:sz w:val="21"/>
                <w:szCs w:val="21"/>
              </w:rPr>
              <w:t>称</w:t>
            </w:r>
          </w:p>
        </w:tc>
        <w:tc>
          <w:tcPr>
            <w:tcW w:w="3068"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5"/>
                <w:kern w:val="0"/>
                <w:sz w:val="21"/>
                <w:szCs w:val="21"/>
              </w:rPr>
              <w:t>扰</w:t>
            </w:r>
            <w:r>
              <w:rPr>
                <w:rFonts w:cs="Times New Roman"/>
                <w:b/>
                <w:bCs/>
                <w:snapToGrid w:val="0"/>
                <w:color w:val="auto"/>
                <w:spacing w:val="-3"/>
                <w:kern w:val="0"/>
                <w:sz w:val="21"/>
                <w:szCs w:val="21"/>
              </w:rPr>
              <w:t>动面积km</w:t>
            </w:r>
            <w:r>
              <w:rPr>
                <w:rFonts w:cs="Times New Roman"/>
                <w:b/>
                <w:bCs/>
                <w:snapToGrid w:val="0"/>
                <w:color w:val="auto"/>
                <w:spacing w:val="-3"/>
                <w:kern w:val="0"/>
                <w:sz w:val="21"/>
                <w:szCs w:val="21"/>
                <w:vertAlign w:val="superscript"/>
              </w:rPr>
              <w:t>2</w:t>
            </w:r>
            <w:r>
              <w:rPr>
                <w:rFonts w:cs="Times New Roman"/>
                <w:b/>
                <w:bCs/>
                <w:snapToGrid w:val="0"/>
                <w:color w:val="auto"/>
                <w:spacing w:val="-3"/>
                <w:kern w:val="0"/>
                <w:sz w:val="21"/>
                <w:szCs w:val="21"/>
              </w:rPr>
              <w:t>(A</w:t>
            </w:r>
            <w:r>
              <w:rPr>
                <w:rFonts w:cs="Times New Roman"/>
                <w:b/>
                <w:bCs/>
                <w:snapToGrid w:val="0"/>
                <w:color w:val="auto"/>
                <w:spacing w:val="-3"/>
                <w:kern w:val="0"/>
                <w:sz w:val="21"/>
                <w:szCs w:val="21"/>
                <w:vertAlign w:val="subscript"/>
              </w:rPr>
              <w:t>2</w:t>
            </w:r>
            <w:r>
              <w:rPr>
                <w:rFonts w:cs="Times New Roman"/>
                <w:b/>
                <w:bCs/>
                <w:snapToGrid w:val="0"/>
                <w:color w:val="auto"/>
                <w:spacing w:val="-3"/>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6234" w:type="dxa"/>
            <w:tcBorders>
              <w:top w:val="single" w:color="000000" w:sz="12" w:space="0"/>
              <w:bottom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eastAsia" w:eastAsia="宋体" w:cs="Times New Roman"/>
                <w:b w:val="0"/>
                <w:bCs w:val="0"/>
                <w:snapToGrid w:val="0"/>
                <w:color w:val="auto"/>
                <w:kern w:val="0"/>
                <w:sz w:val="21"/>
                <w:szCs w:val="21"/>
                <w:lang w:eastAsia="zh-CN"/>
              </w:rPr>
            </w:pPr>
            <w:r>
              <w:rPr>
                <w:rFonts w:hint="eastAsia" w:cs="Times New Roman"/>
                <w:b w:val="0"/>
                <w:bCs w:val="0"/>
                <w:snapToGrid w:val="0"/>
                <w:color w:val="auto"/>
                <w:kern w:val="0"/>
                <w:sz w:val="21"/>
                <w:szCs w:val="21"/>
                <w:lang w:val="en-US" w:eastAsia="zh-CN"/>
              </w:rPr>
              <w:t>佐龙镇段生态修复工程围堰</w:t>
            </w:r>
          </w:p>
        </w:tc>
        <w:tc>
          <w:tcPr>
            <w:tcW w:w="3068" w:type="dxa"/>
            <w:tcBorders>
              <w:top w:val="single" w:color="000000" w:sz="12" w:space="0"/>
              <w:bottom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eastAsia="宋体"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5568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6234" w:type="dxa"/>
            <w:tcBorders>
              <w:top w:val="single" w:color="000000" w:sz="12" w:space="0"/>
              <w:bottom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城关镇段生态修复工程段围堰</w:t>
            </w:r>
          </w:p>
        </w:tc>
        <w:tc>
          <w:tcPr>
            <w:tcW w:w="3068" w:type="dxa"/>
            <w:tcBorders>
              <w:top w:val="single" w:color="000000" w:sz="12" w:space="0"/>
              <w:bottom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7345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6234" w:type="dxa"/>
            <w:tcBorders>
              <w:top w:val="single" w:color="000000" w:sz="12" w:space="0"/>
              <w:bottom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蔺河镇段生态修复工程段围堰</w:t>
            </w:r>
          </w:p>
        </w:tc>
        <w:tc>
          <w:tcPr>
            <w:tcW w:w="3068" w:type="dxa"/>
            <w:tcBorders>
              <w:top w:val="single" w:color="000000" w:sz="12" w:space="0"/>
              <w:bottom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1758.4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6234" w:type="dxa"/>
            <w:tcBorders>
              <w:top w:val="single" w:color="000000" w:sz="12" w:space="0"/>
              <w:bottom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南宫山镇段生态修复工程段围堰</w:t>
            </w:r>
          </w:p>
        </w:tc>
        <w:tc>
          <w:tcPr>
            <w:tcW w:w="3068" w:type="dxa"/>
            <w:tcBorders>
              <w:top w:val="single" w:color="000000" w:sz="12" w:space="0"/>
              <w:bottom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4499.3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6234"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孟石岭镇段生态修复工程段围堰</w:t>
            </w:r>
          </w:p>
        </w:tc>
        <w:tc>
          <w:tcPr>
            <w:tcW w:w="3068"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1298.8</w:t>
            </w:r>
          </w:p>
        </w:tc>
      </w:tr>
    </w:tbl>
    <w:p>
      <w:pPr>
        <w:widowControl/>
        <w:kinsoku w:val="0"/>
        <w:autoSpaceDE w:val="0"/>
        <w:autoSpaceDN w:val="0"/>
        <w:adjustRightInd w:val="0"/>
        <w:snapToGrid w:val="0"/>
        <w:spacing w:before="200" w:beforeLines="50"/>
        <w:ind w:firstLine="480"/>
        <w:jc w:val="left"/>
        <w:textAlignment w:val="baseline"/>
        <w:rPr>
          <w:rFonts w:cs="Times New Roman"/>
          <w:snapToGrid w:val="0"/>
          <w:color w:val="auto"/>
          <w:kern w:val="0"/>
        </w:rPr>
      </w:pPr>
      <w:r>
        <w:rPr>
          <w:rFonts w:cs="Times New Roman"/>
          <w:snapToGrid w:val="0"/>
          <w:color w:val="auto"/>
          <w:kern w:val="0"/>
        </w:rPr>
        <w:t>涉水工程扰动水底面积</w:t>
      </w:r>
      <w:r>
        <w:rPr>
          <w:rFonts w:eastAsia="Times New Roman" w:cs="Times New Roman"/>
          <w:snapToGrid w:val="0"/>
          <w:color w:val="auto"/>
          <w:kern w:val="0"/>
        </w:rPr>
        <w:t>A</w:t>
      </w:r>
      <w:r>
        <w:rPr>
          <w:rFonts w:eastAsia="Times New Roman" w:cs="Times New Roman"/>
          <w:snapToGrid w:val="0"/>
          <w:color w:val="auto"/>
          <w:kern w:val="0"/>
          <w:sz w:val="16"/>
          <w:szCs w:val="16"/>
        </w:rPr>
        <w:t>2</w:t>
      </w:r>
      <w:r>
        <w:rPr>
          <w:rFonts w:hint="eastAsia" w:cs="Times New Roman"/>
          <w:snapToGrid w:val="0"/>
          <w:color w:val="auto"/>
          <w:kern w:val="0"/>
          <w:lang w:val="en-US" w:eastAsia="zh-CN"/>
        </w:rPr>
        <w:t>均</w:t>
      </w:r>
      <w:r>
        <w:rPr>
          <w:rFonts w:cs="Times New Roman"/>
          <w:snapToGrid w:val="0"/>
          <w:color w:val="auto"/>
          <w:kern w:val="0"/>
        </w:rPr>
        <w:t>小于</w:t>
      </w:r>
      <w:r>
        <w:rPr>
          <w:rFonts w:eastAsia="Times New Roman" w:cs="Times New Roman"/>
          <w:snapToGrid w:val="0"/>
          <w:color w:val="auto"/>
          <w:kern w:val="0"/>
        </w:rPr>
        <w:t>0.2</w:t>
      </w:r>
      <w:r>
        <w:rPr>
          <w:rFonts w:cs="Times New Roman"/>
          <w:snapToGrid w:val="0"/>
          <w:color w:val="auto"/>
          <w:kern w:val="0"/>
        </w:rPr>
        <w:t>，项目施工水域不涉及饮用水水源保护区、重点保护与珍稀水生生物的栖息地、重要水生生物的自然产卵场、自然保护区等保护目标，因此本项目水文要素影响评价等级为三级。</w:t>
      </w:r>
    </w:p>
    <w:p>
      <w:pPr>
        <w:pStyle w:val="140"/>
        <w:snapToGrid w:val="0"/>
        <w:ind w:firstLine="480"/>
        <w:rPr>
          <w:rFonts w:cs="Times New Roman"/>
          <w:color w:val="auto"/>
        </w:rPr>
      </w:pPr>
      <w:r>
        <w:rPr>
          <w:rFonts w:cs="Times New Roman"/>
          <w:snapToGrid w:val="0"/>
          <w:color w:val="auto"/>
          <w:szCs w:val="24"/>
        </w:rPr>
        <w:t>综上所述，综合本项目水污染影响和水文要素影响，确定本项目地表水评价等级为三级。</w:t>
      </w:r>
    </w:p>
    <w:p>
      <w:pPr>
        <w:pStyle w:val="140"/>
        <w:snapToGrid w:val="0"/>
        <w:ind w:firstLine="480"/>
        <w:rPr>
          <w:rFonts w:cs="Times New Roman"/>
          <w:color w:val="auto"/>
        </w:rPr>
      </w:pPr>
      <w:r>
        <w:rPr>
          <w:rFonts w:cs="Times New Roman"/>
          <w:color w:val="auto"/>
        </w:rPr>
        <w:t>（2）评价范围</w:t>
      </w:r>
    </w:p>
    <w:p>
      <w:pPr>
        <w:snapToGrid w:val="0"/>
        <w:ind w:firstLine="480"/>
        <w:rPr>
          <w:rFonts w:cs="Times New Roman"/>
          <w:color w:val="auto"/>
          <w:highlight w:val="green"/>
        </w:rPr>
      </w:pPr>
      <w:r>
        <w:rPr>
          <w:rFonts w:cs="Times New Roman"/>
          <w:color w:val="auto"/>
        </w:rPr>
        <w:t>本项目评价范围为</w:t>
      </w:r>
      <w:r>
        <w:rPr>
          <w:rFonts w:hint="eastAsia" w:cs="Times New Roman"/>
          <w:color w:val="auto"/>
        </w:rPr>
        <w:t>工程河段</w:t>
      </w:r>
      <w:r>
        <w:rPr>
          <w:rFonts w:cs="Times New Roman"/>
          <w:color w:val="auto"/>
        </w:rPr>
        <w:t>上游500m至下游1000m。</w:t>
      </w:r>
    </w:p>
    <w:p>
      <w:pPr>
        <w:pStyle w:val="4"/>
        <w:numPr>
          <w:ilvl w:val="2"/>
          <w:numId w:val="0"/>
        </w:numPr>
        <w:adjustRightInd w:val="0"/>
        <w:snapToGrid w:val="0"/>
        <w:ind w:firstLine="480" w:firstLineChars="200"/>
        <w:rPr>
          <w:rFonts w:cs="Times New Roman"/>
          <w:color w:val="auto"/>
        </w:rPr>
      </w:pPr>
      <w:r>
        <w:rPr>
          <w:rFonts w:cs="Times New Roman"/>
          <w:color w:val="auto"/>
        </w:rPr>
        <w:t>2.4.3地下水环境评价等级及范围</w:t>
      </w:r>
    </w:p>
    <w:p>
      <w:pPr>
        <w:snapToGrid w:val="0"/>
        <w:ind w:firstLine="480"/>
        <w:textAlignment w:val="baseline"/>
        <w:rPr>
          <w:rFonts w:cs="Times New Roman"/>
          <w:color w:val="auto"/>
        </w:rPr>
      </w:pPr>
      <w:r>
        <w:rPr>
          <w:rFonts w:cs="Times New Roman"/>
          <w:color w:val="auto"/>
        </w:rPr>
        <w:t>（1）项目类别</w:t>
      </w:r>
    </w:p>
    <w:p>
      <w:pPr>
        <w:snapToGrid w:val="0"/>
        <w:ind w:firstLine="480"/>
        <w:textAlignment w:val="baseline"/>
        <w:rPr>
          <w:rFonts w:cs="Times New Roman"/>
          <w:color w:val="auto"/>
        </w:rPr>
      </w:pPr>
      <w:r>
        <w:rPr>
          <w:rFonts w:cs="Times New Roman"/>
          <w:color w:val="auto"/>
        </w:rPr>
        <w:t>根据《环境影响评价技术导则  地下水环境》(HJ610-2016)附录A确定本项目所涉及的E4822河湖治理及防洪设施工程建筑行业大类为A水利5、河湖整治工程，项目类别为Ⅲ类；</w:t>
      </w:r>
    </w:p>
    <w:p>
      <w:pPr>
        <w:pStyle w:val="140"/>
        <w:snapToGrid w:val="0"/>
        <w:ind w:firstLine="480"/>
        <w:rPr>
          <w:rFonts w:cs="Times New Roman"/>
          <w:color w:val="auto"/>
          <w:lang w:val="zh-CN"/>
        </w:rPr>
      </w:pPr>
      <w:r>
        <w:rPr>
          <w:rFonts w:cs="Times New Roman"/>
          <w:color w:val="auto"/>
        </w:rPr>
        <w:t>（2）建设项目地下水环境敏感程度</w:t>
      </w:r>
    </w:p>
    <w:p>
      <w:pPr>
        <w:pStyle w:val="140"/>
        <w:snapToGrid w:val="0"/>
        <w:ind w:firstLine="480"/>
        <w:rPr>
          <w:rFonts w:cs="Times New Roman"/>
          <w:color w:val="auto"/>
        </w:rPr>
      </w:pPr>
      <w:r>
        <w:rPr>
          <w:rFonts w:cs="Times New Roman"/>
          <w:color w:val="auto"/>
          <w:lang w:val="zh-CN"/>
        </w:rPr>
        <w:t>建设项目地下水环境敏感程度分级表</w:t>
      </w:r>
      <w:r>
        <w:rPr>
          <w:rFonts w:cs="Times New Roman"/>
          <w:color w:val="auto"/>
        </w:rPr>
        <w:t>见表2.4-4。</w:t>
      </w:r>
    </w:p>
    <w:p>
      <w:pPr>
        <w:pStyle w:val="122"/>
        <w:rPr>
          <w:rFonts w:eastAsiaTheme="minorEastAsia"/>
          <w:b/>
          <w:color w:val="auto"/>
          <w:kern w:val="2"/>
        </w:rPr>
      </w:pPr>
      <w:r>
        <w:rPr>
          <w:rFonts w:eastAsiaTheme="minorEastAsia"/>
          <w:b/>
          <w:color w:val="auto"/>
          <w:kern w:val="2"/>
        </w:rPr>
        <w:t>表2.4-4   地下水环境敏感程度分级表</w:t>
      </w:r>
    </w:p>
    <w:tbl>
      <w:tblPr>
        <w:tblStyle w:val="42"/>
        <w:tblW w:w="8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7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169" w:type="dxa"/>
            <w:tcBorders>
              <w:bottom w:val="single" w:color="auto" w:sz="12" w:space="0"/>
            </w:tcBorders>
            <w:vAlign w:val="center"/>
          </w:tcPr>
          <w:p>
            <w:pPr>
              <w:pStyle w:val="141"/>
              <w:spacing w:line="320" w:lineRule="exact"/>
              <w:ind w:firstLine="0" w:firstLineChars="0"/>
              <w:rPr>
                <w:rFonts w:cs="Times New Roman"/>
                <w:color w:val="auto"/>
                <w:sz w:val="21"/>
                <w:szCs w:val="21"/>
              </w:rPr>
            </w:pPr>
            <w:r>
              <w:rPr>
                <w:rFonts w:cs="Times New Roman"/>
                <w:color w:val="auto"/>
                <w:sz w:val="21"/>
                <w:szCs w:val="21"/>
              </w:rPr>
              <w:t>敏感程度</w:t>
            </w:r>
          </w:p>
        </w:tc>
        <w:tc>
          <w:tcPr>
            <w:tcW w:w="7779" w:type="dxa"/>
            <w:tcBorders>
              <w:bottom w:val="single" w:color="auto" w:sz="12" w:space="0"/>
            </w:tcBorders>
            <w:vAlign w:val="center"/>
          </w:tcPr>
          <w:p>
            <w:pPr>
              <w:pStyle w:val="141"/>
              <w:spacing w:line="320" w:lineRule="exact"/>
              <w:ind w:firstLine="0" w:firstLineChars="0"/>
              <w:rPr>
                <w:rFonts w:cs="Times New Roman"/>
                <w:color w:val="auto"/>
                <w:sz w:val="21"/>
                <w:szCs w:val="21"/>
              </w:rPr>
            </w:pPr>
            <w:r>
              <w:rPr>
                <w:rFonts w:cs="Times New Roman"/>
                <w:color w:val="auto"/>
                <w:sz w:val="21"/>
                <w:szCs w:val="21"/>
              </w:rPr>
              <w:t>项目场地的地下水环境敏感特征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12" w:space="0"/>
              <w:tl2br w:val="nil"/>
              <w:tr2bl w:val="nil"/>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敏感</w:t>
            </w:r>
          </w:p>
        </w:tc>
        <w:tc>
          <w:tcPr>
            <w:tcW w:w="7779" w:type="dxa"/>
            <w:tcBorders>
              <w:top w:val="single" w:color="auto" w:sz="12" w:space="0"/>
              <w:tl2br w:val="nil"/>
              <w:tr2bl w:val="nil"/>
            </w:tcBorders>
            <w:vAlign w:val="center"/>
          </w:tcPr>
          <w:p>
            <w:pPr>
              <w:pStyle w:val="142"/>
              <w:spacing w:line="320" w:lineRule="exact"/>
              <w:ind w:firstLine="0" w:firstLineChars="0"/>
              <w:jc w:val="left"/>
              <w:rPr>
                <w:rFonts w:cs="Times New Roman"/>
                <w:color w:val="auto"/>
                <w:sz w:val="21"/>
                <w:szCs w:val="21"/>
              </w:rPr>
            </w:pPr>
            <w:r>
              <w:rPr>
                <w:rFonts w:cs="Times New Roman"/>
                <w:color w:val="auto"/>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l2br w:val="nil"/>
              <w:tr2bl w:val="nil"/>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较敏感</w:t>
            </w:r>
          </w:p>
        </w:tc>
        <w:tc>
          <w:tcPr>
            <w:tcW w:w="7779" w:type="dxa"/>
            <w:tcBorders>
              <w:tl2br w:val="nil"/>
              <w:tr2bl w:val="nil"/>
            </w:tcBorders>
            <w:vAlign w:val="center"/>
          </w:tcPr>
          <w:p>
            <w:pPr>
              <w:pStyle w:val="142"/>
              <w:spacing w:line="320" w:lineRule="exact"/>
              <w:ind w:firstLine="0" w:firstLineChars="0"/>
              <w:jc w:val="left"/>
              <w:rPr>
                <w:rFonts w:cs="Times New Roman"/>
                <w:color w:val="auto"/>
                <w:sz w:val="21"/>
                <w:szCs w:val="21"/>
              </w:rPr>
            </w:pPr>
            <w:r>
              <w:rPr>
                <w:rFonts w:cs="Times New Roman"/>
                <w:color w:val="auto"/>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rFonts w:cs="Times New Roman"/>
                <w:color w:val="auto"/>
                <w:sz w:val="21"/>
                <w:szCs w:val="21"/>
                <w:vertAlign w:val="superscript"/>
              </w:rPr>
              <w:t>a</w:t>
            </w:r>
            <w:r>
              <w:rPr>
                <w:rFonts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l2br w:val="nil"/>
              <w:tr2bl w:val="nil"/>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不敏感</w:t>
            </w:r>
          </w:p>
        </w:tc>
        <w:tc>
          <w:tcPr>
            <w:tcW w:w="7779" w:type="dxa"/>
            <w:tcBorders>
              <w:tl2br w:val="nil"/>
              <w:tr2bl w:val="nil"/>
            </w:tcBorders>
            <w:vAlign w:val="center"/>
          </w:tcPr>
          <w:p>
            <w:pPr>
              <w:pStyle w:val="142"/>
              <w:spacing w:line="320" w:lineRule="exact"/>
              <w:ind w:firstLine="0" w:firstLineChars="0"/>
              <w:jc w:val="left"/>
              <w:rPr>
                <w:rFonts w:cs="Times New Roman"/>
                <w:color w:val="auto"/>
                <w:sz w:val="21"/>
                <w:szCs w:val="21"/>
              </w:rPr>
            </w:pPr>
            <w:r>
              <w:rPr>
                <w:rFonts w:cs="Times New Roman"/>
                <w:color w:val="auto"/>
                <w:sz w:val="21"/>
                <w:szCs w:val="21"/>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48" w:type="dxa"/>
            <w:gridSpan w:val="2"/>
            <w:tcBorders>
              <w:tl2br w:val="nil"/>
              <w:tr2bl w:val="nil"/>
            </w:tcBorders>
            <w:vAlign w:val="center"/>
          </w:tcPr>
          <w:p>
            <w:pPr>
              <w:pStyle w:val="142"/>
              <w:spacing w:line="320" w:lineRule="exact"/>
              <w:ind w:firstLine="0" w:firstLineChars="0"/>
              <w:jc w:val="left"/>
              <w:rPr>
                <w:rFonts w:cs="Times New Roman"/>
                <w:color w:val="auto"/>
                <w:sz w:val="21"/>
                <w:szCs w:val="21"/>
              </w:rPr>
            </w:pPr>
            <w:r>
              <w:rPr>
                <w:rFonts w:cs="Times New Roman"/>
                <w:color w:val="auto"/>
                <w:sz w:val="21"/>
                <w:szCs w:val="21"/>
              </w:rPr>
              <w:t>注：a“环境敏感区”是指《建设项目环境影响评价分类管理名录》中所界定的涉及地下水的环境敏感区。</w:t>
            </w:r>
          </w:p>
        </w:tc>
      </w:tr>
    </w:tbl>
    <w:p>
      <w:pPr>
        <w:snapToGrid w:val="0"/>
        <w:spacing w:before="200" w:beforeLines="50"/>
        <w:ind w:firstLine="480"/>
        <w:rPr>
          <w:rFonts w:cs="Times New Roman"/>
          <w:color w:val="auto"/>
        </w:rPr>
      </w:pPr>
      <w:r>
        <w:rPr>
          <w:rFonts w:cs="Times New Roman"/>
          <w:color w:val="auto"/>
        </w:rPr>
        <w:t>项目不涉及集中式饮用水水源准保护区及其他敏感区域</w:t>
      </w:r>
      <w:r>
        <w:rPr>
          <w:rStyle w:val="144"/>
          <w:rFonts w:cs="Times New Roman"/>
          <w:color w:val="auto"/>
          <w:szCs w:val="24"/>
        </w:rPr>
        <w:t>，因此项目所在区域地下水环境敏感程度为“不敏感”。</w:t>
      </w:r>
    </w:p>
    <w:p>
      <w:pPr>
        <w:snapToGrid w:val="0"/>
        <w:ind w:firstLine="480"/>
        <w:rPr>
          <w:rFonts w:cs="Times New Roman"/>
          <w:color w:val="auto"/>
        </w:rPr>
      </w:pPr>
      <w:r>
        <w:rPr>
          <w:rFonts w:cs="Times New Roman"/>
          <w:color w:val="auto"/>
        </w:rPr>
        <w:t>（3）评价工作等级</w:t>
      </w:r>
    </w:p>
    <w:p>
      <w:pPr>
        <w:snapToGrid w:val="0"/>
        <w:ind w:firstLine="480"/>
        <w:rPr>
          <w:rFonts w:cs="Times New Roman"/>
          <w:color w:val="auto"/>
        </w:rPr>
      </w:pPr>
      <w:r>
        <w:rPr>
          <w:rFonts w:cs="Times New Roman"/>
          <w:color w:val="auto"/>
        </w:rPr>
        <w:t>根据《环境影响评价技术导则 地下水环境》(HJ610-2016)，建设项目工作等级划分见表2.4-5。</w:t>
      </w:r>
    </w:p>
    <w:p>
      <w:pPr>
        <w:pStyle w:val="122"/>
        <w:spacing w:before="0" w:after="0"/>
        <w:rPr>
          <w:rFonts w:eastAsia="宋体"/>
          <w:b/>
          <w:color w:val="auto"/>
          <w:kern w:val="2"/>
          <w:lang w:val="en-US"/>
        </w:rPr>
      </w:pPr>
    </w:p>
    <w:p>
      <w:pPr>
        <w:pStyle w:val="122"/>
        <w:spacing w:before="0" w:after="0"/>
        <w:rPr>
          <w:rFonts w:eastAsia="宋体"/>
          <w:b/>
          <w:color w:val="auto"/>
          <w:kern w:val="2"/>
          <w:lang w:val="en-US"/>
        </w:rPr>
      </w:pPr>
    </w:p>
    <w:p>
      <w:pPr>
        <w:pStyle w:val="122"/>
        <w:spacing w:before="0" w:after="0"/>
        <w:rPr>
          <w:rFonts w:eastAsia="宋体"/>
          <w:b/>
          <w:color w:val="auto"/>
          <w:kern w:val="2"/>
          <w:lang w:val="en-US"/>
        </w:rPr>
      </w:pPr>
      <w:r>
        <w:rPr>
          <w:rFonts w:eastAsia="宋体"/>
          <w:b/>
          <w:color w:val="auto"/>
          <w:kern w:val="2"/>
          <w:lang w:val="en-US"/>
        </w:rPr>
        <w:t>表2.4-5   建设项目评价工作等级分级表</w:t>
      </w:r>
    </w:p>
    <w:tbl>
      <w:tblPr>
        <w:tblStyle w:val="42"/>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2454"/>
        <w:gridCol w:w="2559"/>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blHeader/>
          <w:jc w:val="center"/>
        </w:trPr>
        <w:tc>
          <w:tcPr>
            <w:tcW w:w="2312" w:type="dxa"/>
            <w:tcBorders>
              <w:top w:val="single" w:color="auto" w:sz="12" w:space="0"/>
              <w:left w:val="nil"/>
              <w:bottom w:val="single" w:color="auto" w:sz="12" w:space="0"/>
              <w:tl2br w:val="single" w:color="auto" w:sz="4" w:space="0"/>
            </w:tcBorders>
            <w:vAlign w:val="center"/>
          </w:tcPr>
          <w:p>
            <w:pPr>
              <w:pStyle w:val="141"/>
              <w:spacing w:line="320" w:lineRule="exact"/>
              <w:ind w:firstLine="0" w:firstLineChars="0"/>
              <w:rPr>
                <w:rFonts w:cs="Times New Roman"/>
                <w:color w:val="auto"/>
                <w:sz w:val="21"/>
                <w:szCs w:val="21"/>
              </w:rPr>
            </w:pPr>
            <w:r>
              <w:rPr>
                <w:rFonts w:cs="Times New Roman"/>
                <w:color w:val="auto"/>
                <w:sz w:val="21"/>
                <w:szCs w:val="21"/>
              </w:rPr>
              <w:t xml:space="preserve">        项目类别</w:t>
            </w:r>
          </w:p>
          <w:p>
            <w:pPr>
              <w:pStyle w:val="141"/>
              <w:spacing w:line="320" w:lineRule="exact"/>
              <w:ind w:firstLine="0" w:firstLineChars="0"/>
              <w:jc w:val="both"/>
              <w:rPr>
                <w:rFonts w:cs="Times New Roman"/>
                <w:color w:val="auto"/>
                <w:sz w:val="21"/>
                <w:szCs w:val="21"/>
              </w:rPr>
            </w:pPr>
            <w:r>
              <w:rPr>
                <w:rFonts w:cs="Times New Roman"/>
                <w:color w:val="auto"/>
                <w:sz w:val="21"/>
                <w:szCs w:val="21"/>
              </w:rPr>
              <w:t>环境敏感程度</w:t>
            </w:r>
          </w:p>
        </w:tc>
        <w:tc>
          <w:tcPr>
            <w:tcW w:w="2454" w:type="dxa"/>
            <w:tcBorders>
              <w:top w:val="single" w:color="auto" w:sz="12" w:space="0"/>
              <w:bottom w:val="single" w:color="auto" w:sz="12" w:space="0"/>
            </w:tcBorders>
            <w:vAlign w:val="center"/>
          </w:tcPr>
          <w:p>
            <w:pPr>
              <w:pStyle w:val="141"/>
              <w:spacing w:line="320" w:lineRule="exact"/>
              <w:ind w:firstLine="0" w:firstLineChars="0"/>
              <w:rPr>
                <w:rFonts w:cs="Times New Roman"/>
                <w:color w:val="auto"/>
                <w:sz w:val="21"/>
                <w:szCs w:val="21"/>
              </w:rPr>
            </w:pPr>
            <w:r>
              <w:rPr>
                <w:rFonts w:cs="Times New Roman"/>
                <w:color w:val="auto"/>
                <w:sz w:val="21"/>
                <w:szCs w:val="21"/>
              </w:rPr>
              <w:t>Ⅰ类项目</w:t>
            </w:r>
          </w:p>
        </w:tc>
        <w:tc>
          <w:tcPr>
            <w:tcW w:w="2559" w:type="dxa"/>
            <w:tcBorders>
              <w:top w:val="single" w:color="auto" w:sz="12" w:space="0"/>
              <w:bottom w:val="single" w:color="auto" w:sz="12" w:space="0"/>
            </w:tcBorders>
            <w:vAlign w:val="center"/>
          </w:tcPr>
          <w:p>
            <w:pPr>
              <w:pStyle w:val="141"/>
              <w:spacing w:line="320" w:lineRule="exact"/>
              <w:ind w:firstLine="0" w:firstLineChars="0"/>
              <w:rPr>
                <w:rFonts w:cs="Times New Roman"/>
                <w:color w:val="auto"/>
                <w:sz w:val="21"/>
                <w:szCs w:val="21"/>
              </w:rPr>
            </w:pPr>
            <w:r>
              <w:rPr>
                <w:rFonts w:cs="Times New Roman"/>
                <w:color w:val="auto"/>
                <w:sz w:val="21"/>
                <w:szCs w:val="21"/>
              </w:rPr>
              <w:t>Ⅱ类项目</w:t>
            </w:r>
          </w:p>
        </w:tc>
        <w:tc>
          <w:tcPr>
            <w:tcW w:w="1623" w:type="dxa"/>
            <w:tcBorders>
              <w:top w:val="single" w:color="auto" w:sz="12" w:space="0"/>
              <w:bottom w:val="single" w:color="auto" w:sz="12" w:space="0"/>
              <w:right w:val="nil"/>
            </w:tcBorders>
            <w:vAlign w:val="center"/>
          </w:tcPr>
          <w:p>
            <w:pPr>
              <w:pStyle w:val="141"/>
              <w:spacing w:line="320" w:lineRule="exact"/>
              <w:ind w:firstLine="0" w:firstLineChars="0"/>
              <w:rPr>
                <w:rFonts w:cs="Times New Roman"/>
                <w:color w:val="auto"/>
                <w:sz w:val="21"/>
                <w:szCs w:val="21"/>
              </w:rPr>
            </w:pPr>
            <w:r>
              <w:rPr>
                <w:rFonts w:cs="Times New Roman"/>
                <w:color w:val="auto"/>
                <w:sz w:val="21"/>
                <w:szCs w:val="21"/>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12" w:type="dxa"/>
            <w:tcBorders>
              <w:top w:val="single" w:color="auto" w:sz="12" w:space="0"/>
              <w:left w:val="nil"/>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敏感</w:t>
            </w:r>
          </w:p>
        </w:tc>
        <w:tc>
          <w:tcPr>
            <w:tcW w:w="2454" w:type="dxa"/>
            <w:tcBorders>
              <w:top w:val="single" w:color="auto" w:sz="12" w:space="0"/>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一</w:t>
            </w:r>
          </w:p>
        </w:tc>
        <w:tc>
          <w:tcPr>
            <w:tcW w:w="2559" w:type="dxa"/>
            <w:tcBorders>
              <w:top w:val="single" w:color="auto" w:sz="12" w:space="0"/>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一</w:t>
            </w:r>
          </w:p>
        </w:tc>
        <w:tc>
          <w:tcPr>
            <w:tcW w:w="1623" w:type="dxa"/>
            <w:tcBorders>
              <w:top w:val="single" w:color="auto" w:sz="12" w:space="0"/>
              <w:right w:val="nil"/>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12" w:type="dxa"/>
            <w:tcBorders>
              <w:left w:val="nil"/>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较敏感</w:t>
            </w:r>
          </w:p>
        </w:tc>
        <w:tc>
          <w:tcPr>
            <w:tcW w:w="2454" w:type="dxa"/>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一</w:t>
            </w:r>
          </w:p>
        </w:tc>
        <w:tc>
          <w:tcPr>
            <w:tcW w:w="2559" w:type="dxa"/>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二</w:t>
            </w:r>
          </w:p>
        </w:tc>
        <w:tc>
          <w:tcPr>
            <w:tcW w:w="1623" w:type="dxa"/>
            <w:tcBorders>
              <w:right w:val="nil"/>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12" w:type="dxa"/>
            <w:tcBorders>
              <w:left w:val="nil"/>
              <w:bottom w:val="single" w:color="auto" w:sz="12" w:space="0"/>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不敏感</w:t>
            </w:r>
          </w:p>
        </w:tc>
        <w:tc>
          <w:tcPr>
            <w:tcW w:w="2454" w:type="dxa"/>
            <w:tcBorders>
              <w:bottom w:val="single" w:color="auto" w:sz="12" w:space="0"/>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二</w:t>
            </w:r>
          </w:p>
        </w:tc>
        <w:tc>
          <w:tcPr>
            <w:tcW w:w="2559" w:type="dxa"/>
            <w:tcBorders>
              <w:bottom w:val="single" w:color="auto" w:sz="12" w:space="0"/>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三</w:t>
            </w:r>
          </w:p>
        </w:tc>
        <w:tc>
          <w:tcPr>
            <w:tcW w:w="1623" w:type="dxa"/>
            <w:tcBorders>
              <w:bottom w:val="single" w:color="auto" w:sz="12" w:space="0"/>
              <w:right w:val="nil"/>
            </w:tcBorders>
            <w:vAlign w:val="center"/>
          </w:tcPr>
          <w:p>
            <w:pPr>
              <w:pStyle w:val="142"/>
              <w:spacing w:line="320" w:lineRule="exact"/>
              <w:ind w:firstLine="0" w:firstLineChars="0"/>
              <w:rPr>
                <w:rFonts w:cs="Times New Roman"/>
                <w:color w:val="auto"/>
                <w:sz w:val="21"/>
                <w:szCs w:val="21"/>
              </w:rPr>
            </w:pPr>
            <w:r>
              <w:rPr>
                <w:rFonts w:cs="Times New Roman"/>
                <w:color w:val="auto"/>
                <w:sz w:val="21"/>
                <w:szCs w:val="21"/>
              </w:rPr>
              <w:t>三</w:t>
            </w:r>
          </w:p>
        </w:tc>
      </w:tr>
    </w:tbl>
    <w:p>
      <w:pPr>
        <w:pStyle w:val="143"/>
        <w:snapToGrid w:val="0"/>
        <w:spacing w:before="0" w:beforeLines="0"/>
        <w:ind w:firstLine="480"/>
        <w:rPr>
          <w:rFonts w:cs="Times New Roman"/>
          <w:color w:val="auto"/>
        </w:rPr>
      </w:pPr>
      <w:r>
        <w:rPr>
          <w:rFonts w:cs="Times New Roman"/>
          <w:color w:val="auto"/>
        </w:rPr>
        <w:t>综上所述，本项目属“Ⅲ类”项目，项目所在区域地下水环境敏感程度为“不敏感”，评价等级应为三级。</w:t>
      </w:r>
    </w:p>
    <w:p>
      <w:pPr>
        <w:pStyle w:val="143"/>
        <w:snapToGrid w:val="0"/>
        <w:spacing w:before="0" w:beforeLines="0"/>
        <w:ind w:firstLine="480"/>
        <w:rPr>
          <w:rFonts w:cs="Times New Roman"/>
          <w:color w:val="auto"/>
        </w:rPr>
      </w:pPr>
      <w:r>
        <w:rPr>
          <w:rFonts w:cs="Times New Roman"/>
          <w:color w:val="auto"/>
        </w:rPr>
        <w:t>（4）地下水评价范围</w:t>
      </w:r>
    </w:p>
    <w:p>
      <w:pPr>
        <w:pStyle w:val="143"/>
        <w:snapToGrid w:val="0"/>
        <w:spacing w:before="0" w:beforeLines="0"/>
        <w:ind w:firstLine="480"/>
        <w:rPr>
          <w:rFonts w:cs="Times New Roman"/>
          <w:color w:val="auto"/>
        </w:rPr>
      </w:pPr>
      <w:r>
        <w:rPr>
          <w:rFonts w:cs="Times New Roman"/>
          <w:color w:val="auto"/>
        </w:rPr>
        <w:t>根据《环境影响评价技术导则  地下水环境》（HJ610-2016），8.2.2.2线性工程应以工程边界两侧向外延伸200m作为调查评价范围；穿越饮用水源准保护区时，调查评价范围应至少包含水源保护区。因此本次地下水调查评价范围为工程范围边界向外延伸200m。</w:t>
      </w:r>
    </w:p>
    <w:p>
      <w:pPr>
        <w:pStyle w:val="4"/>
        <w:numPr>
          <w:ilvl w:val="2"/>
          <w:numId w:val="0"/>
        </w:numPr>
        <w:adjustRightInd w:val="0"/>
        <w:snapToGrid w:val="0"/>
        <w:ind w:firstLine="480" w:firstLineChars="200"/>
        <w:rPr>
          <w:rFonts w:cs="Times New Roman"/>
          <w:color w:val="auto"/>
        </w:rPr>
      </w:pPr>
      <w:r>
        <w:rPr>
          <w:rFonts w:cs="Times New Roman"/>
          <w:color w:val="auto"/>
        </w:rPr>
        <w:t>2.4.4声环境评价等级及范围</w:t>
      </w:r>
    </w:p>
    <w:p>
      <w:pPr>
        <w:pStyle w:val="143"/>
        <w:snapToGrid w:val="0"/>
        <w:spacing w:before="0" w:beforeLines="0"/>
        <w:ind w:firstLine="480"/>
        <w:rPr>
          <w:rFonts w:cs="Times New Roman"/>
          <w:color w:val="auto"/>
        </w:rPr>
      </w:pPr>
      <w:r>
        <w:rPr>
          <w:rFonts w:cs="Times New Roman"/>
          <w:color w:val="auto"/>
        </w:rPr>
        <w:t>本项目所在区域声环境功能区</w:t>
      </w:r>
      <w:r>
        <w:rPr>
          <w:rFonts w:hint="eastAsia" w:cs="Times New Roman"/>
          <w:color w:val="auto"/>
          <w:lang w:val="en-US" w:eastAsia="zh-CN"/>
        </w:rPr>
        <w:t>为</w:t>
      </w:r>
      <w:r>
        <w:rPr>
          <w:rFonts w:cs="Times New Roman"/>
          <w:color w:val="auto"/>
        </w:rPr>
        <w:t>2类区，噪声影响主要发生在施工期，是暂时的。项目建成后，所涉及河道无航道要求，项目建成后</w:t>
      </w:r>
      <w:r>
        <w:rPr>
          <w:rFonts w:hint="eastAsia" w:cs="Times New Roman"/>
          <w:color w:val="auto"/>
        </w:rPr>
        <w:t>基本无噪声源</w:t>
      </w:r>
      <w:r>
        <w:rPr>
          <w:rFonts w:cs="Times New Roman"/>
          <w:color w:val="auto"/>
        </w:rPr>
        <w:t>，建设项目建设前后评价范围敏感目标噪声级增高量小于3dB，且受影响人口数量变化不大。依据《环境影响评价技术导则 声环境》（HJ2.4-2021），根据下表，项目声环境评价工作等级判定为二级。</w:t>
      </w:r>
    </w:p>
    <w:p>
      <w:pPr>
        <w:pStyle w:val="122"/>
        <w:rPr>
          <w:rFonts w:eastAsia="宋体"/>
          <w:b/>
          <w:color w:val="auto"/>
          <w:kern w:val="2"/>
        </w:rPr>
      </w:pPr>
      <w:r>
        <w:rPr>
          <w:rFonts w:eastAsia="宋体"/>
          <w:b/>
          <w:color w:val="auto"/>
          <w:kern w:val="2"/>
        </w:rPr>
        <w:t>表2.</w:t>
      </w:r>
      <w:r>
        <w:rPr>
          <w:rFonts w:eastAsia="宋体"/>
          <w:b/>
          <w:color w:val="auto"/>
          <w:kern w:val="2"/>
          <w:lang w:val="en-US"/>
        </w:rPr>
        <w:t>4-6</w:t>
      </w:r>
      <w:r>
        <w:rPr>
          <w:rFonts w:eastAsia="宋体"/>
          <w:b/>
          <w:color w:val="auto"/>
          <w:kern w:val="2"/>
        </w:rPr>
        <w:t xml:space="preserve">  声环境评价工作等级判定表</w:t>
      </w:r>
    </w:p>
    <w:tbl>
      <w:tblPr>
        <w:tblStyle w:val="188"/>
        <w:tblW w:w="9138" w:type="dxa"/>
        <w:tblInd w:w="68"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057"/>
        <w:gridCol w:w="3180"/>
        <w:gridCol w:w="134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1553" w:type="dxa"/>
            <w:tcBorders>
              <w:bottom w:val="single" w:color="000000" w:sz="12" w:space="0"/>
            </w:tcBorders>
          </w:tcPr>
          <w:p>
            <w:pPr>
              <w:widowControl/>
              <w:kinsoku w:val="0"/>
              <w:autoSpaceDE w:val="0"/>
              <w:autoSpaceDN w:val="0"/>
              <w:adjustRightIn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项目功</w:t>
            </w:r>
            <w:r>
              <w:rPr>
                <w:rFonts w:cs="Times New Roman"/>
                <w:snapToGrid w:val="0"/>
                <w:color w:val="auto"/>
                <w:spacing w:val="-1"/>
                <w:kern w:val="0"/>
                <w:sz w:val="21"/>
                <w:szCs w:val="21"/>
              </w:rPr>
              <w:t>能区</w:t>
            </w:r>
          </w:p>
        </w:tc>
        <w:tc>
          <w:tcPr>
            <w:tcW w:w="3057" w:type="dxa"/>
            <w:tcBorders>
              <w:bottom w:val="single" w:color="000000" w:sz="12" w:space="0"/>
            </w:tcBorders>
          </w:tcPr>
          <w:p>
            <w:pPr>
              <w:widowControl/>
              <w:kinsoku w:val="0"/>
              <w:autoSpaceDE w:val="0"/>
              <w:autoSpaceDN w:val="0"/>
              <w:adjustRightIn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建成前后噪声声</w:t>
            </w:r>
            <w:r>
              <w:rPr>
                <w:rFonts w:cs="Times New Roman"/>
                <w:snapToGrid w:val="0"/>
                <w:color w:val="auto"/>
                <w:kern w:val="0"/>
                <w:sz w:val="21"/>
                <w:szCs w:val="21"/>
              </w:rPr>
              <w:t>级的增量</w:t>
            </w:r>
          </w:p>
        </w:tc>
        <w:tc>
          <w:tcPr>
            <w:tcW w:w="3180" w:type="dxa"/>
            <w:tcBorders>
              <w:bottom w:val="single" w:color="000000" w:sz="12" w:space="0"/>
            </w:tcBorders>
          </w:tcPr>
          <w:p>
            <w:pPr>
              <w:widowControl/>
              <w:kinsoku w:val="0"/>
              <w:autoSpaceDE w:val="0"/>
              <w:autoSpaceDN w:val="0"/>
              <w:adjustRightIn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受影响人口变化情况</w:t>
            </w:r>
          </w:p>
        </w:tc>
        <w:tc>
          <w:tcPr>
            <w:tcW w:w="1348" w:type="dxa"/>
            <w:tcBorders>
              <w:bottom w:val="single" w:color="000000" w:sz="12" w:space="0"/>
            </w:tcBorders>
          </w:tcPr>
          <w:p>
            <w:pPr>
              <w:widowControl/>
              <w:kinsoku w:val="0"/>
              <w:autoSpaceDE w:val="0"/>
              <w:autoSpaceDN w:val="0"/>
              <w:adjustRightIn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判</w:t>
            </w:r>
            <w:r>
              <w:rPr>
                <w:rFonts w:cs="Times New Roman"/>
                <w:snapToGrid w:val="0"/>
                <w:color w:val="auto"/>
                <w:spacing w:val="-1"/>
                <w:kern w:val="0"/>
                <w:sz w:val="21"/>
                <w:szCs w:val="21"/>
              </w:rPr>
              <w:t>定结果</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1553" w:type="dxa"/>
            <w:tcBorders>
              <w:top w:val="single" w:color="000000" w:sz="12" w:space="0"/>
              <w:tl2br w:val="nil"/>
              <w:tr2bl w:val="nil"/>
            </w:tcBorders>
          </w:tcPr>
          <w:p>
            <w:pPr>
              <w:widowControl/>
              <w:kinsoku w:val="0"/>
              <w:autoSpaceDE w:val="0"/>
              <w:autoSpaceDN w:val="0"/>
              <w:adjustRightInd w:val="0"/>
              <w:spacing w:line="240" w:lineRule="auto"/>
              <w:ind w:firstLine="0" w:firstLineChars="0"/>
              <w:jc w:val="center"/>
              <w:textAlignment w:val="baseline"/>
              <w:rPr>
                <w:rFonts w:cs="Times New Roman"/>
                <w:snapToGrid w:val="0"/>
                <w:color w:val="auto"/>
                <w:kern w:val="0"/>
                <w:sz w:val="21"/>
                <w:szCs w:val="21"/>
              </w:rPr>
            </w:pPr>
            <w:r>
              <w:rPr>
                <w:rFonts w:eastAsia="Times New Roman" w:cs="Times New Roman"/>
                <w:snapToGrid w:val="0"/>
                <w:color w:val="auto"/>
                <w:spacing w:val="-11"/>
                <w:kern w:val="0"/>
                <w:sz w:val="21"/>
                <w:szCs w:val="21"/>
              </w:rPr>
              <w:t>2</w:t>
            </w:r>
            <w:r>
              <w:rPr>
                <w:rFonts w:cs="Times New Roman"/>
                <w:snapToGrid w:val="0"/>
                <w:color w:val="auto"/>
                <w:spacing w:val="-11"/>
                <w:kern w:val="0"/>
                <w:sz w:val="21"/>
                <w:szCs w:val="21"/>
              </w:rPr>
              <w:t>类</w:t>
            </w:r>
          </w:p>
        </w:tc>
        <w:tc>
          <w:tcPr>
            <w:tcW w:w="3057" w:type="dxa"/>
            <w:tcBorders>
              <w:top w:val="single" w:color="000000" w:sz="12" w:space="0"/>
              <w:tl2br w:val="nil"/>
              <w:tr2bl w:val="nil"/>
            </w:tcBorders>
          </w:tcPr>
          <w:p>
            <w:pPr>
              <w:widowControl/>
              <w:kinsoku w:val="0"/>
              <w:autoSpaceDE w:val="0"/>
              <w:autoSpaceDN w:val="0"/>
              <w:adjustRightIn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7"/>
                <w:kern w:val="0"/>
                <w:sz w:val="21"/>
                <w:szCs w:val="21"/>
              </w:rPr>
              <w:t>小</w:t>
            </w:r>
            <w:r>
              <w:rPr>
                <w:rFonts w:cs="Times New Roman"/>
                <w:snapToGrid w:val="0"/>
                <w:color w:val="auto"/>
                <w:spacing w:val="-6"/>
                <w:kern w:val="0"/>
                <w:sz w:val="21"/>
                <w:szCs w:val="21"/>
              </w:rPr>
              <w:t>于</w:t>
            </w:r>
            <w:r>
              <w:rPr>
                <w:rFonts w:eastAsia="Times New Roman" w:cs="Times New Roman"/>
                <w:snapToGrid w:val="0"/>
                <w:color w:val="auto"/>
                <w:spacing w:val="-6"/>
                <w:kern w:val="0"/>
                <w:sz w:val="21"/>
                <w:szCs w:val="21"/>
              </w:rPr>
              <w:t>3dB</w:t>
            </w:r>
            <w:r>
              <w:rPr>
                <w:rFonts w:cs="Times New Roman"/>
                <w:snapToGrid w:val="0"/>
                <w:color w:val="auto"/>
                <w:spacing w:val="-6"/>
                <w:kern w:val="0"/>
                <w:sz w:val="21"/>
                <w:szCs w:val="21"/>
              </w:rPr>
              <w:t>(</w:t>
            </w:r>
            <w:r>
              <w:rPr>
                <w:rFonts w:eastAsia="Times New Roman" w:cs="Times New Roman"/>
                <w:snapToGrid w:val="0"/>
                <w:color w:val="auto"/>
                <w:spacing w:val="-6"/>
                <w:kern w:val="0"/>
                <w:sz w:val="21"/>
                <w:szCs w:val="21"/>
              </w:rPr>
              <w:t>A</w:t>
            </w:r>
            <w:r>
              <w:rPr>
                <w:rFonts w:cs="Times New Roman"/>
                <w:snapToGrid w:val="0"/>
                <w:color w:val="auto"/>
                <w:spacing w:val="-6"/>
                <w:kern w:val="0"/>
                <w:sz w:val="21"/>
                <w:szCs w:val="21"/>
              </w:rPr>
              <w:t>)</w:t>
            </w:r>
          </w:p>
        </w:tc>
        <w:tc>
          <w:tcPr>
            <w:tcW w:w="3180" w:type="dxa"/>
            <w:tcBorders>
              <w:top w:val="single" w:color="000000" w:sz="12" w:space="0"/>
              <w:tl2br w:val="nil"/>
              <w:tr2bl w:val="nil"/>
            </w:tcBorders>
          </w:tcPr>
          <w:p>
            <w:pPr>
              <w:widowControl/>
              <w:kinsoku w:val="0"/>
              <w:autoSpaceDE w:val="0"/>
              <w:autoSpaceDN w:val="0"/>
              <w:adjustRightIn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3"/>
                <w:kern w:val="0"/>
                <w:sz w:val="21"/>
                <w:szCs w:val="21"/>
              </w:rPr>
              <w:t>不</w:t>
            </w:r>
            <w:r>
              <w:rPr>
                <w:rFonts w:cs="Times New Roman"/>
                <w:snapToGrid w:val="0"/>
                <w:color w:val="auto"/>
                <w:spacing w:val="-2"/>
                <w:kern w:val="0"/>
                <w:sz w:val="21"/>
                <w:szCs w:val="21"/>
              </w:rPr>
              <w:t>大</w:t>
            </w:r>
          </w:p>
        </w:tc>
        <w:tc>
          <w:tcPr>
            <w:tcW w:w="1348" w:type="dxa"/>
            <w:tcBorders>
              <w:top w:val="single" w:color="000000" w:sz="12" w:space="0"/>
              <w:tl2br w:val="nil"/>
              <w:tr2bl w:val="nil"/>
            </w:tcBorders>
          </w:tcPr>
          <w:p>
            <w:pPr>
              <w:widowControl/>
              <w:kinsoku w:val="0"/>
              <w:autoSpaceDE w:val="0"/>
              <w:autoSpaceDN w:val="0"/>
              <w:adjustRightIn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3"/>
                <w:kern w:val="0"/>
                <w:sz w:val="21"/>
                <w:szCs w:val="21"/>
              </w:rPr>
              <w:t>二</w:t>
            </w:r>
            <w:r>
              <w:rPr>
                <w:rFonts w:cs="Times New Roman"/>
                <w:snapToGrid w:val="0"/>
                <w:color w:val="auto"/>
                <w:spacing w:val="-2"/>
                <w:kern w:val="0"/>
                <w:sz w:val="21"/>
                <w:szCs w:val="21"/>
              </w:rPr>
              <w:t>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11" w:hRule="exact"/>
        </w:trPr>
        <w:tc>
          <w:tcPr>
            <w:tcW w:w="9138" w:type="dxa"/>
            <w:gridSpan w:val="4"/>
            <w:tcBorders>
              <w:tl2br w:val="nil"/>
              <w:tr2bl w:val="nil"/>
            </w:tcBorders>
          </w:tcPr>
          <w:p>
            <w:pPr>
              <w:widowControl/>
              <w:kinsoku w:val="0"/>
              <w:autoSpaceDE w:val="0"/>
              <w:autoSpaceDN w:val="0"/>
              <w:adjustRightInd w:val="0"/>
              <w:snapToGrid w:val="0"/>
              <w:spacing w:line="240" w:lineRule="auto"/>
              <w:ind w:firstLine="0" w:firstLineChars="0"/>
              <w:jc w:val="left"/>
              <w:textAlignment w:val="baseline"/>
              <w:rPr>
                <w:rFonts w:cs="Times New Roman"/>
                <w:snapToGrid w:val="0"/>
                <w:color w:val="auto"/>
                <w:spacing w:val="-2"/>
                <w:kern w:val="0"/>
                <w:sz w:val="21"/>
                <w:szCs w:val="21"/>
              </w:rPr>
            </w:pPr>
            <w:r>
              <w:rPr>
                <w:rFonts w:cs="Times New Roman"/>
                <w:snapToGrid w:val="0"/>
                <w:color w:val="auto"/>
                <w:spacing w:val="-6"/>
                <w:kern w:val="0"/>
                <w:sz w:val="21"/>
                <w:szCs w:val="21"/>
              </w:rPr>
              <w:t>在</w:t>
            </w:r>
            <w:r>
              <w:rPr>
                <w:rFonts w:cs="Times New Roman"/>
                <w:snapToGrid w:val="0"/>
                <w:color w:val="auto"/>
                <w:spacing w:val="-4"/>
                <w:kern w:val="0"/>
                <w:sz w:val="21"/>
                <w:szCs w:val="21"/>
              </w:rPr>
              <w:t>确定评价工作等级时，如减少项目符合两个以上级别的划分原则，按较高级别的评价等级，故本</w:t>
            </w:r>
            <w:r>
              <w:rPr>
                <w:rFonts w:cs="Times New Roman"/>
                <w:snapToGrid w:val="0"/>
                <w:color w:val="auto"/>
                <w:spacing w:val="-1"/>
                <w:kern w:val="0"/>
                <w:sz w:val="21"/>
                <w:szCs w:val="21"/>
              </w:rPr>
              <w:t>项目综合判断结果</w:t>
            </w:r>
            <w:r>
              <w:rPr>
                <w:rFonts w:cs="Times New Roman"/>
                <w:snapToGrid w:val="0"/>
                <w:color w:val="auto"/>
                <w:kern w:val="0"/>
                <w:sz w:val="21"/>
                <w:szCs w:val="21"/>
              </w:rPr>
              <w:t>为二级。</w:t>
            </w:r>
          </w:p>
        </w:tc>
      </w:tr>
    </w:tbl>
    <w:p>
      <w:pPr>
        <w:widowControl/>
        <w:snapToGrid w:val="0"/>
        <w:ind w:firstLine="480"/>
        <w:jc w:val="left"/>
        <w:rPr>
          <w:rFonts w:cs="Times New Roman"/>
          <w:color w:val="auto"/>
        </w:rPr>
      </w:pPr>
      <w:r>
        <w:rPr>
          <w:rFonts w:cs="Times New Roman"/>
          <w:color w:val="auto"/>
          <w:kern w:val="0"/>
          <w:lang w:bidi="ar"/>
        </w:rPr>
        <w:t>本项目声环境影响评价等级确定为二级评价。</w:t>
      </w:r>
    </w:p>
    <w:p>
      <w:pPr>
        <w:snapToGrid w:val="0"/>
        <w:ind w:firstLine="480"/>
        <w:rPr>
          <w:rFonts w:cs="Times New Roman"/>
          <w:color w:val="auto"/>
        </w:rPr>
      </w:pPr>
      <w:r>
        <w:rPr>
          <w:rFonts w:cs="Times New Roman"/>
          <w:color w:val="auto"/>
        </w:rPr>
        <w:t>（2）评价范围</w:t>
      </w:r>
    </w:p>
    <w:p>
      <w:pPr>
        <w:snapToGrid w:val="0"/>
        <w:ind w:firstLine="480"/>
        <w:rPr>
          <w:rFonts w:cs="Times New Roman"/>
          <w:color w:val="auto"/>
        </w:rPr>
      </w:pPr>
      <w:r>
        <w:rPr>
          <w:rFonts w:cs="Times New Roman"/>
          <w:color w:val="auto"/>
        </w:rPr>
        <w:t>工程施工区域施工场地边界外延200m为评价范围。</w:t>
      </w:r>
    </w:p>
    <w:p>
      <w:pPr>
        <w:pStyle w:val="4"/>
        <w:numPr>
          <w:ilvl w:val="2"/>
          <w:numId w:val="0"/>
        </w:numPr>
        <w:adjustRightInd w:val="0"/>
        <w:snapToGrid w:val="0"/>
        <w:ind w:firstLine="480" w:firstLineChars="200"/>
        <w:rPr>
          <w:rFonts w:cs="Times New Roman"/>
          <w:color w:val="auto"/>
        </w:rPr>
      </w:pPr>
      <w:r>
        <w:rPr>
          <w:rFonts w:cs="Times New Roman"/>
          <w:color w:val="auto"/>
        </w:rPr>
        <w:t>2.4.5土壤评价等级及范围</w:t>
      </w:r>
    </w:p>
    <w:p>
      <w:pPr>
        <w:pStyle w:val="164"/>
        <w:snapToGrid w:val="0"/>
        <w:ind w:firstLine="480"/>
        <w:rPr>
          <w:rFonts w:ascii="Times New Roman" w:hAnsi="Times New Roman" w:cs="Times New Roman"/>
          <w:color w:val="auto"/>
          <w:lang w:val="zh-CN"/>
        </w:rPr>
      </w:pPr>
      <w:r>
        <w:rPr>
          <w:rFonts w:ascii="Times New Roman" w:hAnsi="Times New Roman" w:cs="Times New Roman"/>
          <w:color w:val="auto"/>
          <w:lang w:val="zh-CN"/>
        </w:rPr>
        <w:t>（</w:t>
      </w:r>
      <w:r>
        <w:rPr>
          <w:rFonts w:ascii="Times New Roman" w:hAnsi="Times New Roman" w:cs="Times New Roman"/>
          <w:color w:val="auto"/>
        </w:rPr>
        <w:t>1</w:t>
      </w:r>
      <w:r>
        <w:rPr>
          <w:rFonts w:ascii="Times New Roman" w:hAnsi="Times New Roman" w:cs="Times New Roman"/>
          <w:color w:val="auto"/>
          <w:lang w:val="zh-CN"/>
        </w:rPr>
        <w:t>）土壤环境影响评价项目类别</w:t>
      </w:r>
    </w:p>
    <w:p>
      <w:pPr>
        <w:snapToGrid w:val="0"/>
        <w:ind w:firstLine="480"/>
        <w:rPr>
          <w:rFonts w:cs="Times New Roman"/>
          <w:color w:val="auto"/>
          <w:lang w:val="zh-CN"/>
        </w:rPr>
      </w:pPr>
      <w:r>
        <w:rPr>
          <w:rFonts w:cs="Times New Roman"/>
          <w:color w:val="auto"/>
        </w:rPr>
        <w:t>根据《环境影响评价技术导则 土壤环境（试行）》（HJ964-2018），本项目属于土壤环境生态影响型建设项目，本次评价根据生态影响项目评价判定评价工作等级。根据《环境影响评价技术导则 土壤环境（试行）》（HJ964-2018）附录A土壤环境影响评价项目类别，拟建项目属于“水利-其他”类别，为Ⅲ类项目</w:t>
      </w:r>
      <w:r>
        <w:rPr>
          <w:rFonts w:cs="Times New Roman"/>
          <w:color w:val="auto"/>
          <w:lang w:val="zh-CN"/>
        </w:rPr>
        <w:t>。</w:t>
      </w:r>
    </w:p>
    <w:p>
      <w:pPr>
        <w:snapToGrid w:val="0"/>
        <w:ind w:firstLine="480"/>
        <w:rPr>
          <w:rFonts w:cs="Times New Roman"/>
          <w:color w:val="auto"/>
        </w:rPr>
      </w:pPr>
      <w:r>
        <w:rPr>
          <w:rFonts w:cs="Times New Roman"/>
          <w:color w:val="auto"/>
        </w:rPr>
        <w:t>（2）土壤环境敏感程度</w:t>
      </w:r>
    </w:p>
    <w:p>
      <w:pPr>
        <w:snapToGrid w:val="0"/>
        <w:ind w:firstLine="480"/>
        <w:rPr>
          <w:rFonts w:cs="Times New Roman"/>
          <w:color w:val="auto"/>
        </w:rPr>
      </w:pPr>
      <w:r>
        <w:rPr>
          <w:rFonts w:cs="Times New Roman"/>
          <w:color w:val="auto"/>
        </w:rPr>
        <w:t>建设项目所在地周边的土壤环境敏感程见表2.4-7。</w:t>
      </w:r>
    </w:p>
    <w:p>
      <w:pPr>
        <w:snapToGrid w:val="0"/>
        <w:spacing w:line="240" w:lineRule="auto"/>
        <w:ind w:firstLine="0" w:firstLineChars="0"/>
        <w:jc w:val="center"/>
        <w:rPr>
          <w:rFonts w:cs="Times New Roman"/>
          <w:b/>
          <w:color w:val="auto"/>
        </w:rPr>
      </w:pPr>
      <w:r>
        <w:rPr>
          <w:rFonts w:cs="Times New Roman"/>
          <w:b/>
          <w:color w:val="auto"/>
        </w:rPr>
        <w:t>表2.4-7   生态影响型敏感程度分级表</w:t>
      </w:r>
    </w:p>
    <w:tbl>
      <w:tblPr>
        <w:tblStyle w:val="4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5437"/>
        <w:gridCol w:w="1424"/>
        <w:gridCol w:w="13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99" w:type="pct"/>
            <w:vMerge w:val="restart"/>
            <w:vAlign w:val="center"/>
          </w:tcPr>
          <w:p>
            <w:pPr>
              <w:spacing w:line="320" w:lineRule="exact"/>
              <w:ind w:firstLine="0" w:firstLineChars="0"/>
              <w:jc w:val="center"/>
              <w:rPr>
                <w:rFonts w:cs="Times New Roman"/>
                <w:b/>
                <w:bCs/>
                <w:color w:val="auto"/>
                <w:sz w:val="21"/>
                <w:szCs w:val="21"/>
              </w:rPr>
            </w:pPr>
            <w:r>
              <w:rPr>
                <w:rFonts w:cs="Times New Roman"/>
                <w:b/>
                <w:bCs/>
                <w:color w:val="auto"/>
                <w:sz w:val="21"/>
                <w:szCs w:val="21"/>
              </w:rPr>
              <w:t>敏感</w:t>
            </w:r>
          </w:p>
          <w:p>
            <w:pPr>
              <w:spacing w:line="320" w:lineRule="exact"/>
              <w:ind w:firstLine="0" w:firstLineChars="0"/>
              <w:jc w:val="center"/>
              <w:rPr>
                <w:rFonts w:cs="Times New Roman"/>
                <w:b/>
                <w:bCs/>
                <w:color w:val="auto"/>
                <w:sz w:val="21"/>
                <w:szCs w:val="21"/>
              </w:rPr>
            </w:pPr>
            <w:r>
              <w:rPr>
                <w:rFonts w:cs="Times New Roman"/>
                <w:b/>
                <w:bCs/>
                <w:color w:val="auto"/>
                <w:sz w:val="21"/>
                <w:szCs w:val="21"/>
              </w:rPr>
              <w:t>程度</w:t>
            </w:r>
          </w:p>
        </w:tc>
        <w:tc>
          <w:tcPr>
            <w:tcW w:w="4500" w:type="pct"/>
            <w:gridSpan w:val="3"/>
            <w:vAlign w:val="center"/>
          </w:tcPr>
          <w:p>
            <w:pPr>
              <w:spacing w:line="320" w:lineRule="exact"/>
              <w:ind w:firstLine="0" w:firstLineChars="0"/>
              <w:jc w:val="center"/>
              <w:rPr>
                <w:rFonts w:cs="Times New Roman"/>
                <w:b/>
                <w:bCs/>
                <w:color w:val="auto"/>
                <w:sz w:val="21"/>
                <w:szCs w:val="21"/>
              </w:rPr>
            </w:pPr>
            <w:r>
              <w:rPr>
                <w:rFonts w:cs="Times New Roman"/>
                <w:b/>
                <w:bCs/>
                <w:color w:val="auto"/>
                <w:sz w:val="21"/>
                <w:szCs w:val="21"/>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99" w:type="pct"/>
            <w:vMerge w:val="continue"/>
            <w:tcBorders>
              <w:bottom w:val="single" w:color="auto" w:sz="12" w:space="0"/>
            </w:tcBorders>
            <w:vAlign w:val="center"/>
          </w:tcPr>
          <w:p>
            <w:pPr>
              <w:spacing w:line="320" w:lineRule="exact"/>
              <w:ind w:firstLine="0" w:firstLineChars="0"/>
              <w:jc w:val="center"/>
              <w:rPr>
                <w:rFonts w:cs="Times New Roman"/>
                <w:color w:val="auto"/>
                <w:sz w:val="21"/>
                <w:szCs w:val="21"/>
              </w:rPr>
            </w:pPr>
          </w:p>
        </w:tc>
        <w:tc>
          <w:tcPr>
            <w:tcW w:w="2966" w:type="pct"/>
            <w:tcBorders>
              <w:bottom w:val="single" w:color="auto" w:sz="12" w:space="0"/>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盐化</w:t>
            </w:r>
          </w:p>
        </w:tc>
        <w:tc>
          <w:tcPr>
            <w:tcW w:w="777" w:type="pct"/>
            <w:tcBorders>
              <w:bottom w:val="single" w:color="auto" w:sz="12" w:space="0"/>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酸化</w:t>
            </w:r>
          </w:p>
        </w:tc>
        <w:tc>
          <w:tcPr>
            <w:tcW w:w="757" w:type="pct"/>
            <w:tcBorders>
              <w:bottom w:val="single" w:color="auto" w:sz="12" w:space="0"/>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碱化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tcBorders>
              <w:top w:val="single" w:color="auto" w:sz="12" w:space="0"/>
              <w:tl2br w:val="nil"/>
              <w:tr2bl w:val="nil"/>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敏感</w:t>
            </w:r>
          </w:p>
        </w:tc>
        <w:tc>
          <w:tcPr>
            <w:tcW w:w="2966" w:type="pct"/>
            <w:tcBorders>
              <w:top w:val="single" w:color="auto" w:sz="12" w:space="0"/>
              <w:tl2br w:val="nil"/>
              <w:tr2bl w:val="nil"/>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建设项目所在地干燥度</w:t>
            </w:r>
            <w:r>
              <w:rPr>
                <w:rFonts w:cs="Times New Roman"/>
                <w:color w:val="auto"/>
                <w:sz w:val="21"/>
                <w:szCs w:val="21"/>
                <w:vertAlign w:val="superscript"/>
              </w:rPr>
              <w:t>a</w:t>
            </w:r>
            <w:r>
              <w:rPr>
                <w:rFonts w:cs="Times New Roman"/>
                <w:color w:val="auto"/>
                <w:sz w:val="21"/>
                <w:szCs w:val="21"/>
              </w:rPr>
              <w:t>＞2.5且常年地下水位平均埋深＜1.5m的地势平坦区域；或土壤含盐量＞4g/kg的区域</w:t>
            </w:r>
          </w:p>
        </w:tc>
        <w:tc>
          <w:tcPr>
            <w:tcW w:w="777" w:type="pct"/>
            <w:tcBorders>
              <w:top w:val="single" w:color="auto" w:sz="12" w:space="0"/>
              <w:tl2br w:val="nil"/>
              <w:tr2bl w:val="nil"/>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pH≤4.5</w:t>
            </w:r>
          </w:p>
        </w:tc>
        <w:tc>
          <w:tcPr>
            <w:tcW w:w="757" w:type="pct"/>
            <w:tcBorders>
              <w:top w:val="single" w:color="auto" w:sz="12" w:space="0"/>
              <w:tl2br w:val="nil"/>
              <w:tr2bl w:val="nil"/>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pH≥9.0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tcBorders>
              <w:tl2br w:val="nil"/>
              <w:tr2bl w:val="nil"/>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较敏感</w:t>
            </w:r>
          </w:p>
        </w:tc>
        <w:tc>
          <w:tcPr>
            <w:tcW w:w="2966" w:type="pct"/>
            <w:tcBorders>
              <w:tl2br w:val="nil"/>
              <w:tr2bl w:val="nil"/>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建设项目所在地干燥度＞2.5且常年地下水位平均埋深≥1.5m的，或1.8＜干燥度≤2.5且常年地下水位平均埋深＜1.8m的地势平坦区域；建设项目所在地干燥度＞2.5或常年地下水位平均埋深＜1.5m的平原区；或2g/kg＜土壤含盐量≤4g/kg的区域</w:t>
            </w:r>
          </w:p>
        </w:tc>
        <w:tc>
          <w:tcPr>
            <w:tcW w:w="777" w:type="pct"/>
            <w:tcBorders>
              <w:tl2br w:val="nil"/>
              <w:tr2bl w:val="nil"/>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4.5＜pH≤5.5</w:t>
            </w:r>
          </w:p>
        </w:tc>
        <w:tc>
          <w:tcPr>
            <w:tcW w:w="757" w:type="pct"/>
            <w:tcBorders>
              <w:tl2br w:val="nil"/>
              <w:tr2bl w:val="nil"/>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8.5≤pH＜9.0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tcBorders>
              <w:tl2br w:val="nil"/>
              <w:tr2bl w:val="nil"/>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不敏感</w:t>
            </w:r>
          </w:p>
        </w:tc>
        <w:tc>
          <w:tcPr>
            <w:tcW w:w="2966" w:type="pct"/>
            <w:tcBorders>
              <w:tl2br w:val="nil"/>
              <w:tr2bl w:val="nil"/>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其他</w:t>
            </w:r>
          </w:p>
        </w:tc>
        <w:tc>
          <w:tcPr>
            <w:tcW w:w="1534" w:type="pct"/>
            <w:gridSpan w:val="2"/>
            <w:tcBorders>
              <w:tl2br w:val="nil"/>
              <w:tr2bl w:val="nil"/>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5.5＜pH＜8.5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a是指采用E601观测的多年平均水面蒸发量与降水量的比值，即蒸降比值。</w:t>
            </w:r>
          </w:p>
        </w:tc>
      </w:tr>
    </w:tbl>
    <w:p>
      <w:pPr>
        <w:snapToGrid w:val="0"/>
        <w:ind w:firstLine="480"/>
        <w:rPr>
          <w:rFonts w:cs="Times New Roman"/>
          <w:color w:val="auto"/>
        </w:rPr>
      </w:pPr>
      <w:r>
        <w:rPr>
          <w:rFonts w:cs="Times New Roman"/>
          <w:color w:val="auto"/>
        </w:rPr>
        <w:t>根据</w:t>
      </w:r>
      <w:r>
        <w:rPr>
          <w:rFonts w:hint="eastAsia" w:cs="Times New Roman"/>
          <w:color w:val="auto"/>
          <w:lang w:val="en-US" w:eastAsia="zh-CN"/>
        </w:rPr>
        <w:t>中国水利水电科学研究院干燥指数图</w:t>
      </w:r>
      <w:r>
        <w:rPr>
          <w:rFonts w:cs="Times New Roman"/>
          <w:color w:val="auto"/>
        </w:rPr>
        <w:t>，本项目所在区干燥度为</w:t>
      </w:r>
      <w:r>
        <w:rPr>
          <w:rFonts w:hint="eastAsia" w:cs="Times New Roman"/>
          <w:color w:val="auto"/>
          <w:lang w:val="en-US" w:eastAsia="zh-CN"/>
        </w:rPr>
        <w:t>0.5～1</w:t>
      </w:r>
      <w:r>
        <w:rPr>
          <w:rFonts w:cs="Times New Roman"/>
          <w:color w:val="auto"/>
        </w:rPr>
        <w:t>＜2.5</w:t>
      </w:r>
      <w:r>
        <w:rPr>
          <w:rFonts w:hint="eastAsia" w:cs="Times New Roman"/>
          <w:color w:val="auto"/>
          <w:lang w:eastAsia="zh-CN"/>
        </w:rPr>
        <w:t>。</w:t>
      </w:r>
      <w:r>
        <w:rPr>
          <w:rFonts w:cs="Times New Roman"/>
          <w:color w:val="auto"/>
        </w:rPr>
        <w:t>项目地土壤不存在盐化、酸化及碱化，因此，敏感程度为不敏感。</w:t>
      </w:r>
    </w:p>
    <w:p>
      <w:pPr>
        <w:snapToGrid w:val="0"/>
        <w:ind w:firstLine="480"/>
        <w:rPr>
          <w:rFonts w:cs="Times New Roman"/>
          <w:color w:val="auto"/>
        </w:rPr>
      </w:pPr>
      <w:r>
        <w:rPr>
          <w:rFonts w:cs="Times New Roman"/>
          <w:color w:val="auto"/>
        </w:rPr>
        <w:t>（3）评价等级</w:t>
      </w:r>
    </w:p>
    <w:p>
      <w:pPr>
        <w:snapToGrid w:val="0"/>
        <w:ind w:firstLine="480"/>
        <w:rPr>
          <w:rFonts w:cs="Times New Roman"/>
          <w:color w:val="auto"/>
          <w:lang w:val="zh-CN"/>
        </w:rPr>
      </w:pPr>
      <w:r>
        <w:rPr>
          <w:rFonts w:cs="Times New Roman"/>
          <w:color w:val="auto"/>
          <w:lang w:val="zh-CN"/>
        </w:rPr>
        <w:t>建设项目土壤环境影响评价等级划分依据见表</w:t>
      </w:r>
      <w:r>
        <w:rPr>
          <w:rFonts w:cs="Times New Roman"/>
          <w:color w:val="auto"/>
        </w:rPr>
        <w:t>2.4-8</w:t>
      </w:r>
      <w:r>
        <w:rPr>
          <w:rFonts w:cs="Times New Roman"/>
          <w:color w:val="auto"/>
          <w:lang w:val="zh-CN"/>
        </w:rPr>
        <w:t>。</w:t>
      </w:r>
    </w:p>
    <w:p>
      <w:pPr>
        <w:spacing w:line="240" w:lineRule="auto"/>
        <w:ind w:firstLine="0" w:firstLineChars="0"/>
        <w:jc w:val="center"/>
        <w:rPr>
          <w:rFonts w:cs="Times New Roman"/>
          <w:b/>
          <w:color w:val="auto"/>
        </w:rPr>
      </w:pPr>
      <w:r>
        <w:rPr>
          <w:rFonts w:cs="Times New Roman"/>
          <w:b/>
          <w:color w:val="auto"/>
        </w:rPr>
        <w:t>表2.4-8  生态影响型评价工作等级划分表</w:t>
      </w:r>
    </w:p>
    <w:tbl>
      <w:tblPr>
        <w:tblStyle w:val="4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2477"/>
        <w:gridCol w:w="2086"/>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372" w:type="pct"/>
            <w:tcBorders>
              <w:top w:val="single" w:color="auto" w:sz="12" w:space="0"/>
              <w:left w:val="nil"/>
              <w:bottom w:val="single" w:color="auto" w:sz="12" w:space="0"/>
              <w:tl2br w:val="single" w:color="auto" w:sz="4" w:space="0"/>
              <w:tr2bl w:val="nil"/>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敏感程度</w:t>
            </w:r>
          </w:p>
          <w:p>
            <w:pPr>
              <w:spacing w:line="240" w:lineRule="auto"/>
              <w:ind w:firstLine="0" w:firstLineChars="0"/>
              <w:rPr>
                <w:rFonts w:cs="Times New Roman"/>
                <w:color w:val="auto"/>
                <w:sz w:val="21"/>
                <w:szCs w:val="21"/>
              </w:rPr>
            </w:pPr>
            <w:r>
              <w:rPr>
                <w:rFonts w:cs="Times New Roman"/>
                <w:color w:val="auto"/>
                <w:sz w:val="21"/>
                <w:szCs w:val="21"/>
              </w:rPr>
              <w:t>项目类别</w:t>
            </w:r>
          </w:p>
        </w:tc>
        <w:tc>
          <w:tcPr>
            <w:tcW w:w="1351" w:type="pct"/>
            <w:tcBorders>
              <w:top w:val="single" w:color="auto" w:sz="12" w:space="0"/>
              <w:bottom w:val="single" w:color="auto" w:sz="12" w:space="0"/>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Ⅰ类</w:t>
            </w:r>
          </w:p>
        </w:tc>
        <w:tc>
          <w:tcPr>
            <w:tcW w:w="1138" w:type="pct"/>
            <w:tcBorders>
              <w:top w:val="single" w:color="auto" w:sz="12" w:space="0"/>
              <w:bottom w:val="single" w:color="auto" w:sz="12" w:space="0"/>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Ⅱ类</w:t>
            </w:r>
          </w:p>
        </w:tc>
        <w:tc>
          <w:tcPr>
            <w:tcW w:w="1137" w:type="pct"/>
            <w:tcBorders>
              <w:top w:val="single" w:color="auto" w:sz="12" w:space="0"/>
              <w:bottom w:val="single" w:color="auto" w:sz="12" w:space="0"/>
              <w:right w:val="nil"/>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pct"/>
            <w:tcBorders>
              <w:top w:val="single" w:color="auto" w:sz="12" w:space="0"/>
              <w:left w:val="nil"/>
              <w:right w:val="single" w:color="000000" w:sz="4" w:space="0"/>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敏感</w:t>
            </w:r>
          </w:p>
        </w:tc>
        <w:tc>
          <w:tcPr>
            <w:tcW w:w="1351" w:type="pct"/>
            <w:tcBorders>
              <w:top w:val="single" w:color="auto" w:sz="12" w:space="0"/>
              <w:left w:val="single" w:color="000000" w:sz="4" w:space="0"/>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一级</w:t>
            </w:r>
          </w:p>
        </w:tc>
        <w:tc>
          <w:tcPr>
            <w:tcW w:w="1138" w:type="pct"/>
            <w:tcBorders>
              <w:top w:val="single" w:color="auto" w:sz="12" w:space="0"/>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二级</w:t>
            </w:r>
          </w:p>
        </w:tc>
        <w:tc>
          <w:tcPr>
            <w:tcW w:w="1137" w:type="pct"/>
            <w:tcBorders>
              <w:top w:val="single" w:color="auto" w:sz="12" w:space="0"/>
              <w:right w:val="nil"/>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pct"/>
            <w:tcBorders>
              <w:left w:val="nil"/>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较敏感</w:t>
            </w:r>
          </w:p>
        </w:tc>
        <w:tc>
          <w:tcPr>
            <w:tcW w:w="1351" w:type="pct"/>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二级</w:t>
            </w:r>
          </w:p>
        </w:tc>
        <w:tc>
          <w:tcPr>
            <w:tcW w:w="1138" w:type="pct"/>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二级</w:t>
            </w:r>
          </w:p>
        </w:tc>
        <w:tc>
          <w:tcPr>
            <w:tcW w:w="1137" w:type="pct"/>
            <w:tcBorders>
              <w:right w:val="nil"/>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pct"/>
            <w:tcBorders>
              <w:left w:val="nil"/>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不敏感</w:t>
            </w:r>
          </w:p>
        </w:tc>
        <w:tc>
          <w:tcPr>
            <w:tcW w:w="1351" w:type="pct"/>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二级</w:t>
            </w:r>
          </w:p>
        </w:tc>
        <w:tc>
          <w:tcPr>
            <w:tcW w:w="1138" w:type="pct"/>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三级</w:t>
            </w:r>
          </w:p>
        </w:tc>
        <w:tc>
          <w:tcPr>
            <w:tcW w:w="1137" w:type="pct"/>
            <w:tcBorders>
              <w:right w:val="nil"/>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left w:val="nil"/>
              <w:bottom w:val="single" w:color="auto" w:sz="12" w:space="0"/>
              <w:right w:val="nil"/>
              <w:tl2br w:val="nil"/>
              <w:tr2bl w:val="nil"/>
            </w:tcBorders>
            <w:vAlign w:val="center"/>
          </w:tcPr>
          <w:p>
            <w:pPr>
              <w:spacing w:line="280" w:lineRule="exact"/>
              <w:ind w:firstLine="0" w:firstLineChars="0"/>
              <w:jc w:val="left"/>
              <w:rPr>
                <w:rFonts w:cs="Times New Roman"/>
                <w:color w:val="auto"/>
                <w:sz w:val="21"/>
                <w:szCs w:val="21"/>
              </w:rPr>
            </w:pPr>
            <w:r>
              <w:rPr>
                <w:rFonts w:cs="Times New Roman"/>
                <w:color w:val="auto"/>
                <w:sz w:val="21"/>
                <w:szCs w:val="21"/>
              </w:rPr>
              <w:t>注：“-”表示可不开展土壤环境影响评价工作</w:t>
            </w:r>
          </w:p>
        </w:tc>
      </w:tr>
    </w:tbl>
    <w:p>
      <w:pPr>
        <w:snapToGrid w:val="0"/>
        <w:ind w:firstLine="480"/>
        <w:rPr>
          <w:rFonts w:cs="Times New Roman"/>
          <w:color w:val="auto"/>
          <w:lang w:val="zh-CN"/>
        </w:rPr>
      </w:pPr>
      <w:r>
        <w:rPr>
          <w:rFonts w:cs="Times New Roman"/>
          <w:color w:val="auto"/>
          <w:lang w:val="zh-CN"/>
        </w:rPr>
        <w:t>根据《环境影响评价技术导则·土壤环境（</w:t>
      </w:r>
      <w:r>
        <w:rPr>
          <w:rFonts w:cs="Times New Roman"/>
          <w:color w:val="auto"/>
        </w:rPr>
        <w:t>试行</w:t>
      </w:r>
      <w:r>
        <w:rPr>
          <w:rFonts w:cs="Times New Roman"/>
          <w:color w:val="auto"/>
          <w:lang w:val="zh-CN"/>
        </w:rPr>
        <w:t>）》（HJ</w:t>
      </w:r>
      <w:r>
        <w:rPr>
          <w:rFonts w:cs="Times New Roman"/>
          <w:color w:val="auto"/>
        </w:rPr>
        <w:t>964</w:t>
      </w:r>
      <w:r>
        <w:rPr>
          <w:rFonts w:cs="Times New Roman"/>
          <w:color w:val="auto"/>
          <w:lang w:val="zh-CN"/>
        </w:rPr>
        <w:t>-201</w:t>
      </w:r>
      <w:r>
        <w:rPr>
          <w:rFonts w:cs="Times New Roman"/>
          <w:color w:val="auto"/>
        </w:rPr>
        <w:t>8</w:t>
      </w:r>
      <w:r>
        <w:rPr>
          <w:rFonts w:cs="Times New Roman"/>
          <w:color w:val="auto"/>
          <w:lang w:val="zh-CN"/>
        </w:rPr>
        <w:t>），本</w:t>
      </w:r>
      <w:r>
        <w:rPr>
          <w:rFonts w:cs="Times New Roman"/>
          <w:color w:val="auto"/>
        </w:rPr>
        <w:t>项目</w:t>
      </w:r>
      <w:r>
        <w:rPr>
          <w:rFonts w:cs="Times New Roman"/>
          <w:color w:val="auto"/>
          <w:lang w:val="zh-CN"/>
        </w:rPr>
        <w:t>可不开展土壤环境影响评价工作。</w:t>
      </w:r>
    </w:p>
    <w:p>
      <w:pPr>
        <w:pStyle w:val="4"/>
        <w:numPr>
          <w:ilvl w:val="2"/>
          <w:numId w:val="0"/>
        </w:numPr>
        <w:adjustRightInd w:val="0"/>
        <w:snapToGrid w:val="0"/>
        <w:ind w:firstLine="480" w:firstLineChars="200"/>
        <w:rPr>
          <w:rFonts w:cs="Times New Roman"/>
          <w:color w:val="auto"/>
        </w:rPr>
      </w:pPr>
      <w:r>
        <w:rPr>
          <w:rFonts w:cs="Times New Roman"/>
          <w:color w:val="auto"/>
        </w:rPr>
        <w:t>2.4.6生态环境评价等级及范围</w:t>
      </w:r>
    </w:p>
    <w:p>
      <w:pPr>
        <w:snapToGrid w:val="0"/>
        <w:ind w:firstLine="480"/>
        <w:rPr>
          <w:rFonts w:cs="Times New Roman"/>
          <w:color w:val="auto"/>
          <w:lang w:val="zh-CN"/>
        </w:rPr>
      </w:pPr>
      <w:r>
        <w:rPr>
          <w:rFonts w:cs="Times New Roman"/>
          <w:color w:val="auto"/>
          <w:lang w:val="zh-CN"/>
        </w:rPr>
        <w:t>（</w:t>
      </w:r>
      <w:r>
        <w:rPr>
          <w:rFonts w:cs="Times New Roman"/>
          <w:color w:val="auto"/>
        </w:rPr>
        <w:t>1</w:t>
      </w:r>
      <w:r>
        <w:rPr>
          <w:rFonts w:cs="Times New Roman"/>
          <w:color w:val="auto"/>
          <w:lang w:val="zh-CN"/>
        </w:rPr>
        <w:t>）评价等级</w:t>
      </w:r>
    </w:p>
    <w:p>
      <w:pPr>
        <w:widowControl/>
        <w:kinsoku w:val="0"/>
        <w:autoSpaceDE w:val="0"/>
        <w:autoSpaceDN w:val="0"/>
        <w:adjustRightInd w:val="0"/>
        <w:snapToGrid w:val="0"/>
        <w:ind w:firstLine="492"/>
        <w:jc w:val="left"/>
        <w:textAlignment w:val="baseline"/>
        <w:rPr>
          <w:rFonts w:cs="Times New Roman"/>
          <w:snapToGrid w:val="0"/>
          <w:color w:val="auto"/>
          <w:kern w:val="0"/>
          <w:sz w:val="23"/>
          <w:szCs w:val="23"/>
        </w:rPr>
      </w:pPr>
      <w:r>
        <w:rPr>
          <w:rFonts w:cs="Times New Roman"/>
          <w:snapToGrid w:val="0"/>
          <w:color w:val="auto"/>
          <w:spacing w:val="8"/>
          <w:kern w:val="0"/>
          <w:sz w:val="23"/>
          <w:szCs w:val="23"/>
        </w:rPr>
        <w:t>根据《环</w:t>
      </w:r>
      <w:r>
        <w:rPr>
          <w:rFonts w:cs="Times New Roman"/>
          <w:snapToGrid w:val="0"/>
          <w:color w:val="auto"/>
          <w:spacing w:val="5"/>
          <w:kern w:val="0"/>
          <w:sz w:val="23"/>
          <w:szCs w:val="23"/>
        </w:rPr>
        <w:t>境</w:t>
      </w:r>
      <w:r>
        <w:rPr>
          <w:rFonts w:cs="Times New Roman"/>
          <w:snapToGrid w:val="0"/>
          <w:color w:val="auto"/>
          <w:spacing w:val="4"/>
          <w:kern w:val="0"/>
          <w:sz w:val="23"/>
          <w:szCs w:val="23"/>
        </w:rPr>
        <w:t>影响评价技术导则 生态影响》</w:t>
      </w:r>
      <w:r>
        <w:rPr>
          <w:rFonts w:hint="eastAsia" w:cs="Times New Roman"/>
          <w:snapToGrid w:val="0"/>
          <w:color w:val="auto"/>
          <w:spacing w:val="4"/>
          <w:kern w:val="0"/>
          <w:sz w:val="23"/>
          <w:szCs w:val="23"/>
        </w:rPr>
        <w:t>（</w:t>
      </w:r>
      <w:r>
        <w:rPr>
          <w:rFonts w:cs="Times New Roman"/>
          <w:snapToGrid w:val="0"/>
          <w:color w:val="auto"/>
          <w:kern w:val="0"/>
          <w:sz w:val="23"/>
          <w:szCs w:val="23"/>
        </w:rPr>
        <w:t>HJ</w:t>
      </w:r>
      <w:r>
        <w:rPr>
          <w:rFonts w:cs="Times New Roman"/>
          <w:snapToGrid w:val="0"/>
          <w:color w:val="auto"/>
          <w:spacing w:val="4"/>
          <w:kern w:val="0"/>
          <w:sz w:val="23"/>
          <w:szCs w:val="23"/>
        </w:rPr>
        <w:t>19-2022</w:t>
      </w:r>
      <w:r>
        <w:rPr>
          <w:rFonts w:hint="eastAsia" w:cs="Times New Roman"/>
          <w:snapToGrid w:val="0"/>
          <w:color w:val="auto"/>
          <w:spacing w:val="4"/>
          <w:kern w:val="0"/>
          <w:sz w:val="23"/>
          <w:szCs w:val="23"/>
        </w:rPr>
        <w:t>）</w:t>
      </w:r>
      <w:r>
        <w:rPr>
          <w:rFonts w:cs="Times New Roman"/>
          <w:snapToGrid w:val="0"/>
          <w:color w:val="auto"/>
          <w:spacing w:val="4"/>
          <w:kern w:val="0"/>
          <w:sz w:val="23"/>
          <w:szCs w:val="23"/>
        </w:rPr>
        <w:t>的评价等级判定原则，</w:t>
      </w:r>
      <w:r>
        <w:rPr>
          <w:rFonts w:hint="eastAsia" w:cs="Times New Roman"/>
          <w:snapToGrid w:val="0"/>
          <w:color w:val="auto"/>
          <w:spacing w:val="4"/>
          <w:kern w:val="0"/>
          <w:sz w:val="23"/>
          <w:szCs w:val="23"/>
        </w:rPr>
        <w:t>本项目为线性工程，可分段确定评价等级。</w:t>
      </w:r>
      <w:r>
        <w:rPr>
          <w:rFonts w:cs="Times New Roman"/>
          <w:snapToGrid w:val="0"/>
          <w:color w:val="auto"/>
          <w:spacing w:val="4"/>
          <w:kern w:val="0"/>
          <w:sz w:val="23"/>
          <w:szCs w:val="23"/>
        </w:rPr>
        <w:t>本项目</w:t>
      </w:r>
      <w:r>
        <w:rPr>
          <w:rFonts w:cs="Times New Roman"/>
          <w:snapToGrid w:val="0"/>
          <w:color w:val="auto"/>
          <w:spacing w:val="6"/>
          <w:kern w:val="0"/>
          <w:sz w:val="23"/>
          <w:szCs w:val="23"/>
        </w:rPr>
        <w:t>生态影响评价等级为二级，判别依据见表2.4-9。</w:t>
      </w:r>
    </w:p>
    <w:p>
      <w:pPr>
        <w:spacing w:line="240" w:lineRule="auto"/>
        <w:ind w:firstLine="0" w:firstLineChars="0"/>
        <w:jc w:val="center"/>
        <w:rPr>
          <w:rFonts w:cs="Times New Roman"/>
          <w:b/>
          <w:color w:val="auto"/>
        </w:rPr>
      </w:pPr>
    </w:p>
    <w:p>
      <w:pPr>
        <w:spacing w:line="240" w:lineRule="auto"/>
        <w:ind w:firstLine="0" w:firstLineChars="0"/>
        <w:jc w:val="center"/>
        <w:rPr>
          <w:rFonts w:cs="Times New Roman"/>
          <w:b/>
          <w:color w:val="auto"/>
        </w:rPr>
      </w:pPr>
    </w:p>
    <w:p>
      <w:pPr>
        <w:spacing w:line="240" w:lineRule="auto"/>
        <w:ind w:firstLine="0" w:firstLineChars="0"/>
        <w:jc w:val="center"/>
        <w:rPr>
          <w:rFonts w:cs="Times New Roman"/>
          <w:b/>
          <w:color w:val="auto"/>
        </w:rPr>
      </w:pPr>
    </w:p>
    <w:p>
      <w:pPr>
        <w:spacing w:line="240" w:lineRule="auto"/>
        <w:ind w:firstLine="0" w:firstLineChars="0"/>
        <w:jc w:val="center"/>
        <w:rPr>
          <w:rFonts w:cs="Times New Roman"/>
          <w:b/>
          <w:color w:val="auto"/>
        </w:rPr>
      </w:pPr>
    </w:p>
    <w:p>
      <w:pPr>
        <w:spacing w:line="240" w:lineRule="auto"/>
        <w:ind w:firstLine="0" w:firstLineChars="0"/>
        <w:jc w:val="center"/>
        <w:rPr>
          <w:rFonts w:cs="Times New Roman"/>
          <w:b/>
          <w:color w:val="auto"/>
        </w:rPr>
      </w:pPr>
      <w:r>
        <w:rPr>
          <w:rFonts w:cs="Times New Roman"/>
          <w:b/>
          <w:color w:val="auto"/>
        </w:rPr>
        <w:t>表2.4-9  生态影响评价工作级别表</w:t>
      </w:r>
    </w:p>
    <w:tbl>
      <w:tblPr>
        <w:tblStyle w:val="188"/>
        <w:tblW w:w="8837" w:type="dxa"/>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109"/>
        <w:gridCol w:w="3616"/>
        <w:gridCol w:w="111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6" w:hRule="atLeast"/>
          <w:tblHeader/>
        </w:trPr>
        <w:tc>
          <w:tcPr>
            <w:tcW w:w="4109"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kern w:val="0"/>
                <w:sz w:val="21"/>
                <w:szCs w:val="21"/>
              </w:rPr>
              <w:t>判定标准</w:t>
            </w:r>
          </w:p>
        </w:tc>
        <w:tc>
          <w:tcPr>
            <w:tcW w:w="3616"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kern w:val="0"/>
                <w:sz w:val="21"/>
                <w:szCs w:val="21"/>
              </w:rPr>
              <w:t>本项目情况</w:t>
            </w:r>
          </w:p>
        </w:tc>
        <w:tc>
          <w:tcPr>
            <w:tcW w:w="1112"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kern w:val="0"/>
                <w:sz w:val="21"/>
                <w:szCs w:val="21"/>
              </w:rPr>
              <w:t>评价类别</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109"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涉及国家公园、自然保护区、世界自然遗产、重要生境时，评价等级为一级</w:t>
            </w:r>
          </w:p>
        </w:tc>
        <w:tc>
          <w:tcPr>
            <w:tcW w:w="3616"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本项目不涉及国家公园、自然保护区、世界自然遗产等；同时根据现状调查结果，工程所在区域无重要野生植物、重要野生动物等重要生境</w:t>
            </w:r>
          </w:p>
        </w:tc>
        <w:tc>
          <w:tcPr>
            <w:tcW w:w="1112"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10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涉及自然公园时，评价等级为二级</w:t>
            </w:r>
          </w:p>
        </w:tc>
        <w:tc>
          <w:tcPr>
            <w:tcW w:w="361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本项目不涉及自然公园</w:t>
            </w:r>
          </w:p>
        </w:tc>
        <w:tc>
          <w:tcPr>
            <w:tcW w:w="1112"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10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涉及生态保护红线时，评价等级不低于二级</w:t>
            </w:r>
          </w:p>
        </w:tc>
        <w:tc>
          <w:tcPr>
            <w:tcW w:w="361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本项目工程</w:t>
            </w:r>
            <w:r>
              <w:rPr>
                <w:rFonts w:hint="eastAsia" w:cs="Times New Roman"/>
                <w:snapToGrid w:val="0"/>
                <w:color w:val="auto"/>
                <w:kern w:val="0"/>
                <w:sz w:val="21"/>
                <w:szCs w:val="21"/>
              </w:rPr>
              <w:t>影响范围</w:t>
            </w:r>
            <w:r>
              <w:rPr>
                <w:rFonts w:cs="Times New Roman"/>
                <w:snapToGrid w:val="0"/>
                <w:color w:val="auto"/>
                <w:kern w:val="0"/>
                <w:sz w:val="21"/>
                <w:szCs w:val="21"/>
              </w:rPr>
              <w:t>涉及陕西省重要湿地</w:t>
            </w:r>
            <w:r>
              <w:rPr>
                <w:rFonts w:hint="eastAsia" w:cs="Times New Roman"/>
                <w:snapToGrid w:val="0"/>
                <w:color w:val="auto"/>
                <w:kern w:val="0"/>
                <w:sz w:val="21"/>
                <w:szCs w:val="21"/>
              </w:rPr>
              <w:t>—安康</w:t>
            </w:r>
            <w:r>
              <w:rPr>
                <w:rFonts w:hint="eastAsia" w:cs="Times New Roman"/>
                <w:snapToGrid w:val="0"/>
                <w:color w:val="auto"/>
                <w:kern w:val="0"/>
                <w:sz w:val="21"/>
                <w:szCs w:val="21"/>
                <w:lang w:val="en-US" w:eastAsia="zh-CN"/>
              </w:rPr>
              <w:t>岚河</w:t>
            </w:r>
            <w:r>
              <w:rPr>
                <w:rFonts w:hint="eastAsia" w:cs="Times New Roman"/>
                <w:snapToGrid w:val="0"/>
                <w:color w:val="auto"/>
                <w:kern w:val="0"/>
                <w:sz w:val="21"/>
                <w:szCs w:val="21"/>
              </w:rPr>
              <w:t>湿地</w:t>
            </w:r>
          </w:p>
        </w:tc>
        <w:tc>
          <w:tcPr>
            <w:tcW w:w="1112"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二级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10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根据</w:t>
            </w:r>
            <w:r>
              <w:rPr>
                <w:rFonts w:eastAsia="Times New Roman" w:cs="Times New Roman"/>
                <w:snapToGrid w:val="0"/>
                <w:color w:val="auto"/>
                <w:kern w:val="0"/>
                <w:sz w:val="21"/>
                <w:szCs w:val="21"/>
              </w:rPr>
              <w:t>HJ2.3</w:t>
            </w:r>
            <w:r>
              <w:rPr>
                <w:rFonts w:cs="Times New Roman"/>
                <w:snapToGrid w:val="0"/>
                <w:color w:val="auto"/>
                <w:kern w:val="0"/>
                <w:sz w:val="21"/>
                <w:szCs w:val="21"/>
              </w:rPr>
              <w:t>判断属于水文要素影响型且地表水评价等级不低于二级的建设项目，生态影响评价等级不低于二级</w:t>
            </w:r>
          </w:p>
        </w:tc>
        <w:tc>
          <w:tcPr>
            <w:tcW w:w="361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本项目水文要素影响型，评价等级为三级</w:t>
            </w:r>
          </w:p>
        </w:tc>
        <w:tc>
          <w:tcPr>
            <w:tcW w:w="1112"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10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根据</w:t>
            </w:r>
            <w:r>
              <w:rPr>
                <w:rFonts w:eastAsia="Times New Roman" w:cs="Times New Roman"/>
                <w:snapToGrid w:val="0"/>
                <w:color w:val="auto"/>
                <w:kern w:val="0"/>
                <w:sz w:val="21"/>
                <w:szCs w:val="21"/>
              </w:rPr>
              <w:t>HJ610</w:t>
            </w:r>
            <w:r>
              <w:rPr>
                <w:rFonts w:cs="Times New Roman"/>
                <w:snapToGrid w:val="0"/>
                <w:color w:val="auto"/>
                <w:kern w:val="0"/>
                <w:sz w:val="21"/>
                <w:szCs w:val="21"/>
              </w:rPr>
              <w:t>、</w:t>
            </w:r>
            <w:r>
              <w:rPr>
                <w:rFonts w:eastAsia="Times New Roman" w:cs="Times New Roman"/>
                <w:snapToGrid w:val="0"/>
                <w:color w:val="auto"/>
                <w:kern w:val="0"/>
                <w:sz w:val="21"/>
                <w:szCs w:val="21"/>
              </w:rPr>
              <w:t>HJ964</w:t>
            </w:r>
            <w:r>
              <w:rPr>
                <w:rFonts w:cs="Times New Roman"/>
                <w:snapToGrid w:val="0"/>
                <w:color w:val="auto"/>
                <w:kern w:val="0"/>
                <w:sz w:val="21"/>
                <w:szCs w:val="21"/>
              </w:rPr>
              <w:t>判断地下水水位或土壤影响范围内分布有天然林、公益林、湿地等生态保护目标的建设项目，生态影响评价等级不低于二级</w:t>
            </w:r>
          </w:p>
        </w:tc>
        <w:tc>
          <w:tcPr>
            <w:tcW w:w="361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本项目实施不存在污染土壤和地下水的途经</w:t>
            </w:r>
          </w:p>
        </w:tc>
        <w:tc>
          <w:tcPr>
            <w:tcW w:w="1112"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410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当工程占地规模大于20km</w:t>
            </w:r>
            <w:r>
              <w:rPr>
                <w:rFonts w:cs="Times New Roman"/>
                <w:snapToGrid w:val="0"/>
                <w:color w:val="auto"/>
                <w:kern w:val="0"/>
                <w:sz w:val="21"/>
                <w:szCs w:val="21"/>
                <w:vertAlign w:val="superscript"/>
              </w:rPr>
              <w:t>2</w:t>
            </w:r>
            <w:r>
              <w:rPr>
                <w:rFonts w:cs="Times New Roman"/>
                <w:snapToGrid w:val="0"/>
                <w:color w:val="auto"/>
                <w:kern w:val="0"/>
                <w:sz w:val="21"/>
                <w:szCs w:val="21"/>
              </w:rPr>
              <w:t>时</w:t>
            </w:r>
            <w:r>
              <w:rPr>
                <w:rFonts w:hint="eastAsia" w:cs="Times New Roman"/>
                <w:snapToGrid w:val="0"/>
                <w:color w:val="auto"/>
                <w:kern w:val="0"/>
                <w:sz w:val="21"/>
                <w:szCs w:val="21"/>
              </w:rPr>
              <w:t>（</w:t>
            </w:r>
            <w:r>
              <w:rPr>
                <w:rFonts w:cs="Times New Roman"/>
                <w:snapToGrid w:val="0"/>
                <w:color w:val="auto"/>
                <w:kern w:val="0"/>
                <w:sz w:val="21"/>
                <w:szCs w:val="21"/>
              </w:rPr>
              <w:t>包括永久和临时占用陆域和水域</w:t>
            </w:r>
            <w:r>
              <w:rPr>
                <w:rFonts w:hint="eastAsia" w:cs="Times New Roman"/>
                <w:snapToGrid w:val="0"/>
                <w:color w:val="auto"/>
                <w:kern w:val="0"/>
                <w:sz w:val="21"/>
                <w:szCs w:val="21"/>
              </w:rPr>
              <w:t>）</w:t>
            </w:r>
            <w:r>
              <w:rPr>
                <w:rFonts w:cs="Times New Roman"/>
                <w:snapToGrid w:val="0"/>
                <w:color w:val="auto"/>
                <w:kern w:val="0"/>
                <w:sz w:val="21"/>
                <w:szCs w:val="21"/>
              </w:rPr>
              <w:t>评价等级不低于二级；改扩建项目的占地范围以新增占地</w:t>
            </w:r>
            <w:r>
              <w:rPr>
                <w:rFonts w:hint="eastAsia" w:cs="Times New Roman"/>
                <w:snapToGrid w:val="0"/>
                <w:color w:val="auto"/>
                <w:kern w:val="0"/>
                <w:sz w:val="21"/>
                <w:szCs w:val="21"/>
              </w:rPr>
              <w:t>（</w:t>
            </w:r>
            <w:r>
              <w:rPr>
                <w:rFonts w:cs="Times New Roman"/>
                <w:snapToGrid w:val="0"/>
                <w:color w:val="auto"/>
                <w:kern w:val="0"/>
                <w:sz w:val="21"/>
                <w:szCs w:val="21"/>
              </w:rPr>
              <w:t>包括陆域和水域</w:t>
            </w:r>
            <w:r>
              <w:rPr>
                <w:rFonts w:hint="eastAsia" w:cs="Times New Roman"/>
                <w:snapToGrid w:val="0"/>
                <w:color w:val="auto"/>
                <w:kern w:val="0"/>
                <w:sz w:val="21"/>
                <w:szCs w:val="21"/>
              </w:rPr>
              <w:t>）</w:t>
            </w:r>
            <w:r>
              <w:rPr>
                <w:rFonts w:cs="Times New Roman"/>
                <w:snapToGrid w:val="0"/>
                <w:color w:val="auto"/>
                <w:kern w:val="0"/>
                <w:sz w:val="21"/>
                <w:szCs w:val="21"/>
              </w:rPr>
              <w:t>确定</w:t>
            </w:r>
          </w:p>
        </w:tc>
        <w:tc>
          <w:tcPr>
            <w:tcW w:w="361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kern w:val="0"/>
                <w:sz w:val="21"/>
                <w:szCs w:val="21"/>
              </w:rPr>
              <w:t>本项目工程占地面积不超过</w:t>
            </w:r>
            <w:r>
              <w:rPr>
                <w:rFonts w:eastAsia="Times New Roman" w:cs="Times New Roman"/>
                <w:snapToGrid w:val="0"/>
                <w:color w:val="auto"/>
                <w:kern w:val="0"/>
                <w:sz w:val="21"/>
                <w:szCs w:val="21"/>
              </w:rPr>
              <w:t>20km</w:t>
            </w:r>
            <w:r>
              <w:rPr>
                <w:rFonts w:eastAsia="Times New Roman" w:cs="Times New Roman"/>
                <w:snapToGrid w:val="0"/>
                <w:color w:val="auto"/>
                <w:kern w:val="0"/>
                <w:sz w:val="21"/>
                <w:szCs w:val="21"/>
                <w:vertAlign w:val="superscript"/>
              </w:rPr>
              <w:t>2</w:t>
            </w:r>
          </w:p>
        </w:tc>
        <w:tc>
          <w:tcPr>
            <w:tcW w:w="1112"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kern w:val="0"/>
                <w:sz w:val="21"/>
                <w:szCs w:val="21"/>
              </w:rPr>
              <w:t>/</w:t>
            </w:r>
          </w:p>
        </w:tc>
      </w:tr>
    </w:tbl>
    <w:p>
      <w:pPr>
        <w:snapToGrid w:val="0"/>
        <w:spacing w:before="200" w:beforeLines="50"/>
        <w:ind w:firstLine="480"/>
        <w:rPr>
          <w:rFonts w:cs="Times New Roman"/>
          <w:color w:val="auto"/>
          <w:lang w:val="zh-CN"/>
        </w:rPr>
      </w:pPr>
      <w:r>
        <w:rPr>
          <w:rFonts w:cs="Times New Roman"/>
          <w:color w:val="auto"/>
          <w:lang w:val="zh-CN"/>
        </w:rPr>
        <w:t>（</w:t>
      </w:r>
      <w:r>
        <w:rPr>
          <w:rFonts w:cs="Times New Roman"/>
          <w:color w:val="auto"/>
        </w:rPr>
        <w:t>2</w:t>
      </w:r>
      <w:r>
        <w:rPr>
          <w:rFonts w:cs="Times New Roman"/>
          <w:color w:val="auto"/>
          <w:lang w:val="zh-CN"/>
        </w:rPr>
        <w:t>）生态环境评价范围</w:t>
      </w:r>
    </w:p>
    <w:p>
      <w:pPr>
        <w:snapToGrid w:val="0"/>
        <w:ind w:firstLine="480"/>
        <w:rPr>
          <w:rFonts w:cs="Times New Roman"/>
          <w:color w:val="auto"/>
          <w:lang w:val="zh-CN"/>
        </w:rPr>
      </w:pPr>
      <w:r>
        <w:rPr>
          <w:rFonts w:hint="eastAsia" w:cs="Times New Roman"/>
          <w:color w:val="auto"/>
          <w:lang w:val="zh-CN"/>
        </w:rPr>
        <w:t>线性工程穿越生态敏感区时，以线路穿越段向两端外延1km、线路中心线向两侧外延1km为参考评价范围，实际确定时应结合生态敏感区主要保护对象的分布、生态学特征、项目的穿越方式、周边地形地貌等适当调整，主要保护对象为野生动物及其栖息地时，应进一步扩大评价范围，涉及迁徙、洄游物种的，其评价范围应涵盖工程影响的迁徙洄游通道范围；穿越非生态敏感区时，以线路中心线向两侧外延300m为参考评价范围。</w:t>
      </w:r>
    </w:p>
    <w:p>
      <w:pPr>
        <w:snapToGrid w:val="0"/>
        <w:ind w:firstLine="480"/>
        <w:rPr>
          <w:rFonts w:cs="Times New Roman"/>
          <w:color w:val="auto"/>
          <w:lang w:val="zh-CN"/>
        </w:rPr>
      </w:pPr>
      <w:r>
        <w:rPr>
          <w:rFonts w:hint="eastAsia" w:cs="Times New Roman"/>
          <w:color w:val="auto"/>
          <w:lang w:val="en-US" w:eastAsia="zh-CN"/>
        </w:rPr>
        <w:t>本项目穿越岚河湿地，</w:t>
      </w:r>
      <w:r>
        <w:rPr>
          <w:rFonts w:cs="Times New Roman"/>
          <w:color w:val="auto"/>
          <w:lang w:val="zh-CN"/>
        </w:rPr>
        <w:t>根据生态评价导则及项目所在区域的环境特征，确定生态影响评价范围为</w:t>
      </w:r>
      <w:r>
        <w:rPr>
          <w:rFonts w:hint="eastAsia" w:cs="Times New Roman"/>
          <w:color w:val="auto"/>
          <w:lang w:val="zh-CN"/>
        </w:rPr>
        <w:t>线路中心线</w:t>
      </w:r>
      <w:r>
        <w:rPr>
          <w:rFonts w:cs="Times New Roman"/>
          <w:color w:val="auto"/>
        </w:rPr>
        <w:t>两侧</w:t>
      </w:r>
      <w:r>
        <w:rPr>
          <w:rFonts w:cs="Times New Roman"/>
          <w:color w:val="auto"/>
          <w:lang w:val="zh-CN"/>
        </w:rPr>
        <w:t>外延</w:t>
      </w:r>
      <w:r>
        <w:rPr>
          <w:rFonts w:hint="eastAsia" w:cs="Times New Roman"/>
          <w:color w:val="auto"/>
          <w:lang w:val="en-US" w:eastAsia="zh-CN"/>
        </w:rPr>
        <w:t>10</w:t>
      </w:r>
      <w:r>
        <w:rPr>
          <w:rFonts w:cs="Times New Roman"/>
          <w:color w:val="auto"/>
          <w:lang w:val="zh-CN"/>
        </w:rPr>
        <w:t>00m范围。</w:t>
      </w:r>
    </w:p>
    <w:p>
      <w:pPr>
        <w:pStyle w:val="4"/>
        <w:numPr>
          <w:ilvl w:val="2"/>
          <w:numId w:val="0"/>
        </w:numPr>
        <w:adjustRightInd w:val="0"/>
        <w:snapToGrid w:val="0"/>
        <w:ind w:firstLine="480" w:firstLineChars="200"/>
        <w:rPr>
          <w:rFonts w:cs="Times New Roman"/>
          <w:color w:val="auto"/>
        </w:rPr>
      </w:pPr>
      <w:r>
        <w:rPr>
          <w:rFonts w:cs="Times New Roman"/>
          <w:color w:val="auto"/>
        </w:rPr>
        <w:t>2.4.7环境风险评价工作等级</w:t>
      </w:r>
    </w:p>
    <w:p>
      <w:pPr>
        <w:pStyle w:val="7"/>
        <w:snapToGrid w:val="0"/>
        <w:spacing w:after="0"/>
        <w:ind w:firstLine="480"/>
        <w:rPr>
          <w:rFonts w:cs="Times New Roman"/>
          <w:color w:val="auto"/>
        </w:rPr>
      </w:pPr>
      <w:r>
        <w:rPr>
          <w:rFonts w:cs="Times New Roman"/>
          <w:color w:val="auto"/>
        </w:rPr>
        <w:t>根据《建设项目环境风险评价技术导则》（HJ169-2018）中环境风险评价工作等级划分基本原则，项目存在的风险源主要为包括施工机械可能存在润滑油料、燃料油的滴漏造成水质污染的风险。项目施工期机械</w:t>
      </w:r>
      <w:r>
        <w:rPr>
          <w:rFonts w:hint="eastAsia" w:cs="Times New Roman"/>
          <w:color w:val="auto"/>
        </w:rPr>
        <w:t>柴油用量为</w:t>
      </w:r>
      <w:r>
        <w:rPr>
          <w:rFonts w:hint="eastAsia" w:cs="Times New Roman"/>
          <w:color w:val="auto"/>
          <w:lang w:val="en-US" w:eastAsia="zh-CN"/>
        </w:rPr>
        <w:t>362</w:t>
      </w:r>
      <w:r>
        <w:rPr>
          <w:rFonts w:hint="eastAsia" w:cs="Times New Roman"/>
          <w:color w:val="auto"/>
        </w:rPr>
        <w:t>t，仅偏远区域施工</w:t>
      </w:r>
      <w:r>
        <w:rPr>
          <w:rFonts w:cs="Times New Roman"/>
          <w:color w:val="auto"/>
        </w:rPr>
        <w:t>设备柴油最大存在总量为5t，Q=5/2500=0.002＜1，综合环境风险潜势为I级，结合表2.4-10可知，本项目的风险评价等级为简单分析。</w:t>
      </w:r>
    </w:p>
    <w:p>
      <w:pPr>
        <w:snapToGrid w:val="0"/>
        <w:spacing w:line="240" w:lineRule="auto"/>
        <w:ind w:firstLine="0" w:firstLineChars="0"/>
        <w:jc w:val="center"/>
        <w:rPr>
          <w:rFonts w:cs="Times New Roman"/>
          <w:b/>
          <w:color w:val="auto"/>
        </w:rPr>
      </w:pPr>
    </w:p>
    <w:p>
      <w:pPr>
        <w:snapToGrid w:val="0"/>
        <w:spacing w:line="240" w:lineRule="auto"/>
        <w:ind w:firstLine="0" w:firstLineChars="0"/>
        <w:jc w:val="center"/>
        <w:rPr>
          <w:rFonts w:cs="Times New Roman"/>
          <w:b/>
          <w:color w:val="auto"/>
        </w:rPr>
      </w:pPr>
    </w:p>
    <w:p>
      <w:pPr>
        <w:snapToGrid w:val="0"/>
        <w:spacing w:line="240" w:lineRule="auto"/>
        <w:ind w:firstLine="0" w:firstLineChars="0"/>
        <w:jc w:val="center"/>
        <w:rPr>
          <w:rFonts w:cs="Times New Roman"/>
          <w:b/>
          <w:color w:val="auto"/>
        </w:rPr>
      </w:pPr>
      <w:r>
        <w:rPr>
          <w:rFonts w:cs="Times New Roman"/>
          <w:b/>
          <w:color w:val="auto"/>
        </w:rPr>
        <w:t>表2.4-10  项目风险评价工作等级</w:t>
      </w:r>
    </w:p>
    <w:tbl>
      <w:tblPr>
        <w:tblStyle w:val="188"/>
        <w:tblW w:w="9197"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516"/>
        <w:gridCol w:w="1708"/>
        <w:gridCol w:w="1921"/>
        <w:gridCol w:w="2347"/>
        <w:gridCol w:w="1705"/>
      </w:tblGrid>
      <w:tr>
        <w:tblPrEx>
          <w:tblCellMar>
            <w:top w:w="0" w:type="dxa"/>
            <w:left w:w="0" w:type="dxa"/>
            <w:bottom w:w="0" w:type="dxa"/>
            <w:right w:w="0" w:type="dxa"/>
          </w:tblCellMar>
        </w:tblPrEx>
        <w:trPr>
          <w:trHeight w:val="458" w:hRule="atLeast"/>
        </w:trPr>
        <w:tc>
          <w:tcPr>
            <w:tcW w:w="151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环境风险潜</w:t>
            </w:r>
            <w:r>
              <w:rPr>
                <w:rFonts w:cs="Times New Roman"/>
                <w:snapToGrid w:val="0"/>
                <w:color w:val="auto"/>
                <w:kern w:val="0"/>
                <w:sz w:val="21"/>
                <w:szCs w:val="21"/>
              </w:rPr>
              <w:t>势</w:t>
            </w:r>
          </w:p>
        </w:tc>
        <w:tc>
          <w:tcPr>
            <w:tcW w:w="170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spacing w:val="-2"/>
                <w:kern w:val="0"/>
                <w:position w:val="1"/>
                <w:sz w:val="21"/>
                <w:szCs w:val="21"/>
              </w:rPr>
              <w:t>IV</w:t>
            </w:r>
            <w:r>
              <w:rPr>
                <w:rFonts w:cs="Times New Roman"/>
                <w:snapToGrid w:val="0"/>
                <w:color w:val="auto"/>
                <w:spacing w:val="-4"/>
                <w:kern w:val="0"/>
                <w:position w:val="1"/>
                <w:sz w:val="21"/>
                <w:szCs w:val="21"/>
              </w:rPr>
              <w:t>、</w:t>
            </w:r>
            <w:r>
              <w:rPr>
                <w:rFonts w:eastAsia="Times New Roman" w:cs="Times New Roman"/>
                <w:snapToGrid w:val="0"/>
                <w:color w:val="auto"/>
                <w:spacing w:val="-2"/>
                <w:kern w:val="0"/>
                <w:position w:val="1"/>
                <w:sz w:val="21"/>
                <w:szCs w:val="21"/>
              </w:rPr>
              <w:t>IV</w:t>
            </w:r>
            <w:r>
              <w:rPr>
                <w:rFonts w:eastAsia="Times New Roman" w:cs="Times New Roman"/>
                <w:snapToGrid w:val="0"/>
                <w:color w:val="auto"/>
                <w:spacing w:val="-4"/>
                <w:kern w:val="0"/>
                <w:position w:val="10"/>
                <w:sz w:val="21"/>
                <w:szCs w:val="21"/>
              </w:rPr>
              <w:t>+</w:t>
            </w:r>
          </w:p>
        </w:tc>
        <w:tc>
          <w:tcPr>
            <w:tcW w:w="1921"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spacing w:val="-2"/>
                <w:kern w:val="0"/>
                <w:sz w:val="21"/>
                <w:szCs w:val="21"/>
              </w:rPr>
              <w:t>I</w:t>
            </w:r>
            <w:r>
              <w:rPr>
                <w:rFonts w:eastAsia="Times New Roman" w:cs="Times New Roman"/>
                <w:snapToGrid w:val="0"/>
                <w:color w:val="auto"/>
                <w:spacing w:val="-1"/>
                <w:kern w:val="0"/>
                <w:sz w:val="21"/>
                <w:szCs w:val="21"/>
              </w:rPr>
              <w:t>II</w:t>
            </w:r>
          </w:p>
        </w:tc>
        <w:tc>
          <w:tcPr>
            <w:tcW w:w="2347"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spacing w:val="-2"/>
                <w:kern w:val="0"/>
                <w:sz w:val="21"/>
                <w:szCs w:val="21"/>
              </w:rPr>
              <w:t>I</w:t>
            </w:r>
            <w:r>
              <w:rPr>
                <w:rFonts w:eastAsia="Times New Roman" w:cs="Times New Roman"/>
                <w:snapToGrid w:val="0"/>
                <w:color w:val="auto"/>
                <w:spacing w:val="-1"/>
                <w:kern w:val="0"/>
                <w:sz w:val="21"/>
                <w:szCs w:val="21"/>
              </w:rPr>
              <w:t>I</w:t>
            </w:r>
          </w:p>
        </w:tc>
        <w:tc>
          <w:tcPr>
            <w:tcW w:w="1705"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kern w:val="0"/>
                <w:sz w:val="21"/>
                <w:szCs w:val="21"/>
              </w:rPr>
              <w:t>I</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516"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评价工作</w:t>
            </w:r>
            <w:r>
              <w:rPr>
                <w:rFonts w:cs="Times New Roman"/>
                <w:snapToGrid w:val="0"/>
                <w:color w:val="auto"/>
                <w:kern w:val="0"/>
                <w:sz w:val="21"/>
                <w:szCs w:val="21"/>
              </w:rPr>
              <w:t>等级</w:t>
            </w:r>
          </w:p>
        </w:tc>
        <w:tc>
          <w:tcPr>
            <w:tcW w:w="1708"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99"/>
                <w:kern w:val="0"/>
                <w:position w:val="1"/>
                <w:sz w:val="21"/>
                <w:szCs w:val="21"/>
              </w:rPr>
              <w:t>一</w:t>
            </w:r>
          </w:p>
        </w:tc>
        <w:tc>
          <w:tcPr>
            <w:tcW w:w="1921"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二</w:t>
            </w:r>
          </w:p>
        </w:tc>
        <w:tc>
          <w:tcPr>
            <w:tcW w:w="2347"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三</w:t>
            </w:r>
          </w:p>
        </w:tc>
        <w:tc>
          <w:tcPr>
            <w:tcW w:w="1705"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12"/>
                <w:kern w:val="0"/>
                <w:sz w:val="21"/>
                <w:szCs w:val="21"/>
              </w:rPr>
              <w:t>简</w:t>
            </w:r>
            <w:r>
              <w:rPr>
                <w:rFonts w:cs="Times New Roman"/>
                <w:snapToGrid w:val="0"/>
                <w:color w:val="auto"/>
                <w:spacing w:val="-9"/>
                <w:kern w:val="0"/>
                <w:sz w:val="21"/>
                <w:szCs w:val="21"/>
              </w:rPr>
              <w:t>单分析</w:t>
            </w:r>
            <w:r>
              <w:rPr>
                <w:rFonts w:eastAsia="Times New Roman" w:cs="Times New Roman"/>
                <w:snapToGrid w:val="0"/>
                <w:color w:val="auto"/>
                <w:spacing w:val="-9"/>
                <w:kern w:val="0"/>
                <w:position w:val="9"/>
                <w:sz w:val="21"/>
                <w:szCs w:val="21"/>
              </w:rPr>
              <w:t>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9197" w:type="dxa"/>
            <w:gridSpan w:val="5"/>
            <w:tcBorders>
              <w:top w:val="single" w:color="000000" w:sz="12" w:space="0"/>
              <w:tl2br w:val="nil"/>
              <w:tr2bl w:val="nil"/>
            </w:tcBorders>
            <w:vAlign w:val="center"/>
          </w:tcPr>
          <w:p>
            <w:pPr>
              <w:pStyle w:val="7"/>
              <w:spacing w:after="0" w:line="240" w:lineRule="auto"/>
              <w:ind w:firstLine="404"/>
              <w:rPr>
                <w:rFonts w:cs="Times New Roman"/>
                <w:snapToGrid w:val="0"/>
                <w:color w:val="auto"/>
                <w:spacing w:val="-12"/>
                <w:kern w:val="0"/>
                <w:sz w:val="21"/>
                <w:szCs w:val="21"/>
              </w:rPr>
            </w:pPr>
            <w:r>
              <w:rPr>
                <w:rFonts w:cs="Times New Roman"/>
                <w:snapToGrid w:val="0"/>
                <w:color w:val="auto"/>
                <w:spacing w:val="-4"/>
                <w:kern w:val="0"/>
                <w:sz w:val="21"/>
                <w:szCs w:val="21"/>
              </w:rPr>
              <w:t>注：</w:t>
            </w:r>
            <w:r>
              <w:rPr>
                <w:rFonts w:eastAsia="Times New Roman" w:cs="Times New Roman"/>
                <w:snapToGrid w:val="0"/>
                <w:color w:val="auto"/>
                <w:kern w:val="0"/>
                <w:position w:val="7"/>
                <w:sz w:val="21"/>
                <w:szCs w:val="21"/>
              </w:rPr>
              <w:t>a</w:t>
            </w:r>
            <w:r>
              <w:rPr>
                <w:rFonts w:cs="Times New Roman"/>
                <w:snapToGrid w:val="0"/>
                <w:color w:val="auto"/>
                <w:spacing w:val="-4"/>
                <w:kern w:val="0"/>
                <w:sz w:val="21"/>
                <w:szCs w:val="21"/>
              </w:rPr>
              <w:t>是相对于详细评价工作内容而言，在描述危险物质、环境影响途径、环境危害后果、风险防范措施等</w:t>
            </w:r>
            <w:r>
              <w:rPr>
                <w:rFonts w:cs="Times New Roman"/>
                <w:snapToGrid w:val="0"/>
                <w:color w:val="auto"/>
                <w:spacing w:val="-3"/>
                <w:kern w:val="0"/>
                <w:sz w:val="21"/>
                <w:szCs w:val="21"/>
              </w:rPr>
              <w:t>方</w:t>
            </w:r>
            <w:r>
              <w:rPr>
                <w:rFonts w:cs="Times New Roman"/>
                <w:snapToGrid w:val="0"/>
                <w:color w:val="auto"/>
                <w:kern w:val="0"/>
                <w:sz w:val="21"/>
                <w:szCs w:val="21"/>
              </w:rPr>
              <w:t>面</w:t>
            </w:r>
            <w:r>
              <w:rPr>
                <w:rFonts w:cs="Times New Roman"/>
                <w:snapToGrid w:val="0"/>
                <w:color w:val="auto"/>
                <w:spacing w:val="-6"/>
                <w:kern w:val="0"/>
                <w:sz w:val="21"/>
                <w:szCs w:val="21"/>
              </w:rPr>
              <w:t>给</w:t>
            </w:r>
            <w:r>
              <w:rPr>
                <w:rFonts w:cs="Times New Roman"/>
                <w:snapToGrid w:val="0"/>
                <w:color w:val="auto"/>
                <w:spacing w:val="-5"/>
                <w:kern w:val="0"/>
                <w:sz w:val="21"/>
                <w:szCs w:val="21"/>
              </w:rPr>
              <w:t>出</w:t>
            </w:r>
            <w:r>
              <w:rPr>
                <w:rFonts w:cs="Times New Roman"/>
                <w:snapToGrid w:val="0"/>
                <w:color w:val="auto"/>
                <w:spacing w:val="-3"/>
                <w:kern w:val="0"/>
                <w:sz w:val="21"/>
                <w:szCs w:val="21"/>
              </w:rPr>
              <w:t>定性的说明。</w:t>
            </w:r>
          </w:p>
        </w:tc>
      </w:tr>
    </w:tbl>
    <w:p>
      <w:pPr>
        <w:pStyle w:val="3"/>
        <w:numPr>
          <w:ilvl w:val="1"/>
          <w:numId w:val="0"/>
        </w:numPr>
        <w:ind w:firstLine="560" w:firstLineChars="200"/>
        <w:rPr>
          <w:rFonts w:cs="Times New Roman"/>
          <w:b w:val="0"/>
          <w:color w:val="auto"/>
        </w:rPr>
      </w:pPr>
      <w:bookmarkStart w:id="14" w:name="_Toc142388365"/>
      <w:r>
        <w:rPr>
          <w:rFonts w:cs="Times New Roman"/>
          <w:b w:val="0"/>
          <w:color w:val="auto"/>
        </w:rPr>
        <w:t>2.5环境保护目标</w:t>
      </w:r>
      <w:bookmarkEnd w:id="14"/>
    </w:p>
    <w:p>
      <w:pPr>
        <w:widowControl/>
        <w:kinsoku w:val="0"/>
        <w:autoSpaceDE w:val="0"/>
        <w:autoSpaceDN w:val="0"/>
        <w:adjustRightInd w:val="0"/>
        <w:ind w:firstLine="482"/>
        <w:jc w:val="left"/>
        <w:textAlignment w:val="baseline"/>
        <w:rPr>
          <w:rFonts w:cs="Times New Roman"/>
          <w:b/>
          <w:bCs/>
          <w:snapToGrid w:val="0"/>
          <w:color w:val="auto"/>
          <w:kern w:val="0"/>
        </w:rPr>
      </w:pPr>
      <w:r>
        <w:rPr>
          <w:rFonts w:cs="Times New Roman"/>
          <w:b/>
          <w:bCs/>
          <w:snapToGrid w:val="0"/>
          <w:color w:val="auto"/>
          <w:kern w:val="0"/>
        </w:rPr>
        <w:t>1.地表水环境保护目标</w:t>
      </w:r>
    </w:p>
    <w:p>
      <w:pPr>
        <w:snapToGrid w:val="0"/>
        <w:spacing w:line="240" w:lineRule="auto"/>
        <w:ind w:firstLine="0" w:firstLineChars="0"/>
        <w:jc w:val="center"/>
        <w:rPr>
          <w:rFonts w:cs="Times New Roman"/>
          <w:b/>
          <w:color w:val="auto"/>
        </w:rPr>
      </w:pPr>
      <w:r>
        <w:rPr>
          <w:rFonts w:cs="Times New Roman"/>
          <w:b/>
          <w:color w:val="auto"/>
        </w:rPr>
        <w:t>表2.5-1  地表水环境保护目标一览表</w:t>
      </w:r>
    </w:p>
    <w:tbl>
      <w:tblPr>
        <w:tblStyle w:val="188"/>
        <w:tblW w:w="9301"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1175"/>
        <w:gridCol w:w="1860"/>
        <w:gridCol w:w="1620"/>
        <w:gridCol w:w="464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blHeader/>
        </w:trPr>
        <w:tc>
          <w:tcPr>
            <w:tcW w:w="1175"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3"/>
                <w:kern w:val="0"/>
                <w:sz w:val="21"/>
                <w:szCs w:val="21"/>
              </w:rPr>
              <w:t>名</w:t>
            </w:r>
            <w:r>
              <w:rPr>
                <w:rFonts w:cs="Times New Roman"/>
                <w:b/>
                <w:bCs/>
                <w:snapToGrid w:val="0"/>
                <w:color w:val="auto"/>
                <w:spacing w:val="-2"/>
                <w:kern w:val="0"/>
                <w:sz w:val="21"/>
                <w:szCs w:val="21"/>
              </w:rPr>
              <w:t>称</w:t>
            </w:r>
          </w:p>
        </w:tc>
        <w:tc>
          <w:tcPr>
            <w:tcW w:w="1860"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2"/>
                <w:kern w:val="0"/>
                <w:sz w:val="21"/>
                <w:szCs w:val="21"/>
              </w:rPr>
              <w:t>与项</w:t>
            </w:r>
            <w:r>
              <w:rPr>
                <w:rFonts w:cs="Times New Roman"/>
                <w:b/>
                <w:bCs/>
                <w:snapToGrid w:val="0"/>
                <w:color w:val="auto"/>
                <w:spacing w:val="-1"/>
                <w:kern w:val="0"/>
                <w:sz w:val="21"/>
                <w:szCs w:val="21"/>
              </w:rPr>
              <w:t>目位置关系</w:t>
            </w:r>
          </w:p>
        </w:tc>
        <w:tc>
          <w:tcPr>
            <w:tcW w:w="1620"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3"/>
                <w:kern w:val="0"/>
                <w:sz w:val="21"/>
                <w:szCs w:val="21"/>
              </w:rPr>
              <w:t>目标水</w:t>
            </w:r>
            <w:r>
              <w:rPr>
                <w:rFonts w:cs="Times New Roman"/>
                <w:b/>
                <w:bCs/>
                <w:snapToGrid w:val="0"/>
                <w:color w:val="auto"/>
                <w:spacing w:val="-2"/>
                <w:kern w:val="0"/>
                <w:sz w:val="21"/>
                <w:szCs w:val="21"/>
              </w:rPr>
              <w:t>质</w:t>
            </w:r>
          </w:p>
        </w:tc>
        <w:tc>
          <w:tcPr>
            <w:tcW w:w="4646"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3"/>
                <w:kern w:val="0"/>
                <w:sz w:val="21"/>
                <w:szCs w:val="21"/>
              </w:rPr>
              <w:t>执行标准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1175"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eastAsia" w:eastAsia="宋体" w:cs="Times New Roman"/>
                <w:snapToGrid w:val="0"/>
                <w:color w:val="auto"/>
                <w:kern w:val="0"/>
                <w:sz w:val="21"/>
                <w:szCs w:val="21"/>
                <w:lang w:eastAsia="zh-CN"/>
              </w:rPr>
            </w:pPr>
            <w:r>
              <w:rPr>
                <w:rFonts w:hint="eastAsia" w:cs="Times New Roman"/>
                <w:snapToGrid w:val="0"/>
                <w:color w:val="auto"/>
                <w:spacing w:val="-3"/>
                <w:kern w:val="0"/>
                <w:sz w:val="21"/>
                <w:szCs w:val="21"/>
                <w:lang w:val="en-US" w:eastAsia="zh-CN"/>
              </w:rPr>
              <w:t>岚河</w:t>
            </w:r>
          </w:p>
        </w:tc>
        <w:tc>
          <w:tcPr>
            <w:tcW w:w="1860"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本项目治理河</w:t>
            </w:r>
            <w:r>
              <w:rPr>
                <w:rFonts w:cs="Times New Roman"/>
                <w:snapToGrid w:val="0"/>
                <w:color w:val="auto"/>
                <w:kern w:val="0"/>
                <w:sz w:val="21"/>
                <w:szCs w:val="21"/>
              </w:rPr>
              <w:t>段</w:t>
            </w:r>
          </w:p>
        </w:tc>
        <w:tc>
          <w:tcPr>
            <w:tcW w:w="1620"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eastAsia="Times New Roman" w:cs="Times New Roman"/>
                <w:snapToGrid w:val="0"/>
                <w:color w:val="auto"/>
                <w:kern w:val="0"/>
                <w:sz w:val="21"/>
                <w:szCs w:val="21"/>
              </w:rPr>
              <w:t>II</w:t>
            </w:r>
            <w:r>
              <w:rPr>
                <w:rFonts w:cs="Times New Roman"/>
                <w:snapToGrid w:val="0"/>
                <w:color w:val="auto"/>
                <w:kern w:val="0"/>
                <w:sz w:val="21"/>
                <w:szCs w:val="21"/>
              </w:rPr>
              <w:t>类</w:t>
            </w:r>
          </w:p>
        </w:tc>
        <w:tc>
          <w:tcPr>
            <w:tcW w:w="4646"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19"/>
                <w:szCs w:val="19"/>
              </w:rPr>
            </w:pPr>
            <w:r>
              <w:rPr>
                <w:rFonts w:cs="Times New Roman"/>
                <w:snapToGrid w:val="0"/>
                <w:color w:val="auto"/>
                <w:spacing w:val="-1"/>
                <w:kern w:val="0"/>
                <w:sz w:val="21"/>
                <w:szCs w:val="21"/>
              </w:rPr>
              <w:t>《地表水环境质量标准》(GB3838-2002)II类标准</w:t>
            </w:r>
          </w:p>
        </w:tc>
      </w:tr>
    </w:tbl>
    <w:p>
      <w:pPr>
        <w:widowControl/>
        <w:kinsoku w:val="0"/>
        <w:autoSpaceDE w:val="0"/>
        <w:autoSpaceDN w:val="0"/>
        <w:adjustRightInd w:val="0"/>
        <w:ind w:firstLine="482"/>
        <w:jc w:val="left"/>
        <w:textAlignment w:val="baseline"/>
        <w:rPr>
          <w:rFonts w:cs="Times New Roman"/>
          <w:b/>
          <w:bCs/>
          <w:snapToGrid w:val="0"/>
          <w:color w:val="auto"/>
          <w:kern w:val="0"/>
        </w:rPr>
      </w:pPr>
      <w:r>
        <w:rPr>
          <w:rFonts w:cs="Times New Roman"/>
          <w:b/>
          <w:bCs/>
          <w:snapToGrid w:val="0"/>
          <w:color w:val="auto"/>
          <w:kern w:val="0"/>
        </w:rPr>
        <w:t>2.生态环境保护目标</w:t>
      </w:r>
    </w:p>
    <w:p>
      <w:pPr>
        <w:widowControl/>
        <w:kinsoku w:val="0"/>
        <w:autoSpaceDE w:val="0"/>
        <w:autoSpaceDN w:val="0"/>
        <w:adjustRightInd w:val="0"/>
        <w:snapToGrid w:val="0"/>
        <w:ind w:firstLine="480"/>
        <w:jc w:val="left"/>
        <w:textAlignment w:val="baseline"/>
        <w:rPr>
          <w:rFonts w:cs="Times New Roman"/>
          <w:snapToGrid w:val="0"/>
          <w:color w:val="auto"/>
          <w:kern w:val="0"/>
        </w:rPr>
      </w:pPr>
      <w:r>
        <w:rPr>
          <w:rFonts w:cs="Times New Roman"/>
          <w:snapToGrid w:val="0"/>
          <w:color w:val="auto"/>
          <w:kern w:val="0"/>
        </w:rPr>
        <w:t>（1）陆域生态</w:t>
      </w:r>
    </w:p>
    <w:p>
      <w:pPr>
        <w:widowControl/>
        <w:kinsoku w:val="0"/>
        <w:autoSpaceDE w:val="0"/>
        <w:autoSpaceDN w:val="0"/>
        <w:adjustRightInd w:val="0"/>
        <w:snapToGrid w:val="0"/>
        <w:ind w:firstLine="480"/>
        <w:jc w:val="left"/>
        <w:textAlignment w:val="baseline"/>
        <w:rPr>
          <w:rFonts w:cs="Times New Roman"/>
          <w:snapToGrid w:val="0"/>
          <w:color w:val="auto"/>
          <w:kern w:val="0"/>
        </w:rPr>
      </w:pPr>
      <w:r>
        <w:rPr>
          <w:rFonts w:cs="Times New Roman"/>
          <w:snapToGrid w:val="0"/>
          <w:color w:val="auto"/>
          <w:kern w:val="0"/>
        </w:rPr>
        <w:t>评价范围</w:t>
      </w:r>
      <w:r>
        <w:rPr>
          <w:rFonts w:hint="eastAsia" w:cs="Times New Roman"/>
          <w:snapToGrid w:val="0"/>
          <w:color w:val="auto"/>
          <w:kern w:val="0"/>
        </w:rPr>
        <w:t>（</w:t>
      </w:r>
      <w:r>
        <w:rPr>
          <w:rFonts w:cs="Times New Roman"/>
          <w:snapToGrid w:val="0"/>
          <w:color w:val="auto"/>
          <w:kern w:val="0"/>
        </w:rPr>
        <w:t>主要是施工场地涉及陆域</w:t>
      </w:r>
      <w:r>
        <w:rPr>
          <w:rFonts w:hint="eastAsia" w:cs="Times New Roman"/>
          <w:snapToGrid w:val="0"/>
          <w:color w:val="auto"/>
          <w:kern w:val="0"/>
        </w:rPr>
        <w:t>）</w:t>
      </w:r>
      <w:r>
        <w:rPr>
          <w:rFonts w:cs="Times New Roman"/>
          <w:snapToGrid w:val="0"/>
          <w:color w:val="auto"/>
          <w:kern w:val="0"/>
        </w:rPr>
        <w:t>内的陆生动植物均为当地常见种类，未见国家级重点保护动植物分布。项目区域植被类型较单一，以本地农作物、柳树林、灌丛、灌草丛、芦苇草丛为主；野生动物以常见家禽、鸟类和小型兽类为主。</w:t>
      </w:r>
    </w:p>
    <w:p>
      <w:pPr>
        <w:widowControl/>
        <w:kinsoku w:val="0"/>
        <w:autoSpaceDE w:val="0"/>
        <w:autoSpaceDN w:val="0"/>
        <w:adjustRightInd w:val="0"/>
        <w:snapToGrid w:val="0"/>
        <w:ind w:firstLine="480"/>
        <w:jc w:val="left"/>
        <w:textAlignment w:val="baseline"/>
        <w:rPr>
          <w:rFonts w:cs="Times New Roman"/>
          <w:snapToGrid w:val="0"/>
          <w:color w:val="auto"/>
          <w:kern w:val="0"/>
        </w:rPr>
      </w:pPr>
      <w:r>
        <w:rPr>
          <w:rFonts w:cs="Times New Roman"/>
          <w:snapToGrid w:val="0"/>
          <w:color w:val="auto"/>
          <w:kern w:val="0"/>
        </w:rPr>
        <w:t>（2）水生生态</w:t>
      </w:r>
    </w:p>
    <w:p>
      <w:pPr>
        <w:pStyle w:val="61"/>
        <w:snapToGrid w:val="0"/>
        <w:ind w:firstLine="480"/>
        <w:rPr>
          <w:rFonts w:cs="Times New Roman"/>
          <w:color w:val="auto"/>
        </w:rPr>
      </w:pPr>
      <w:r>
        <w:rPr>
          <w:rFonts w:cs="Times New Roman"/>
          <w:snapToGrid w:val="0"/>
          <w:color w:val="auto"/>
          <w:kern w:val="0"/>
        </w:rPr>
        <w:t>评价区浮游植物主要为藻类，水生维管束植物包括各类水草等，评价区鱼类资源有泥鳅、黄鳝、鲫鱼等，无《国家重点保护水生野生动物名录》和《濒危野生动植物种国际贸易公约（水生野生部分）》中规定的国家重点保护鱼种和地方特有鱼类分布。亦无鱼类索饵场、越冬场和产卵场。</w:t>
      </w:r>
    </w:p>
    <w:p>
      <w:pPr>
        <w:pStyle w:val="122"/>
        <w:rPr>
          <w:rFonts w:eastAsiaTheme="minorEastAsia"/>
          <w:b/>
          <w:color w:val="auto"/>
          <w:kern w:val="2"/>
        </w:rPr>
      </w:pPr>
      <w:r>
        <w:rPr>
          <w:rFonts w:eastAsiaTheme="minorEastAsia"/>
          <w:b/>
          <w:color w:val="auto"/>
          <w:kern w:val="2"/>
        </w:rPr>
        <w:t>表2.5-2  生态环境保护目标一览表</w:t>
      </w:r>
    </w:p>
    <w:tbl>
      <w:tblPr>
        <w:tblStyle w:val="188"/>
        <w:tblW w:w="9301"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690"/>
        <w:gridCol w:w="1437"/>
        <w:gridCol w:w="5370"/>
        <w:gridCol w:w="180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blHeader/>
        </w:trPr>
        <w:tc>
          <w:tcPr>
            <w:tcW w:w="690"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2"/>
                <w:kern w:val="0"/>
                <w:sz w:val="21"/>
                <w:szCs w:val="21"/>
              </w:rPr>
              <w:t>序</w:t>
            </w:r>
            <w:r>
              <w:rPr>
                <w:rFonts w:cs="Times New Roman"/>
                <w:b/>
                <w:bCs/>
                <w:snapToGrid w:val="0"/>
                <w:color w:val="auto"/>
                <w:spacing w:val="-1"/>
                <w:kern w:val="0"/>
                <w:sz w:val="21"/>
                <w:szCs w:val="21"/>
              </w:rPr>
              <w:t>号</w:t>
            </w:r>
          </w:p>
        </w:tc>
        <w:tc>
          <w:tcPr>
            <w:tcW w:w="1437"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2"/>
                <w:kern w:val="0"/>
                <w:sz w:val="21"/>
                <w:szCs w:val="21"/>
              </w:rPr>
              <w:t>保护</w:t>
            </w:r>
            <w:r>
              <w:rPr>
                <w:rFonts w:cs="Times New Roman"/>
                <w:b/>
                <w:bCs/>
                <w:snapToGrid w:val="0"/>
                <w:color w:val="auto"/>
                <w:spacing w:val="-1"/>
                <w:kern w:val="0"/>
                <w:sz w:val="21"/>
                <w:szCs w:val="21"/>
              </w:rPr>
              <w:t>目标</w:t>
            </w:r>
          </w:p>
        </w:tc>
        <w:tc>
          <w:tcPr>
            <w:tcW w:w="5370"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hint="eastAsia" w:cs="Times New Roman"/>
                <w:b/>
                <w:bCs/>
                <w:snapToGrid w:val="0"/>
                <w:color w:val="auto"/>
                <w:kern w:val="0"/>
                <w:sz w:val="21"/>
                <w:szCs w:val="21"/>
              </w:rPr>
              <w:t>保护内容</w:t>
            </w:r>
          </w:p>
        </w:tc>
        <w:tc>
          <w:tcPr>
            <w:tcW w:w="1804"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2"/>
                <w:kern w:val="0"/>
                <w:sz w:val="21"/>
                <w:szCs w:val="21"/>
              </w:rPr>
              <w:t>与工</w:t>
            </w:r>
            <w:r>
              <w:rPr>
                <w:rFonts w:cs="Times New Roman"/>
                <w:b/>
                <w:bCs/>
                <w:snapToGrid w:val="0"/>
                <w:color w:val="auto"/>
                <w:spacing w:val="-1"/>
                <w:kern w:val="0"/>
                <w:sz w:val="21"/>
                <w:szCs w:val="21"/>
              </w:rPr>
              <w:t>程位置关系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52" w:hRule="exact"/>
        </w:trPr>
        <w:tc>
          <w:tcPr>
            <w:tcW w:w="690"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kern w:val="0"/>
                <w:sz w:val="21"/>
                <w:szCs w:val="21"/>
              </w:rPr>
              <w:t>1</w:t>
            </w:r>
          </w:p>
        </w:tc>
        <w:tc>
          <w:tcPr>
            <w:tcW w:w="1437"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土地</w:t>
            </w:r>
            <w:r>
              <w:rPr>
                <w:rFonts w:cs="Times New Roman"/>
                <w:snapToGrid w:val="0"/>
                <w:color w:val="auto"/>
                <w:spacing w:val="-1"/>
                <w:kern w:val="0"/>
                <w:sz w:val="21"/>
                <w:szCs w:val="21"/>
              </w:rPr>
              <w:t>资源</w:t>
            </w:r>
          </w:p>
        </w:tc>
        <w:tc>
          <w:tcPr>
            <w:tcW w:w="5370"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right="98" w:hanging="1254"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项目永久占地全部位于河</w:t>
            </w:r>
            <w:r>
              <w:rPr>
                <w:rFonts w:cs="Times New Roman"/>
                <w:snapToGrid w:val="0"/>
                <w:color w:val="auto"/>
                <w:kern w:val="0"/>
                <w:sz w:val="21"/>
                <w:szCs w:val="21"/>
              </w:rPr>
              <w:t>道管理范围用地内，临时占地在施</w:t>
            </w:r>
            <w:r>
              <w:rPr>
                <w:rFonts w:cs="Times New Roman"/>
                <w:snapToGrid w:val="0"/>
                <w:color w:val="auto"/>
                <w:spacing w:val="-1"/>
                <w:kern w:val="0"/>
                <w:sz w:val="21"/>
                <w:szCs w:val="21"/>
              </w:rPr>
              <w:t>工结束后临时</w:t>
            </w:r>
            <w:r>
              <w:rPr>
                <w:rFonts w:cs="Times New Roman"/>
                <w:snapToGrid w:val="0"/>
                <w:color w:val="auto"/>
                <w:kern w:val="0"/>
                <w:sz w:val="21"/>
                <w:szCs w:val="21"/>
              </w:rPr>
              <w:t>占地全部进行恢复</w:t>
            </w:r>
          </w:p>
        </w:tc>
        <w:tc>
          <w:tcPr>
            <w:tcW w:w="1804"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工程河段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690"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kern w:val="0"/>
                <w:sz w:val="21"/>
                <w:szCs w:val="21"/>
              </w:rPr>
              <w:t>2</w:t>
            </w:r>
          </w:p>
        </w:tc>
        <w:tc>
          <w:tcPr>
            <w:tcW w:w="1437"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4"/>
                <w:kern w:val="0"/>
                <w:sz w:val="21"/>
                <w:szCs w:val="21"/>
              </w:rPr>
              <w:t>陆生植物</w:t>
            </w:r>
          </w:p>
        </w:tc>
        <w:tc>
          <w:tcPr>
            <w:tcW w:w="5370"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工程施工期占</w:t>
            </w:r>
            <w:r>
              <w:rPr>
                <w:rFonts w:cs="Times New Roman"/>
                <w:snapToGrid w:val="0"/>
                <w:color w:val="auto"/>
                <w:kern w:val="0"/>
                <w:sz w:val="21"/>
                <w:szCs w:val="21"/>
              </w:rPr>
              <w:t>地造成的植物损失</w:t>
            </w:r>
          </w:p>
        </w:tc>
        <w:tc>
          <w:tcPr>
            <w:tcW w:w="1804"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工程河段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690"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kern w:val="0"/>
                <w:sz w:val="21"/>
                <w:szCs w:val="21"/>
              </w:rPr>
              <w:t>3</w:t>
            </w:r>
          </w:p>
        </w:tc>
        <w:tc>
          <w:tcPr>
            <w:tcW w:w="1437"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4"/>
                <w:kern w:val="0"/>
                <w:sz w:val="21"/>
                <w:szCs w:val="21"/>
              </w:rPr>
              <w:t>陆生动物</w:t>
            </w:r>
          </w:p>
        </w:tc>
        <w:tc>
          <w:tcPr>
            <w:tcW w:w="5370"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常见家禽、鸟类和小型</w:t>
            </w:r>
            <w:r>
              <w:rPr>
                <w:rFonts w:cs="Times New Roman"/>
                <w:snapToGrid w:val="0"/>
                <w:color w:val="auto"/>
                <w:kern w:val="0"/>
                <w:sz w:val="21"/>
                <w:szCs w:val="21"/>
              </w:rPr>
              <w:t>兽类</w:t>
            </w:r>
          </w:p>
        </w:tc>
        <w:tc>
          <w:tcPr>
            <w:tcW w:w="1804"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工程河段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690"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kern w:val="0"/>
                <w:sz w:val="21"/>
                <w:szCs w:val="21"/>
              </w:rPr>
              <w:t>4</w:t>
            </w:r>
          </w:p>
        </w:tc>
        <w:tc>
          <w:tcPr>
            <w:tcW w:w="1437"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水生生物</w:t>
            </w:r>
          </w:p>
        </w:tc>
        <w:tc>
          <w:tcPr>
            <w:tcW w:w="5370"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治理河段的各种水生生</w:t>
            </w:r>
            <w:r>
              <w:rPr>
                <w:rFonts w:cs="Times New Roman"/>
                <w:snapToGrid w:val="0"/>
                <w:color w:val="auto"/>
                <w:kern w:val="0"/>
                <w:sz w:val="21"/>
                <w:szCs w:val="21"/>
              </w:rPr>
              <w:t>物</w:t>
            </w:r>
          </w:p>
        </w:tc>
        <w:tc>
          <w:tcPr>
            <w:tcW w:w="1804"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工程河段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690"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eastAsiaTheme="minorEastAsia"/>
                <w:snapToGrid w:val="0"/>
                <w:color w:val="auto"/>
                <w:kern w:val="0"/>
                <w:sz w:val="21"/>
                <w:szCs w:val="21"/>
              </w:rPr>
            </w:pPr>
            <w:r>
              <w:rPr>
                <w:rFonts w:cs="Times New Roman" w:eastAsiaTheme="minorEastAsia"/>
                <w:snapToGrid w:val="0"/>
                <w:color w:val="auto"/>
                <w:kern w:val="0"/>
                <w:sz w:val="21"/>
                <w:szCs w:val="21"/>
              </w:rPr>
              <w:t>5</w:t>
            </w:r>
          </w:p>
        </w:tc>
        <w:tc>
          <w:tcPr>
            <w:tcW w:w="1437"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spacing w:val="-2"/>
                <w:kern w:val="0"/>
                <w:sz w:val="21"/>
                <w:szCs w:val="21"/>
              </w:rPr>
            </w:pPr>
            <w:r>
              <w:rPr>
                <w:rFonts w:hint="eastAsia" w:cs="Times New Roman"/>
                <w:snapToGrid w:val="0"/>
                <w:color w:val="auto"/>
                <w:spacing w:val="-2"/>
                <w:kern w:val="0"/>
                <w:sz w:val="21"/>
                <w:szCs w:val="21"/>
              </w:rPr>
              <w:t>安康</w:t>
            </w:r>
            <w:r>
              <w:rPr>
                <w:rFonts w:hint="eastAsia" w:cs="Times New Roman"/>
                <w:snapToGrid w:val="0"/>
                <w:color w:val="auto"/>
                <w:spacing w:val="-2"/>
                <w:kern w:val="0"/>
                <w:sz w:val="21"/>
                <w:szCs w:val="21"/>
                <w:lang w:val="en-US" w:eastAsia="zh-CN"/>
              </w:rPr>
              <w:t>岚河</w:t>
            </w:r>
            <w:r>
              <w:rPr>
                <w:rFonts w:hint="eastAsia" w:cs="Times New Roman"/>
                <w:snapToGrid w:val="0"/>
                <w:color w:val="auto"/>
                <w:spacing w:val="-2"/>
                <w:kern w:val="0"/>
                <w:sz w:val="21"/>
                <w:szCs w:val="21"/>
              </w:rPr>
              <w:t>湿地</w:t>
            </w:r>
          </w:p>
        </w:tc>
        <w:tc>
          <w:tcPr>
            <w:tcW w:w="5370"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spacing w:val="-1"/>
                <w:kern w:val="0"/>
                <w:sz w:val="21"/>
                <w:szCs w:val="21"/>
              </w:rPr>
            </w:pPr>
            <w:r>
              <w:rPr>
                <w:rFonts w:hint="eastAsia" w:cs="Times New Roman"/>
                <w:snapToGrid w:val="0"/>
                <w:color w:val="auto"/>
                <w:spacing w:val="-1"/>
                <w:kern w:val="0"/>
                <w:sz w:val="21"/>
                <w:szCs w:val="21"/>
              </w:rPr>
              <w:t>湿地生态系统</w:t>
            </w:r>
          </w:p>
        </w:tc>
        <w:tc>
          <w:tcPr>
            <w:tcW w:w="1804"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spacing w:val="-2"/>
                <w:kern w:val="0"/>
                <w:sz w:val="21"/>
                <w:szCs w:val="21"/>
              </w:rPr>
            </w:pPr>
            <w:r>
              <w:rPr>
                <w:rFonts w:cs="Times New Roman"/>
                <w:snapToGrid w:val="0"/>
                <w:color w:val="auto"/>
                <w:spacing w:val="-2"/>
                <w:kern w:val="0"/>
                <w:sz w:val="21"/>
                <w:szCs w:val="21"/>
              </w:rPr>
              <w:t>工程河段</w:t>
            </w:r>
          </w:p>
        </w:tc>
      </w:tr>
    </w:tbl>
    <w:p>
      <w:pPr>
        <w:widowControl/>
        <w:kinsoku w:val="0"/>
        <w:autoSpaceDE w:val="0"/>
        <w:autoSpaceDN w:val="0"/>
        <w:adjustRightInd w:val="0"/>
        <w:spacing w:before="200" w:beforeLines="50"/>
        <w:ind w:firstLine="482"/>
        <w:jc w:val="left"/>
        <w:textAlignment w:val="baseline"/>
        <w:rPr>
          <w:rFonts w:cs="Times New Roman"/>
          <w:b/>
          <w:bCs/>
          <w:snapToGrid w:val="0"/>
          <w:color w:val="auto"/>
          <w:kern w:val="0"/>
        </w:rPr>
      </w:pPr>
      <w:r>
        <w:rPr>
          <w:rFonts w:cs="Times New Roman"/>
          <w:b/>
          <w:bCs/>
          <w:snapToGrid w:val="0"/>
          <w:color w:val="auto"/>
          <w:kern w:val="0"/>
        </w:rPr>
        <w:t>3.声环境保护目标</w:t>
      </w:r>
    </w:p>
    <w:p>
      <w:pPr>
        <w:pStyle w:val="122"/>
        <w:rPr>
          <w:rFonts w:eastAsiaTheme="minorEastAsia"/>
          <w:b/>
          <w:color w:val="auto"/>
          <w:kern w:val="2"/>
        </w:rPr>
      </w:pPr>
    </w:p>
    <w:p>
      <w:pPr>
        <w:pStyle w:val="122"/>
        <w:rPr>
          <w:rFonts w:eastAsiaTheme="minorEastAsia"/>
          <w:b/>
          <w:color w:val="auto"/>
          <w:kern w:val="2"/>
        </w:rPr>
      </w:pPr>
    </w:p>
    <w:p>
      <w:pPr>
        <w:pStyle w:val="122"/>
        <w:rPr>
          <w:rFonts w:eastAsiaTheme="minorEastAsia"/>
          <w:b/>
          <w:color w:val="auto"/>
          <w:kern w:val="2"/>
        </w:rPr>
      </w:pPr>
      <w:r>
        <w:rPr>
          <w:rFonts w:eastAsiaTheme="minorEastAsia"/>
          <w:b/>
          <w:color w:val="auto"/>
          <w:kern w:val="2"/>
        </w:rPr>
        <w:t>表2.5-3  声环境主要环境保护目标表</w:t>
      </w:r>
    </w:p>
    <w:tbl>
      <w:tblPr>
        <w:tblStyle w:val="188"/>
        <w:tblW w:w="9663"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0" w:type="dxa"/>
          <w:bottom w:w="0" w:type="dxa"/>
          <w:right w:w="0" w:type="dxa"/>
        </w:tblCellMar>
      </w:tblPr>
      <w:tblGrid>
        <w:gridCol w:w="663"/>
        <w:gridCol w:w="1857"/>
        <w:gridCol w:w="1523"/>
        <w:gridCol w:w="2122"/>
        <w:gridCol w:w="1881"/>
        <w:gridCol w:w="161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591" w:hRule="exact"/>
          <w:tblHeader/>
          <w:jc w:val="center"/>
        </w:trPr>
        <w:tc>
          <w:tcPr>
            <w:tcW w:w="663"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bookmarkStart w:id="15" w:name="_Toc181015431"/>
            <w:bookmarkStart w:id="16" w:name="_Toc155187589"/>
            <w:bookmarkStart w:id="17" w:name="_Toc395629014"/>
            <w:bookmarkStart w:id="18" w:name="_Toc181686413"/>
            <w:bookmarkStart w:id="19" w:name="_Toc213667758"/>
            <w:bookmarkStart w:id="20" w:name="_Toc304299867"/>
            <w:bookmarkStart w:id="21" w:name="_Toc422324023"/>
            <w:bookmarkStart w:id="22" w:name="_Toc180808242"/>
            <w:bookmarkStart w:id="23" w:name="_Toc476707083"/>
            <w:bookmarkStart w:id="24" w:name="_Toc167356952"/>
            <w:bookmarkStart w:id="25" w:name="_Toc182638445"/>
            <w:bookmarkStart w:id="26" w:name="_Toc295481449"/>
            <w:r>
              <w:rPr>
                <w:rFonts w:cs="Times New Roman"/>
                <w:b/>
                <w:bCs/>
                <w:snapToGrid w:val="0"/>
                <w:color w:val="auto"/>
                <w:kern w:val="0"/>
                <w:sz w:val="21"/>
                <w:szCs w:val="21"/>
              </w:rPr>
              <w:t>序号</w:t>
            </w:r>
          </w:p>
        </w:tc>
        <w:tc>
          <w:tcPr>
            <w:tcW w:w="1857"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kern w:val="0"/>
                <w:sz w:val="21"/>
                <w:szCs w:val="21"/>
              </w:rPr>
              <w:t>保护对象</w:t>
            </w:r>
          </w:p>
        </w:tc>
        <w:tc>
          <w:tcPr>
            <w:tcW w:w="1523"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kern w:val="0"/>
                <w:sz w:val="21"/>
                <w:szCs w:val="21"/>
              </w:rPr>
              <w:t>所在工程段</w:t>
            </w:r>
          </w:p>
        </w:tc>
        <w:tc>
          <w:tcPr>
            <w:tcW w:w="2122"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kern w:val="0"/>
                <w:sz w:val="21"/>
                <w:szCs w:val="21"/>
              </w:rPr>
              <w:t>方位及首排房屋距离工程最近距离</w:t>
            </w:r>
          </w:p>
        </w:tc>
        <w:tc>
          <w:tcPr>
            <w:tcW w:w="1881"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kern w:val="0"/>
                <w:sz w:val="21"/>
                <w:szCs w:val="21"/>
              </w:rPr>
              <w:t>敏感点规模</w:t>
            </w:r>
          </w:p>
        </w:tc>
        <w:tc>
          <w:tcPr>
            <w:tcW w:w="1617"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kern w:val="0"/>
                <w:sz w:val="21"/>
                <w:szCs w:val="21"/>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97" w:hRule="exact"/>
          <w:jc w:val="center"/>
        </w:trPr>
        <w:tc>
          <w:tcPr>
            <w:tcW w:w="663"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1</w:t>
            </w:r>
          </w:p>
        </w:tc>
        <w:tc>
          <w:tcPr>
            <w:tcW w:w="1857"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小河口村村民</w:t>
            </w:r>
          </w:p>
        </w:tc>
        <w:tc>
          <w:tcPr>
            <w:tcW w:w="1523"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城关镇镇</w:t>
            </w:r>
            <w:r>
              <w:rPr>
                <w:rFonts w:cs="Times New Roman"/>
                <w:snapToGrid w:val="0"/>
                <w:color w:val="auto"/>
                <w:kern w:val="0"/>
                <w:sz w:val="21"/>
                <w:szCs w:val="21"/>
              </w:rPr>
              <w:t>段</w:t>
            </w:r>
          </w:p>
        </w:tc>
        <w:tc>
          <w:tcPr>
            <w:tcW w:w="2122"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南</w:t>
            </w:r>
            <w:r>
              <w:rPr>
                <w:rFonts w:cs="Times New Roman"/>
                <w:snapToGrid w:val="0"/>
                <w:color w:val="auto"/>
                <w:kern w:val="0"/>
                <w:sz w:val="21"/>
                <w:szCs w:val="21"/>
              </w:rPr>
              <w:t>侧，</w:t>
            </w:r>
            <w:r>
              <w:rPr>
                <w:rFonts w:hint="eastAsia" w:cs="Times New Roman"/>
                <w:snapToGrid w:val="0"/>
                <w:color w:val="auto"/>
                <w:kern w:val="0"/>
                <w:sz w:val="21"/>
                <w:szCs w:val="21"/>
                <w:lang w:val="en-US" w:eastAsia="zh-CN"/>
              </w:rPr>
              <w:t>5</w:t>
            </w:r>
            <w:r>
              <w:rPr>
                <w:rFonts w:cs="Times New Roman"/>
                <w:snapToGrid w:val="0"/>
                <w:color w:val="auto"/>
                <w:kern w:val="0"/>
                <w:sz w:val="21"/>
                <w:szCs w:val="21"/>
              </w:rPr>
              <w:t>m</w:t>
            </w:r>
          </w:p>
        </w:tc>
        <w:tc>
          <w:tcPr>
            <w:tcW w:w="1881"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70</w:t>
            </w:r>
            <w:r>
              <w:rPr>
                <w:rFonts w:cs="Times New Roman"/>
                <w:snapToGrid w:val="0"/>
                <w:color w:val="auto"/>
                <w:kern w:val="0"/>
                <w:sz w:val="21"/>
                <w:szCs w:val="21"/>
              </w:rPr>
              <w:t>人</w:t>
            </w:r>
          </w:p>
        </w:tc>
        <w:tc>
          <w:tcPr>
            <w:tcW w:w="1617" w:type="dxa"/>
            <w:vMerge w:val="restart"/>
            <w:tcBorders>
              <w:top w:val="single" w:color="000000" w:sz="12" w:space="0"/>
              <w:tl2br w:val="nil"/>
              <w:tr2bl w:val="nil"/>
            </w:tcBorders>
            <w:vAlign w:val="center"/>
          </w:tcPr>
          <w:p>
            <w:pPr>
              <w:widowControl/>
              <w:tabs>
                <w:tab w:val="left" w:pos="240"/>
              </w:tabs>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《声环境质量标准》(GB3096-2008)2类标准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97" w:hRule="exact"/>
          <w:jc w:val="center"/>
        </w:trPr>
        <w:tc>
          <w:tcPr>
            <w:tcW w:w="66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eastAsia" w:eastAsia="宋体" w:cs="Times New Roman"/>
                <w:snapToGrid w:val="0"/>
                <w:color w:val="auto"/>
                <w:kern w:val="0"/>
                <w:sz w:val="21"/>
                <w:szCs w:val="21"/>
                <w:lang w:eastAsia="zh-CN"/>
              </w:rPr>
            </w:pPr>
            <w:r>
              <w:rPr>
                <w:rFonts w:hint="eastAsia" w:cs="Times New Roman"/>
                <w:snapToGrid w:val="0"/>
                <w:color w:val="auto"/>
                <w:kern w:val="0"/>
                <w:sz w:val="21"/>
                <w:szCs w:val="21"/>
                <w:lang w:val="en-US" w:eastAsia="zh-CN"/>
              </w:rPr>
              <w:t>2</w:t>
            </w:r>
          </w:p>
        </w:tc>
        <w:tc>
          <w:tcPr>
            <w:tcW w:w="1857"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红日村居民</w:t>
            </w:r>
            <w:r>
              <w:rPr>
                <w:rFonts w:cs="Times New Roman"/>
                <w:snapToGrid w:val="0"/>
                <w:color w:val="auto"/>
                <w:kern w:val="0"/>
                <w:sz w:val="21"/>
                <w:szCs w:val="21"/>
              </w:rPr>
              <w:t>学</w:t>
            </w:r>
          </w:p>
        </w:tc>
        <w:tc>
          <w:tcPr>
            <w:tcW w:w="1523" w:type="dxa"/>
            <w:vMerge w:val="restart"/>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南宫山</w:t>
            </w:r>
            <w:r>
              <w:rPr>
                <w:rFonts w:cs="Times New Roman"/>
                <w:snapToGrid w:val="0"/>
                <w:color w:val="auto"/>
                <w:kern w:val="0"/>
                <w:sz w:val="21"/>
                <w:szCs w:val="21"/>
              </w:rPr>
              <w:t>段</w:t>
            </w:r>
          </w:p>
        </w:tc>
        <w:tc>
          <w:tcPr>
            <w:tcW w:w="2122"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东南</w:t>
            </w:r>
            <w:r>
              <w:rPr>
                <w:rFonts w:cs="Times New Roman"/>
                <w:snapToGrid w:val="0"/>
                <w:color w:val="auto"/>
                <w:kern w:val="0"/>
                <w:sz w:val="21"/>
                <w:szCs w:val="21"/>
              </w:rPr>
              <w:t>侧，</w:t>
            </w:r>
            <w:r>
              <w:rPr>
                <w:rFonts w:hint="eastAsia" w:cs="Times New Roman"/>
                <w:snapToGrid w:val="0"/>
                <w:color w:val="auto"/>
                <w:kern w:val="0"/>
                <w:sz w:val="21"/>
                <w:szCs w:val="21"/>
                <w:lang w:val="en-US" w:eastAsia="zh-CN"/>
              </w:rPr>
              <w:t>16</w:t>
            </w:r>
            <w:r>
              <w:rPr>
                <w:rFonts w:cs="Times New Roman"/>
                <w:snapToGrid w:val="0"/>
                <w:color w:val="auto"/>
                <w:kern w:val="0"/>
                <w:sz w:val="21"/>
                <w:szCs w:val="21"/>
              </w:rPr>
              <w:t>m</w:t>
            </w:r>
          </w:p>
        </w:tc>
        <w:tc>
          <w:tcPr>
            <w:tcW w:w="1881"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50</w:t>
            </w:r>
            <w:r>
              <w:rPr>
                <w:rFonts w:cs="Times New Roman"/>
                <w:snapToGrid w:val="0"/>
                <w:color w:val="auto"/>
                <w:kern w:val="0"/>
                <w:sz w:val="21"/>
                <w:szCs w:val="21"/>
              </w:rPr>
              <w:t>人</w:t>
            </w:r>
          </w:p>
        </w:tc>
        <w:tc>
          <w:tcPr>
            <w:tcW w:w="1617"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97" w:hRule="exact"/>
          <w:jc w:val="center"/>
        </w:trPr>
        <w:tc>
          <w:tcPr>
            <w:tcW w:w="66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3</w:t>
            </w:r>
          </w:p>
        </w:tc>
        <w:tc>
          <w:tcPr>
            <w:tcW w:w="1857"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龙安村居民</w:t>
            </w:r>
          </w:p>
        </w:tc>
        <w:tc>
          <w:tcPr>
            <w:tcW w:w="1523"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eastAsia" w:cs="Times New Roman"/>
                <w:snapToGrid w:val="0"/>
                <w:color w:val="auto"/>
                <w:kern w:val="0"/>
                <w:sz w:val="21"/>
                <w:szCs w:val="21"/>
                <w:lang w:val="en-US" w:eastAsia="zh-CN"/>
              </w:rPr>
            </w:pPr>
          </w:p>
        </w:tc>
        <w:tc>
          <w:tcPr>
            <w:tcW w:w="2122"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西侧，50m</w:t>
            </w:r>
          </w:p>
        </w:tc>
        <w:tc>
          <w:tcPr>
            <w:tcW w:w="1881"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150人</w:t>
            </w:r>
          </w:p>
        </w:tc>
        <w:tc>
          <w:tcPr>
            <w:tcW w:w="1617"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97" w:hRule="exact"/>
          <w:jc w:val="center"/>
        </w:trPr>
        <w:tc>
          <w:tcPr>
            <w:tcW w:w="66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4</w:t>
            </w:r>
          </w:p>
        </w:tc>
        <w:tc>
          <w:tcPr>
            <w:tcW w:w="1857"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eastAsia"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南宫山镇集镇居民</w:t>
            </w:r>
          </w:p>
        </w:tc>
        <w:tc>
          <w:tcPr>
            <w:tcW w:w="1523"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eastAsia" w:cs="Times New Roman"/>
                <w:snapToGrid w:val="0"/>
                <w:color w:val="auto"/>
                <w:kern w:val="0"/>
                <w:sz w:val="21"/>
                <w:szCs w:val="21"/>
                <w:lang w:val="en-US" w:eastAsia="zh-CN"/>
              </w:rPr>
            </w:pPr>
          </w:p>
        </w:tc>
        <w:tc>
          <w:tcPr>
            <w:tcW w:w="2122"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东侧</w:t>
            </w:r>
          </w:p>
        </w:tc>
        <w:tc>
          <w:tcPr>
            <w:tcW w:w="1881"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500人</w:t>
            </w:r>
          </w:p>
        </w:tc>
        <w:tc>
          <w:tcPr>
            <w:tcW w:w="1617"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97" w:hRule="exact"/>
          <w:jc w:val="center"/>
        </w:trPr>
        <w:tc>
          <w:tcPr>
            <w:tcW w:w="66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eastAsia" w:eastAsia="宋体" w:cs="Times New Roman"/>
                <w:snapToGrid w:val="0"/>
                <w:color w:val="auto"/>
                <w:kern w:val="0"/>
                <w:sz w:val="21"/>
                <w:szCs w:val="21"/>
                <w:lang w:eastAsia="zh-CN"/>
              </w:rPr>
            </w:pPr>
            <w:r>
              <w:rPr>
                <w:rFonts w:hint="eastAsia" w:cs="Times New Roman"/>
                <w:snapToGrid w:val="0"/>
                <w:color w:val="auto"/>
                <w:kern w:val="0"/>
                <w:sz w:val="21"/>
                <w:szCs w:val="21"/>
                <w:lang w:val="en-US" w:eastAsia="zh-CN"/>
              </w:rPr>
              <w:t>5</w:t>
            </w:r>
          </w:p>
        </w:tc>
        <w:tc>
          <w:tcPr>
            <w:tcW w:w="1857"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茶园村居民</w:t>
            </w:r>
          </w:p>
        </w:tc>
        <w:tc>
          <w:tcPr>
            <w:tcW w:w="152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蔺河镇</w:t>
            </w:r>
            <w:r>
              <w:rPr>
                <w:rFonts w:cs="Times New Roman"/>
                <w:snapToGrid w:val="0"/>
                <w:color w:val="auto"/>
                <w:kern w:val="0"/>
                <w:sz w:val="21"/>
                <w:szCs w:val="21"/>
              </w:rPr>
              <w:t>段</w:t>
            </w:r>
          </w:p>
        </w:tc>
        <w:tc>
          <w:tcPr>
            <w:tcW w:w="2122"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北</w:t>
            </w:r>
            <w:r>
              <w:rPr>
                <w:rFonts w:cs="Times New Roman"/>
                <w:snapToGrid w:val="0"/>
                <w:color w:val="auto"/>
                <w:kern w:val="0"/>
                <w:sz w:val="21"/>
                <w:szCs w:val="21"/>
              </w:rPr>
              <w:t>侧，</w:t>
            </w:r>
            <w:r>
              <w:rPr>
                <w:rFonts w:hint="eastAsia" w:cs="Times New Roman"/>
                <w:snapToGrid w:val="0"/>
                <w:color w:val="auto"/>
                <w:kern w:val="0"/>
                <w:sz w:val="21"/>
                <w:szCs w:val="21"/>
                <w:lang w:val="en-US" w:eastAsia="zh-CN"/>
              </w:rPr>
              <w:t>80</w:t>
            </w:r>
            <w:r>
              <w:rPr>
                <w:rFonts w:cs="Times New Roman"/>
                <w:snapToGrid w:val="0"/>
                <w:color w:val="auto"/>
                <w:kern w:val="0"/>
                <w:sz w:val="21"/>
                <w:szCs w:val="21"/>
              </w:rPr>
              <w:t>m</w:t>
            </w:r>
          </w:p>
        </w:tc>
        <w:tc>
          <w:tcPr>
            <w:tcW w:w="1881"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70</w:t>
            </w:r>
            <w:r>
              <w:rPr>
                <w:rFonts w:cs="Times New Roman"/>
                <w:snapToGrid w:val="0"/>
                <w:color w:val="auto"/>
                <w:kern w:val="0"/>
                <w:sz w:val="21"/>
                <w:szCs w:val="21"/>
              </w:rPr>
              <w:t>人</w:t>
            </w:r>
          </w:p>
        </w:tc>
        <w:tc>
          <w:tcPr>
            <w:tcW w:w="1617"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97" w:hRule="exact"/>
          <w:jc w:val="center"/>
        </w:trPr>
        <w:tc>
          <w:tcPr>
            <w:tcW w:w="66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eastAsia" w:eastAsia="宋体" w:cs="Times New Roman"/>
                <w:snapToGrid w:val="0"/>
                <w:color w:val="auto"/>
                <w:kern w:val="0"/>
                <w:sz w:val="21"/>
                <w:szCs w:val="21"/>
                <w:lang w:eastAsia="zh-CN"/>
              </w:rPr>
            </w:pPr>
            <w:r>
              <w:rPr>
                <w:rFonts w:hint="eastAsia" w:cs="Times New Roman"/>
                <w:snapToGrid w:val="0"/>
                <w:color w:val="auto"/>
                <w:kern w:val="0"/>
                <w:sz w:val="21"/>
                <w:szCs w:val="21"/>
                <w:lang w:val="en-US" w:eastAsia="zh-CN"/>
              </w:rPr>
              <w:t>6</w:t>
            </w:r>
          </w:p>
        </w:tc>
        <w:tc>
          <w:tcPr>
            <w:tcW w:w="1857"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下田坝村</w:t>
            </w:r>
            <w:r>
              <w:rPr>
                <w:rFonts w:cs="Times New Roman"/>
                <w:snapToGrid w:val="0"/>
                <w:color w:val="auto"/>
                <w:kern w:val="0"/>
                <w:sz w:val="21"/>
                <w:szCs w:val="21"/>
              </w:rPr>
              <w:t>村民</w:t>
            </w:r>
          </w:p>
        </w:tc>
        <w:tc>
          <w:tcPr>
            <w:tcW w:w="152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孟石岭镇段</w:t>
            </w:r>
          </w:p>
        </w:tc>
        <w:tc>
          <w:tcPr>
            <w:tcW w:w="2122"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北</w:t>
            </w:r>
            <w:r>
              <w:rPr>
                <w:rFonts w:cs="Times New Roman"/>
                <w:snapToGrid w:val="0"/>
                <w:color w:val="auto"/>
                <w:kern w:val="0"/>
                <w:sz w:val="21"/>
                <w:szCs w:val="21"/>
              </w:rPr>
              <w:t>侧、北侧30m</w:t>
            </w:r>
          </w:p>
        </w:tc>
        <w:tc>
          <w:tcPr>
            <w:tcW w:w="1881"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hint="eastAsia" w:cs="Times New Roman"/>
                <w:snapToGrid w:val="0"/>
                <w:color w:val="auto"/>
                <w:kern w:val="0"/>
                <w:sz w:val="21"/>
                <w:szCs w:val="21"/>
                <w:lang w:val="en-US" w:eastAsia="zh-CN"/>
              </w:rPr>
              <w:t>100</w:t>
            </w:r>
            <w:r>
              <w:rPr>
                <w:rFonts w:cs="Times New Roman"/>
                <w:snapToGrid w:val="0"/>
                <w:color w:val="auto"/>
                <w:kern w:val="0"/>
                <w:sz w:val="21"/>
                <w:szCs w:val="21"/>
              </w:rPr>
              <w:t>人</w:t>
            </w:r>
          </w:p>
        </w:tc>
        <w:tc>
          <w:tcPr>
            <w:tcW w:w="1617"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r>
    </w:tbl>
    <w:p>
      <w:pPr>
        <w:pStyle w:val="3"/>
        <w:numPr>
          <w:ilvl w:val="1"/>
          <w:numId w:val="0"/>
        </w:numPr>
        <w:ind w:firstLine="560" w:firstLineChars="200"/>
        <w:rPr>
          <w:rFonts w:cs="Times New Roman"/>
          <w:b w:val="0"/>
          <w:color w:val="auto"/>
        </w:rPr>
      </w:pPr>
      <w:bookmarkStart w:id="27" w:name="_Toc142388366"/>
      <w:r>
        <w:rPr>
          <w:rFonts w:cs="Times New Roman"/>
          <w:b w:val="0"/>
          <w:color w:val="auto"/>
        </w:rPr>
        <w:t>2.6评价标准</w:t>
      </w:r>
      <w:bookmarkEnd w:id="15"/>
      <w:bookmarkEnd w:id="16"/>
      <w:bookmarkEnd w:id="17"/>
      <w:bookmarkEnd w:id="18"/>
      <w:bookmarkEnd w:id="19"/>
      <w:bookmarkEnd w:id="20"/>
      <w:bookmarkEnd w:id="21"/>
      <w:bookmarkEnd w:id="22"/>
      <w:bookmarkEnd w:id="23"/>
      <w:bookmarkEnd w:id="24"/>
      <w:bookmarkEnd w:id="25"/>
      <w:bookmarkEnd w:id="26"/>
      <w:bookmarkEnd w:id="27"/>
    </w:p>
    <w:p>
      <w:pPr>
        <w:pStyle w:val="4"/>
        <w:numPr>
          <w:ilvl w:val="2"/>
          <w:numId w:val="0"/>
        </w:numPr>
        <w:adjustRightInd w:val="0"/>
        <w:snapToGrid w:val="0"/>
        <w:ind w:firstLine="480" w:firstLineChars="200"/>
        <w:rPr>
          <w:rFonts w:cs="Times New Roman"/>
          <w:color w:val="auto"/>
        </w:rPr>
      </w:pPr>
      <w:bookmarkStart w:id="28" w:name="_Toc155187590"/>
      <w:r>
        <w:rPr>
          <w:rFonts w:cs="Times New Roman"/>
          <w:color w:val="auto"/>
        </w:rPr>
        <w:t>2.6.1环境功能区划</w:t>
      </w:r>
    </w:p>
    <w:p>
      <w:pPr>
        <w:pStyle w:val="61"/>
        <w:snapToGrid w:val="0"/>
        <w:ind w:firstLine="480"/>
        <w:rPr>
          <w:rFonts w:cs="Times New Roman"/>
          <w:snapToGrid w:val="0"/>
          <w:color w:val="auto"/>
          <w:kern w:val="0"/>
        </w:rPr>
      </w:pPr>
      <w:r>
        <w:rPr>
          <w:rFonts w:cs="Times New Roman"/>
          <w:snapToGrid w:val="0"/>
          <w:color w:val="auto"/>
          <w:kern w:val="0"/>
        </w:rPr>
        <w:t>（1）大气环境</w:t>
      </w:r>
    </w:p>
    <w:p>
      <w:pPr>
        <w:pStyle w:val="61"/>
        <w:snapToGrid w:val="0"/>
        <w:ind w:firstLine="480"/>
        <w:rPr>
          <w:rFonts w:cs="Times New Roman"/>
          <w:snapToGrid w:val="0"/>
          <w:color w:val="auto"/>
          <w:kern w:val="0"/>
        </w:rPr>
      </w:pPr>
      <w:r>
        <w:rPr>
          <w:rFonts w:cs="Times New Roman"/>
          <w:snapToGrid w:val="0"/>
          <w:color w:val="auto"/>
          <w:kern w:val="0"/>
        </w:rPr>
        <w:t>工程所在区域属《环境空气质量标准》二类区，执行《环境空气质量标准》</w:t>
      </w:r>
      <w:r>
        <w:rPr>
          <w:rFonts w:hint="eastAsia" w:cs="Times New Roman"/>
          <w:snapToGrid w:val="0"/>
          <w:color w:val="auto"/>
          <w:kern w:val="0"/>
        </w:rPr>
        <w:t>（</w:t>
      </w:r>
      <w:r>
        <w:rPr>
          <w:rFonts w:cs="Times New Roman"/>
          <w:snapToGrid w:val="0"/>
          <w:color w:val="auto"/>
          <w:kern w:val="0"/>
        </w:rPr>
        <w:t>GB3095-2012</w:t>
      </w:r>
      <w:r>
        <w:rPr>
          <w:rFonts w:hint="eastAsia" w:cs="Times New Roman"/>
          <w:snapToGrid w:val="0"/>
          <w:color w:val="auto"/>
          <w:kern w:val="0"/>
        </w:rPr>
        <w:t>）</w:t>
      </w:r>
      <w:r>
        <w:rPr>
          <w:rFonts w:cs="Times New Roman"/>
          <w:snapToGrid w:val="0"/>
          <w:color w:val="auto"/>
          <w:kern w:val="0"/>
        </w:rPr>
        <w:t>及修改单中二级标准。</w:t>
      </w:r>
    </w:p>
    <w:p>
      <w:pPr>
        <w:pStyle w:val="61"/>
        <w:snapToGrid w:val="0"/>
        <w:ind w:firstLine="480"/>
        <w:rPr>
          <w:rFonts w:cs="Times New Roman"/>
          <w:snapToGrid w:val="0"/>
          <w:color w:val="auto"/>
          <w:kern w:val="0"/>
        </w:rPr>
      </w:pPr>
      <w:r>
        <w:rPr>
          <w:rFonts w:cs="Times New Roman"/>
          <w:snapToGrid w:val="0"/>
          <w:color w:val="auto"/>
          <w:kern w:val="0"/>
        </w:rPr>
        <w:t>（2）地表水</w:t>
      </w:r>
    </w:p>
    <w:p>
      <w:pPr>
        <w:pStyle w:val="61"/>
        <w:snapToGrid w:val="0"/>
        <w:ind w:firstLine="480"/>
        <w:rPr>
          <w:rFonts w:cs="Times New Roman"/>
          <w:snapToGrid w:val="0"/>
          <w:color w:val="auto"/>
          <w:kern w:val="0"/>
        </w:rPr>
      </w:pPr>
      <w:r>
        <w:rPr>
          <w:rFonts w:cs="Times New Roman"/>
          <w:snapToGrid w:val="0"/>
          <w:color w:val="auto"/>
          <w:kern w:val="0"/>
        </w:rPr>
        <w:t>工程所在</w:t>
      </w:r>
      <w:r>
        <w:rPr>
          <w:rFonts w:hint="eastAsia" w:cs="Times New Roman"/>
          <w:snapToGrid w:val="0"/>
          <w:color w:val="auto"/>
          <w:kern w:val="0"/>
          <w:lang w:val="en-US" w:eastAsia="zh-CN"/>
        </w:rPr>
        <w:t>岚河</w:t>
      </w:r>
      <w:r>
        <w:rPr>
          <w:rFonts w:cs="Times New Roman"/>
          <w:snapToGrid w:val="0"/>
          <w:color w:val="auto"/>
          <w:kern w:val="0"/>
        </w:rPr>
        <w:t>执行《地表水环境质量标准》（GB3838-2002）中的Ⅱ类标准。</w:t>
      </w:r>
    </w:p>
    <w:p>
      <w:pPr>
        <w:pStyle w:val="61"/>
        <w:snapToGrid w:val="0"/>
        <w:ind w:firstLine="480"/>
        <w:rPr>
          <w:rFonts w:cs="Times New Roman"/>
          <w:snapToGrid w:val="0"/>
          <w:color w:val="auto"/>
          <w:kern w:val="0"/>
        </w:rPr>
      </w:pPr>
      <w:r>
        <w:rPr>
          <w:rFonts w:cs="Times New Roman"/>
          <w:snapToGrid w:val="0"/>
          <w:color w:val="auto"/>
          <w:kern w:val="0"/>
        </w:rPr>
        <w:t>（3）地下水</w:t>
      </w:r>
    </w:p>
    <w:p>
      <w:pPr>
        <w:pStyle w:val="61"/>
        <w:snapToGrid w:val="0"/>
        <w:ind w:firstLine="480"/>
        <w:rPr>
          <w:rFonts w:cs="Times New Roman"/>
          <w:snapToGrid w:val="0"/>
          <w:color w:val="auto"/>
          <w:kern w:val="0"/>
        </w:rPr>
      </w:pPr>
      <w:r>
        <w:rPr>
          <w:rFonts w:cs="Times New Roman"/>
          <w:snapToGrid w:val="0"/>
          <w:color w:val="auto"/>
          <w:kern w:val="0"/>
        </w:rPr>
        <w:t>该区域地下水执行《地下水质量标准》(GB/T14848-2017)中Ⅲ类标准。</w:t>
      </w:r>
    </w:p>
    <w:p>
      <w:pPr>
        <w:pStyle w:val="61"/>
        <w:snapToGrid w:val="0"/>
        <w:ind w:firstLine="480"/>
        <w:rPr>
          <w:rFonts w:cs="Times New Roman"/>
          <w:snapToGrid w:val="0"/>
          <w:color w:val="auto"/>
          <w:kern w:val="0"/>
        </w:rPr>
      </w:pPr>
      <w:r>
        <w:rPr>
          <w:rFonts w:cs="Times New Roman"/>
          <w:snapToGrid w:val="0"/>
          <w:color w:val="auto"/>
          <w:kern w:val="0"/>
        </w:rPr>
        <w:t>（4）声环境</w:t>
      </w:r>
    </w:p>
    <w:p>
      <w:pPr>
        <w:pStyle w:val="61"/>
        <w:snapToGrid w:val="0"/>
        <w:ind w:firstLine="480"/>
        <w:rPr>
          <w:rFonts w:cs="Times New Roman"/>
          <w:snapToGrid w:val="0"/>
          <w:color w:val="auto"/>
          <w:kern w:val="0"/>
        </w:rPr>
      </w:pPr>
      <w:r>
        <w:rPr>
          <w:rFonts w:cs="Times New Roman"/>
          <w:snapToGrid w:val="0"/>
          <w:color w:val="auto"/>
          <w:kern w:val="0"/>
        </w:rPr>
        <w:t>区域环境噪声执行《声环境质量标准》(GB3096-2008)2类声环境功能区标准。</w:t>
      </w:r>
    </w:p>
    <w:p>
      <w:pPr>
        <w:pStyle w:val="61"/>
        <w:snapToGrid w:val="0"/>
        <w:ind w:firstLine="480"/>
        <w:rPr>
          <w:rFonts w:cs="Times New Roman"/>
          <w:snapToGrid w:val="0"/>
          <w:color w:val="auto"/>
          <w:kern w:val="0"/>
        </w:rPr>
      </w:pPr>
      <w:r>
        <w:rPr>
          <w:rFonts w:cs="Times New Roman"/>
          <w:snapToGrid w:val="0"/>
          <w:color w:val="auto"/>
          <w:kern w:val="0"/>
        </w:rPr>
        <w:t>（5）土壤</w:t>
      </w:r>
    </w:p>
    <w:p>
      <w:pPr>
        <w:pStyle w:val="61"/>
        <w:snapToGrid w:val="0"/>
        <w:ind w:firstLine="480"/>
        <w:rPr>
          <w:rFonts w:cs="Times New Roman"/>
          <w:snapToGrid w:val="0"/>
          <w:color w:val="auto"/>
          <w:kern w:val="0"/>
        </w:rPr>
      </w:pPr>
      <w:r>
        <w:rPr>
          <w:rFonts w:cs="Times New Roman"/>
          <w:snapToGrid w:val="0"/>
          <w:color w:val="auto"/>
          <w:kern w:val="0"/>
        </w:rPr>
        <w:t>项目场地所在区域土壤环境质量执行《土壤环境质量 农用地土壤污染风险管控标准（试行）》（GB15618—2018）中“表1农用地土壤污染风险筛选值（基本项目）”中的“其他”标准要求。</w:t>
      </w:r>
    </w:p>
    <w:p>
      <w:pPr>
        <w:pStyle w:val="61"/>
        <w:snapToGrid w:val="0"/>
        <w:ind w:firstLine="480"/>
        <w:rPr>
          <w:rFonts w:cs="Times New Roman"/>
          <w:snapToGrid w:val="0"/>
          <w:color w:val="auto"/>
          <w:kern w:val="0"/>
        </w:rPr>
      </w:pPr>
      <w:r>
        <w:rPr>
          <w:rFonts w:cs="Times New Roman"/>
          <w:snapToGrid w:val="0"/>
          <w:color w:val="auto"/>
          <w:kern w:val="0"/>
        </w:rPr>
        <w:t>（6）生态功能区划</w:t>
      </w:r>
    </w:p>
    <w:p>
      <w:pPr>
        <w:pStyle w:val="61"/>
        <w:snapToGrid w:val="0"/>
        <w:ind w:firstLine="480"/>
        <w:rPr>
          <w:rFonts w:cs="Times New Roman"/>
          <w:snapToGrid w:val="0"/>
          <w:color w:val="auto"/>
          <w:kern w:val="0"/>
        </w:rPr>
      </w:pPr>
      <w:r>
        <w:rPr>
          <w:rFonts w:cs="Times New Roman"/>
          <w:snapToGrid w:val="0"/>
          <w:color w:val="auto"/>
          <w:kern w:val="0"/>
        </w:rPr>
        <w:t>根据《陕西省生态功能区划》，本项目一级区划属秦巴山地落叶阔叶、常绿阔叶混交林生态区；二级区划属米仓山、大巴山水源涵养生态功能区；三级区划属大巴山水源涵养与生物多样性保护区。</w:t>
      </w:r>
    </w:p>
    <w:bookmarkEnd w:id="28"/>
    <w:p>
      <w:pPr>
        <w:pStyle w:val="4"/>
        <w:numPr>
          <w:ilvl w:val="2"/>
          <w:numId w:val="0"/>
        </w:numPr>
        <w:adjustRightInd w:val="0"/>
        <w:snapToGrid w:val="0"/>
        <w:ind w:firstLine="480" w:firstLineChars="200"/>
        <w:rPr>
          <w:rFonts w:cs="Times New Roman"/>
          <w:color w:val="auto"/>
        </w:rPr>
      </w:pPr>
      <w:r>
        <w:rPr>
          <w:rFonts w:cs="Times New Roman"/>
          <w:color w:val="auto"/>
        </w:rPr>
        <w:t>2.6.2环境质量标准</w:t>
      </w:r>
    </w:p>
    <w:p>
      <w:pPr>
        <w:pStyle w:val="61"/>
        <w:ind w:firstLine="482"/>
        <w:rPr>
          <w:rFonts w:cs="Times New Roman"/>
          <w:b/>
          <w:bCs/>
          <w:snapToGrid w:val="0"/>
          <w:color w:val="auto"/>
          <w:kern w:val="0"/>
        </w:rPr>
      </w:pPr>
      <w:r>
        <w:rPr>
          <w:rFonts w:cs="Times New Roman"/>
          <w:b/>
          <w:bCs/>
          <w:snapToGrid w:val="0"/>
          <w:color w:val="auto"/>
          <w:kern w:val="0"/>
        </w:rPr>
        <w:t>1.环境空气</w:t>
      </w:r>
    </w:p>
    <w:p>
      <w:pPr>
        <w:pStyle w:val="61"/>
        <w:snapToGrid w:val="0"/>
        <w:ind w:firstLine="480"/>
        <w:rPr>
          <w:rFonts w:cs="Times New Roman"/>
          <w:snapToGrid w:val="0"/>
          <w:color w:val="auto"/>
          <w:kern w:val="0"/>
        </w:rPr>
      </w:pPr>
      <w:r>
        <w:rPr>
          <w:rFonts w:cs="Times New Roman"/>
          <w:snapToGrid w:val="0"/>
          <w:color w:val="auto"/>
          <w:kern w:val="0"/>
        </w:rPr>
        <w:t>环境空质量执行《环境空气质量标准》（GB3095-2012）中二级标准。环境空气质量标准见表2.6-1。</w:t>
      </w:r>
    </w:p>
    <w:p>
      <w:pPr>
        <w:spacing w:line="240" w:lineRule="atLeast"/>
        <w:ind w:firstLine="0" w:firstLineChars="0"/>
        <w:jc w:val="center"/>
        <w:rPr>
          <w:rFonts w:cs="Times New Roman" w:eastAsiaTheme="minorEastAsia"/>
          <w:b/>
          <w:color w:val="auto"/>
        </w:rPr>
      </w:pPr>
      <w:r>
        <w:rPr>
          <w:rFonts w:cs="Times New Roman" w:eastAsiaTheme="minorEastAsia"/>
          <w:b/>
          <w:color w:val="auto"/>
        </w:rPr>
        <w:t>表2.6-1   环境空气质量标准一览表</w:t>
      </w:r>
    </w:p>
    <w:tbl>
      <w:tblPr>
        <w:tblStyle w:val="42"/>
        <w:tblW w:w="8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79"/>
        <w:gridCol w:w="1185"/>
        <w:gridCol w:w="1557"/>
        <w:gridCol w:w="1188"/>
        <w:gridCol w:w="914"/>
        <w:gridCol w:w="33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779" w:type="dxa"/>
            <w:tcBorders>
              <w:bottom w:val="single" w:color="auto" w:sz="12" w:space="0"/>
            </w:tcBorders>
            <w:vAlign w:val="center"/>
          </w:tcPr>
          <w:p>
            <w:pPr>
              <w:pStyle w:val="23"/>
              <w:spacing w:line="280" w:lineRule="exact"/>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类别</w:t>
            </w:r>
          </w:p>
        </w:tc>
        <w:tc>
          <w:tcPr>
            <w:tcW w:w="1185" w:type="dxa"/>
            <w:tcBorders>
              <w:bottom w:val="single" w:color="auto" w:sz="12" w:space="0"/>
            </w:tcBorders>
            <w:vAlign w:val="center"/>
          </w:tcPr>
          <w:p>
            <w:pPr>
              <w:pStyle w:val="23"/>
              <w:spacing w:line="280" w:lineRule="exact"/>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因子</w:t>
            </w:r>
          </w:p>
        </w:tc>
        <w:tc>
          <w:tcPr>
            <w:tcW w:w="2745" w:type="dxa"/>
            <w:gridSpan w:val="2"/>
            <w:tcBorders>
              <w:bottom w:val="single" w:color="auto" w:sz="12" w:space="0"/>
            </w:tcBorders>
            <w:vAlign w:val="center"/>
          </w:tcPr>
          <w:p>
            <w:pPr>
              <w:pStyle w:val="23"/>
              <w:spacing w:line="280" w:lineRule="exact"/>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标准限值</w:t>
            </w:r>
          </w:p>
        </w:tc>
        <w:tc>
          <w:tcPr>
            <w:tcW w:w="914" w:type="dxa"/>
            <w:tcBorders>
              <w:bottom w:val="single" w:color="auto" w:sz="12" w:space="0"/>
            </w:tcBorders>
            <w:vAlign w:val="center"/>
          </w:tcPr>
          <w:p>
            <w:pPr>
              <w:pStyle w:val="23"/>
              <w:spacing w:line="280" w:lineRule="exact"/>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单位</w:t>
            </w:r>
          </w:p>
        </w:tc>
        <w:tc>
          <w:tcPr>
            <w:tcW w:w="3325" w:type="dxa"/>
            <w:tcBorders>
              <w:bottom w:val="single" w:color="auto" w:sz="12" w:space="0"/>
            </w:tcBorders>
            <w:vAlign w:val="center"/>
          </w:tcPr>
          <w:p>
            <w:pPr>
              <w:pStyle w:val="23"/>
              <w:spacing w:line="280" w:lineRule="exact"/>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8" w:hRule="atLeast"/>
          <w:jc w:val="center"/>
        </w:trPr>
        <w:tc>
          <w:tcPr>
            <w:tcW w:w="779" w:type="dxa"/>
            <w:vMerge w:val="restart"/>
            <w:tcBorders>
              <w:top w:val="single" w:color="auto" w:sz="12" w:space="0"/>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环境</w:t>
            </w:r>
          </w:p>
          <w:p>
            <w:pPr>
              <w:pStyle w:val="23"/>
              <w:spacing w:line="28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空气</w:t>
            </w:r>
          </w:p>
        </w:tc>
        <w:tc>
          <w:tcPr>
            <w:tcW w:w="1185" w:type="dxa"/>
            <w:vMerge w:val="restart"/>
            <w:tcBorders>
              <w:top w:val="single" w:color="auto" w:sz="12" w:space="0"/>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SO</w:t>
            </w:r>
            <w:r>
              <w:rPr>
                <w:rFonts w:cs="Times New Roman"/>
                <w:color w:val="auto"/>
                <w:sz w:val="21"/>
                <w:szCs w:val="21"/>
                <w:vertAlign w:val="subscript"/>
              </w:rPr>
              <w:t>2</w:t>
            </w:r>
          </w:p>
        </w:tc>
        <w:tc>
          <w:tcPr>
            <w:tcW w:w="1557" w:type="dxa"/>
            <w:tcBorders>
              <w:top w:val="single" w:color="auto" w:sz="12" w:space="0"/>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1h平均</w:t>
            </w:r>
          </w:p>
        </w:tc>
        <w:tc>
          <w:tcPr>
            <w:tcW w:w="1188" w:type="dxa"/>
            <w:tcBorders>
              <w:top w:val="single" w:color="auto" w:sz="12" w:space="0"/>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500</w:t>
            </w:r>
          </w:p>
        </w:tc>
        <w:tc>
          <w:tcPr>
            <w:tcW w:w="914" w:type="dxa"/>
            <w:vMerge w:val="restart"/>
            <w:tcBorders>
              <w:top w:val="single" w:color="auto" w:sz="12" w:space="0"/>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μg/m</w:t>
            </w:r>
            <w:r>
              <w:rPr>
                <w:rFonts w:cs="Times New Roman"/>
                <w:color w:val="auto"/>
                <w:sz w:val="21"/>
                <w:szCs w:val="21"/>
                <w:vertAlign w:val="superscript"/>
              </w:rPr>
              <w:t>3</w:t>
            </w:r>
          </w:p>
        </w:tc>
        <w:tc>
          <w:tcPr>
            <w:tcW w:w="3325" w:type="dxa"/>
            <w:vMerge w:val="restart"/>
            <w:tcBorders>
              <w:top w:val="single" w:color="auto" w:sz="12" w:space="0"/>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《环境空气质量标准》（GB3095-2012）表1中二级标准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continue"/>
            <w:tcBorders>
              <w:tl2br w:val="nil"/>
              <w:tr2bl w:val="nil"/>
            </w:tcBorders>
            <w:vAlign w:val="center"/>
          </w:tcPr>
          <w:p>
            <w:pPr>
              <w:spacing w:line="280" w:lineRule="exact"/>
              <w:ind w:firstLine="0" w:firstLineChars="0"/>
              <w:jc w:val="center"/>
              <w:rPr>
                <w:rFonts w:cs="Times New Roman"/>
                <w:color w:val="auto"/>
                <w:sz w:val="21"/>
                <w:szCs w:val="21"/>
              </w:rPr>
            </w:pP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24h平均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150</w:t>
            </w:r>
          </w:p>
        </w:tc>
        <w:tc>
          <w:tcPr>
            <w:tcW w:w="914" w:type="dxa"/>
            <w:vMerge w:val="continue"/>
            <w:tcBorders>
              <w:tl2br w:val="nil"/>
              <w:tr2bl w:val="nil"/>
            </w:tcBorders>
            <w:vAlign w:val="center"/>
          </w:tcPr>
          <w:p>
            <w:pPr>
              <w:spacing w:line="280" w:lineRule="exact"/>
              <w:ind w:firstLine="0" w:firstLineChars="0"/>
              <w:jc w:val="center"/>
              <w:rPr>
                <w:rFonts w:cs="Times New Roman"/>
                <w:color w:val="auto"/>
                <w:sz w:val="21"/>
                <w:szCs w:val="21"/>
              </w:rPr>
            </w:pP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56"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restart"/>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NO</w:t>
            </w:r>
            <w:r>
              <w:rPr>
                <w:rFonts w:cs="Times New Roman"/>
                <w:color w:val="auto"/>
                <w:sz w:val="21"/>
                <w:szCs w:val="21"/>
                <w:vertAlign w:val="subscript"/>
              </w:rPr>
              <w:t>2</w:t>
            </w: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1h平均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200</w:t>
            </w:r>
          </w:p>
        </w:tc>
        <w:tc>
          <w:tcPr>
            <w:tcW w:w="914"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4"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continue"/>
            <w:tcBorders>
              <w:tl2br w:val="nil"/>
              <w:tr2bl w:val="nil"/>
            </w:tcBorders>
            <w:vAlign w:val="center"/>
          </w:tcPr>
          <w:p>
            <w:pPr>
              <w:spacing w:line="280" w:lineRule="exact"/>
              <w:ind w:firstLine="0" w:firstLineChars="0"/>
              <w:jc w:val="center"/>
              <w:rPr>
                <w:rFonts w:cs="Times New Roman"/>
                <w:color w:val="auto"/>
                <w:sz w:val="21"/>
                <w:szCs w:val="21"/>
              </w:rPr>
            </w:pP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24h平均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80</w:t>
            </w:r>
          </w:p>
        </w:tc>
        <w:tc>
          <w:tcPr>
            <w:tcW w:w="914"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29"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restart"/>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PM</w:t>
            </w:r>
            <w:r>
              <w:rPr>
                <w:rFonts w:cs="Times New Roman"/>
                <w:color w:val="auto"/>
                <w:sz w:val="21"/>
                <w:szCs w:val="21"/>
                <w:vertAlign w:val="subscript"/>
              </w:rPr>
              <w:t>10</w:t>
            </w: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年均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70</w:t>
            </w:r>
          </w:p>
        </w:tc>
        <w:tc>
          <w:tcPr>
            <w:tcW w:w="914"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1"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continue"/>
            <w:tcBorders>
              <w:tl2br w:val="nil"/>
              <w:tr2bl w:val="nil"/>
            </w:tcBorders>
            <w:vAlign w:val="center"/>
          </w:tcPr>
          <w:p>
            <w:pPr>
              <w:spacing w:line="280" w:lineRule="exact"/>
              <w:ind w:firstLine="0" w:firstLineChars="0"/>
              <w:jc w:val="center"/>
              <w:rPr>
                <w:rFonts w:cs="Times New Roman"/>
                <w:color w:val="auto"/>
                <w:sz w:val="21"/>
                <w:szCs w:val="21"/>
              </w:rPr>
            </w:pP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24h平均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150</w:t>
            </w:r>
          </w:p>
        </w:tc>
        <w:tc>
          <w:tcPr>
            <w:tcW w:w="914"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4"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restart"/>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PM</w:t>
            </w:r>
            <w:r>
              <w:rPr>
                <w:rFonts w:cs="Times New Roman"/>
                <w:color w:val="auto"/>
                <w:sz w:val="21"/>
                <w:szCs w:val="21"/>
                <w:vertAlign w:val="subscript"/>
              </w:rPr>
              <w:t>2.5</w:t>
            </w: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年均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35</w:t>
            </w:r>
          </w:p>
        </w:tc>
        <w:tc>
          <w:tcPr>
            <w:tcW w:w="914"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26"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continue"/>
            <w:tcBorders>
              <w:tl2br w:val="nil"/>
              <w:tr2bl w:val="nil"/>
            </w:tcBorders>
            <w:vAlign w:val="center"/>
          </w:tcPr>
          <w:p>
            <w:pPr>
              <w:spacing w:line="280" w:lineRule="exact"/>
              <w:ind w:firstLine="0" w:firstLineChars="0"/>
              <w:jc w:val="center"/>
              <w:rPr>
                <w:rFonts w:cs="Times New Roman"/>
                <w:color w:val="auto"/>
                <w:sz w:val="21"/>
                <w:szCs w:val="21"/>
              </w:rPr>
            </w:pP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24h平均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75</w:t>
            </w:r>
          </w:p>
        </w:tc>
        <w:tc>
          <w:tcPr>
            <w:tcW w:w="914"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5"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restart"/>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O</w:t>
            </w:r>
            <w:r>
              <w:rPr>
                <w:rFonts w:cs="Times New Roman"/>
                <w:color w:val="auto"/>
                <w:sz w:val="21"/>
                <w:szCs w:val="21"/>
                <w:vertAlign w:val="subscript"/>
              </w:rPr>
              <w:t>3</w:t>
            </w: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1h平均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200</w:t>
            </w:r>
          </w:p>
        </w:tc>
        <w:tc>
          <w:tcPr>
            <w:tcW w:w="914"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65"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continue"/>
            <w:tcBorders>
              <w:tl2br w:val="nil"/>
              <w:tr2bl w:val="nil"/>
            </w:tcBorders>
            <w:vAlign w:val="center"/>
          </w:tcPr>
          <w:p>
            <w:pPr>
              <w:spacing w:line="280" w:lineRule="exact"/>
              <w:ind w:firstLine="0" w:firstLineChars="0"/>
              <w:jc w:val="center"/>
              <w:rPr>
                <w:rFonts w:cs="Times New Roman"/>
                <w:color w:val="auto"/>
                <w:sz w:val="21"/>
                <w:szCs w:val="21"/>
              </w:rPr>
            </w:pP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日最大8h平均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160</w:t>
            </w:r>
          </w:p>
        </w:tc>
        <w:tc>
          <w:tcPr>
            <w:tcW w:w="914"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76"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restart"/>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TSP</w:t>
            </w: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年均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200</w:t>
            </w:r>
          </w:p>
        </w:tc>
        <w:tc>
          <w:tcPr>
            <w:tcW w:w="914"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76"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continue"/>
            <w:tcBorders>
              <w:tl2br w:val="nil"/>
              <w:tr2bl w:val="nil"/>
            </w:tcBorders>
            <w:vAlign w:val="center"/>
          </w:tcPr>
          <w:p>
            <w:pPr>
              <w:spacing w:line="280" w:lineRule="exact"/>
              <w:ind w:firstLine="0" w:firstLineChars="0"/>
              <w:jc w:val="center"/>
              <w:rPr>
                <w:rFonts w:cs="Times New Roman"/>
                <w:color w:val="auto"/>
                <w:sz w:val="21"/>
                <w:szCs w:val="21"/>
              </w:rPr>
            </w:pP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24h平均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300</w:t>
            </w:r>
          </w:p>
        </w:tc>
        <w:tc>
          <w:tcPr>
            <w:tcW w:w="914"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67"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restart"/>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CO</w:t>
            </w: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1h平均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10</w:t>
            </w:r>
          </w:p>
        </w:tc>
        <w:tc>
          <w:tcPr>
            <w:tcW w:w="914" w:type="dxa"/>
            <w:vMerge w:val="restart"/>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13" w:hRule="atLeast"/>
          <w:jc w:val="center"/>
        </w:trPr>
        <w:tc>
          <w:tcPr>
            <w:tcW w:w="779"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1185" w:type="dxa"/>
            <w:vMerge w:val="continue"/>
            <w:tcBorders>
              <w:tl2br w:val="nil"/>
              <w:tr2bl w:val="nil"/>
            </w:tcBorders>
            <w:vAlign w:val="center"/>
          </w:tcPr>
          <w:p>
            <w:pPr>
              <w:spacing w:line="280" w:lineRule="exact"/>
              <w:ind w:firstLine="0" w:firstLineChars="0"/>
              <w:jc w:val="center"/>
              <w:rPr>
                <w:rFonts w:cs="Times New Roman"/>
                <w:color w:val="auto"/>
                <w:sz w:val="21"/>
                <w:szCs w:val="21"/>
              </w:rPr>
            </w:pPr>
          </w:p>
        </w:tc>
        <w:tc>
          <w:tcPr>
            <w:tcW w:w="1557"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24h平均</w:t>
            </w:r>
          </w:p>
        </w:tc>
        <w:tc>
          <w:tcPr>
            <w:tcW w:w="1188" w:type="dxa"/>
            <w:tcBorders>
              <w:tl2br w:val="nil"/>
              <w:tr2bl w:val="nil"/>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4</w:t>
            </w:r>
          </w:p>
        </w:tc>
        <w:tc>
          <w:tcPr>
            <w:tcW w:w="914"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z w:val="21"/>
                <w:szCs w:val="21"/>
              </w:rPr>
            </w:pPr>
          </w:p>
        </w:tc>
        <w:tc>
          <w:tcPr>
            <w:tcW w:w="3325" w:type="dxa"/>
            <w:vMerge w:val="continue"/>
            <w:tcBorders>
              <w:tl2br w:val="nil"/>
              <w:tr2bl w:val="nil"/>
            </w:tcBorders>
            <w:vAlign w:val="center"/>
          </w:tcPr>
          <w:p>
            <w:pPr>
              <w:pStyle w:val="23"/>
              <w:spacing w:line="280" w:lineRule="exact"/>
              <w:ind w:firstLine="0" w:firstLineChars="0"/>
              <w:jc w:val="center"/>
              <w:rPr>
                <w:rFonts w:ascii="Times New Roman" w:hAnsi="Times New Roman" w:cs="Times New Roman"/>
                <w:color w:val="auto"/>
                <w:spacing w:val="-6"/>
                <w:sz w:val="21"/>
                <w:szCs w:val="21"/>
              </w:rPr>
            </w:pPr>
          </w:p>
        </w:tc>
      </w:tr>
    </w:tbl>
    <w:p>
      <w:pPr>
        <w:rPr>
          <w:rFonts w:cs="Times New Roman"/>
          <w:b/>
          <w:bCs/>
          <w:color w:val="auto"/>
        </w:rPr>
      </w:pPr>
      <w:r>
        <w:rPr>
          <w:rFonts w:cs="Times New Roman"/>
          <w:b/>
          <w:bCs/>
          <w:color w:val="auto"/>
        </w:rPr>
        <w:t>2.声环境</w:t>
      </w:r>
    </w:p>
    <w:p>
      <w:pPr>
        <w:snapToGrid w:val="0"/>
        <w:ind w:firstLine="480"/>
        <w:rPr>
          <w:rFonts w:cs="Times New Roman"/>
          <w:color w:val="auto"/>
        </w:rPr>
      </w:pPr>
      <w:r>
        <w:rPr>
          <w:rFonts w:cs="Times New Roman"/>
          <w:color w:val="auto"/>
        </w:rPr>
        <w:t>项目区域执行《声环境质量标准》（GB3096-2008）2类标准。见表2.6-2。</w:t>
      </w:r>
    </w:p>
    <w:p>
      <w:pPr>
        <w:overflowPunct w:val="0"/>
        <w:topLinePunct/>
        <w:autoSpaceDE w:val="0"/>
        <w:autoSpaceDN w:val="0"/>
        <w:spacing w:line="240" w:lineRule="atLeast"/>
        <w:ind w:firstLine="482"/>
        <w:jc w:val="center"/>
        <w:rPr>
          <w:rFonts w:cs="Times New Roman"/>
          <w:b/>
          <w:color w:val="auto"/>
        </w:rPr>
      </w:pPr>
      <w:r>
        <w:rPr>
          <w:rFonts w:cs="Times New Roman"/>
          <w:b/>
          <w:color w:val="auto"/>
        </w:rPr>
        <w:t>表2.6-2  声环境质量标准一览表</w:t>
      </w:r>
    </w:p>
    <w:tbl>
      <w:tblPr>
        <w:tblStyle w:val="42"/>
        <w:tblW w:w="888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5"/>
        <w:gridCol w:w="1386"/>
        <w:gridCol w:w="1334"/>
        <w:gridCol w:w="14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65" w:type="dxa"/>
            <w:tcBorders>
              <w:bottom w:val="single" w:color="auto" w:sz="12" w:space="0"/>
            </w:tcBorders>
            <w:vAlign w:val="center"/>
          </w:tcPr>
          <w:p>
            <w:pPr>
              <w:adjustRightInd w:val="0"/>
              <w:snapToGrid w:val="0"/>
              <w:spacing w:line="360" w:lineRule="exact"/>
              <w:ind w:firstLine="0" w:firstLineChars="0"/>
              <w:jc w:val="center"/>
              <w:rPr>
                <w:rFonts w:cs="Times New Roman"/>
                <w:b/>
                <w:snapToGrid w:val="0"/>
                <w:color w:val="auto"/>
                <w:kern w:val="0"/>
                <w:sz w:val="21"/>
                <w:szCs w:val="21"/>
              </w:rPr>
            </w:pPr>
            <w:r>
              <w:rPr>
                <w:rFonts w:cs="Times New Roman"/>
                <w:b/>
                <w:snapToGrid w:val="0"/>
                <w:color w:val="auto"/>
                <w:kern w:val="0"/>
                <w:sz w:val="21"/>
                <w:szCs w:val="21"/>
              </w:rPr>
              <w:t>标准来源</w:t>
            </w:r>
          </w:p>
        </w:tc>
        <w:tc>
          <w:tcPr>
            <w:tcW w:w="1386" w:type="dxa"/>
            <w:tcBorders>
              <w:bottom w:val="single" w:color="auto" w:sz="12" w:space="0"/>
            </w:tcBorders>
            <w:vAlign w:val="center"/>
          </w:tcPr>
          <w:p>
            <w:pPr>
              <w:adjustRightInd w:val="0"/>
              <w:snapToGrid w:val="0"/>
              <w:spacing w:line="360" w:lineRule="exact"/>
              <w:ind w:firstLine="0" w:firstLineChars="0"/>
              <w:jc w:val="center"/>
              <w:rPr>
                <w:rFonts w:cs="Times New Roman"/>
                <w:b/>
                <w:snapToGrid w:val="0"/>
                <w:color w:val="auto"/>
                <w:kern w:val="0"/>
                <w:sz w:val="21"/>
                <w:szCs w:val="21"/>
              </w:rPr>
            </w:pPr>
            <w:r>
              <w:rPr>
                <w:rFonts w:cs="Times New Roman"/>
                <w:b/>
                <w:snapToGrid w:val="0"/>
                <w:color w:val="auto"/>
                <w:kern w:val="0"/>
                <w:sz w:val="21"/>
                <w:szCs w:val="21"/>
              </w:rPr>
              <w:t>昼间/dB（A）</w:t>
            </w:r>
          </w:p>
        </w:tc>
        <w:tc>
          <w:tcPr>
            <w:tcW w:w="1334" w:type="dxa"/>
            <w:tcBorders>
              <w:bottom w:val="single" w:color="auto" w:sz="12" w:space="0"/>
            </w:tcBorders>
            <w:vAlign w:val="center"/>
          </w:tcPr>
          <w:p>
            <w:pPr>
              <w:adjustRightInd w:val="0"/>
              <w:snapToGrid w:val="0"/>
              <w:spacing w:line="360" w:lineRule="exact"/>
              <w:ind w:firstLine="0" w:firstLineChars="0"/>
              <w:jc w:val="center"/>
              <w:rPr>
                <w:rFonts w:cs="Times New Roman"/>
                <w:b/>
                <w:snapToGrid w:val="0"/>
                <w:color w:val="auto"/>
                <w:kern w:val="0"/>
                <w:sz w:val="21"/>
                <w:szCs w:val="21"/>
              </w:rPr>
            </w:pPr>
            <w:r>
              <w:rPr>
                <w:rFonts w:cs="Times New Roman"/>
                <w:b/>
                <w:snapToGrid w:val="0"/>
                <w:color w:val="auto"/>
                <w:kern w:val="0"/>
                <w:sz w:val="21"/>
                <w:szCs w:val="21"/>
              </w:rPr>
              <w:t>夜间/dB（A）</w:t>
            </w:r>
          </w:p>
        </w:tc>
        <w:tc>
          <w:tcPr>
            <w:tcW w:w="1497" w:type="dxa"/>
            <w:tcBorders>
              <w:bottom w:val="single" w:color="auto" w:sz="12" w:space="0"/>
            </w:tcBorders>
            <w:vAlign w:val="center"/>
          </w:tcPr>
          <w:p>
            <w:pPr>
              <w:adjustRightInd w:val="0"/>
              <w:snapToGrid w:val="0"/>
              <w:spacing w:line="360" w:lineRule="exact"/>
              <w:ind w:firstLine="0" w:firstLineChars="0"/>
              <w:jc w:val="center"/>
              <w:rPr>
                <w:rFonts w:cs="Times New Roman"/>
                <w:b/>
                <w:snapToGrid w:val="0"/>
                <w:color w:val="auto"/>
                <w:kern w:val="0"/>
                <w:sz w:val="21"/>
                <w:szCs w:val="21"/>
              </w:rPr>
            </w:pPr>
            <w:r>
              <w:rPr>
                <w:rFonts w:cs="Times New Roman"/>
                <w:b/>
                <w:snapToGrid w:val="0"/>
                <w:color w:val="auto"/>
                <w:kern w:val="0"/>
                <w:sz w:val="21"/>
                <w:szCs w:val="21"/>
              </w:rPr>
              <w:t>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65" w:type="dxa"/>
            <w:tcBorders>
              <w:top w:val="single" w:color="auto" w:sz="12" w:space="0"/>
              <w:tl2br w:val="nil"/>
              <w:tr2bl w:val="nil"/>
            </w:tcBorders>
            <w:vAlign w:val="center"/>
          </w:tcPr>
          <w:p>
            <w:pPr>
              <w:adjustRightInd w:val="0"/>
              <w:snapToGrid w:val="0"/>
              <w:spacing w:line="360" w:lineRule="exact"/>
              <w:ind w:firstLine="0" w:firstLineChars="0"/>
              <w:jc w:val="center"/>
              <w:rPr>
                <w:rFonts w:cs="Times New Roman"/>
                <w:snapToGrid w:val="0"/>
                <w:color w:val="auto"/>
                <w:kern w:val="0"/>
                <w:sz w:val="21"/>
                <w:szCs w:val="21"/>
              </w:rPr>
            </w:pPr>
            <w:r>
              <w:rPr>
                <w:rFonts w:cs="Times New Roman"/>
                <w:snapToGrid w:val="0"/>
                <w:color w:val="auto"/>
                <w:kern w:val="0"/>
                <w:sz w:val="21"/>
                <w:szCs w:val="21"/>
              </w:rPr>
              <w:t>《声环境质量标准》（GB3096-2008）2类标准</w:t>
            </w:r>
          </w:p>
        </w:tc>
        <w:tc>
          <w:tcPr>
            <w:tcW w:w="1386" w:type="dxa"/>
            <w:tcBorders>
              <w:top w:val="single" w:color="auto" w:sz="12" w:space="0"/>
              <w:tl2br w:val="nil"/>
              <w:tr2bl w:val="nil"/>
            </w:tcBorders>
            <w:vAlign w:val="center"/>
          </w:tcPr>
          <w:p>
            <w:pPr>
              <w:adjustRightInd w:val="0"/>
              <w:snapToGrid w:val="0"/>
              <w:spacing w:line="360" w:lineRule="exact"/>
              <w:ind w:firstLine="0" w:firstLineChars="0"/>
              <w:jc w:val="center"/>
              <w:rPr>
                <w:rFonts w:cs="Times New Roman"/>
                <w:snapToGrid w:val="0"/>
                <w:color w:val="auto"/>
                <w:kern w:val="0"/>
                <w:sz w:val="21"/>
                <w:szCs w:val="21"/>
              </w:rPr>
            </w:pPr>
            <w:r>
              <w:rPr>
                <w:rFonts w:cs="Times New Roman"/>
                <w:snapToGrid w:val="0"/>
                <w:color w:val="auto"/>
                <w:kern w:val="0"/>
                <w:sz w:val="21"/>
                <w:szCs w:val="21"/>
              </w:rPr>
              <w:t>60</w:t>
            </w:r>
          </w:p>
        </w:tc>
        <w:tc>
          <w:tcPr>
            <w:tcW w:w="1334" w:type="dxa"/>
            <w:tcBorders>
              <w:top w:val="single" w:color="auto" w:sz="12" w:space="0"/>
              <w:tl2br w:val="nil"/>
              <w:tr2bl w:val="nil"/>
            </w:tcBorders>
            <w:vAlign w:val="center"/>
          </w:tcPr>
          <w:p>
            <w:pPr>
              <w:adjustRightInd w:val="0"/>
              <w:snapToGrid w:val="0"/>
              <w:spacing w:line="360" w:lineRule="exact"/>
              <w:ind w:firstLine="0" w:firstLineChars="0"/>
              <w:jc w:val="center"/>
              <w:rPr>
                <w:rFonts w:cs="Times New Roman"/>
                <w:snapToGrid w:val="0"/>
                <w:color w:val="auto"/>
                <w:kern w:val="0"/>
                <w:sz w:val="21"/>
                <w:szCs w:val="21"/>
              </w:rPr>
            </w:pPr>
            <w:r>
              <w:rPr>
                <w:rFonts w:cs="Times New Roman"/>
                <w:snapToGrid w:val="0"/>
                <w:color w:val="auto"/>
                <w:kern w:val="0"/>
                <w:sz w:val="21"/>
                <w:szCs w:val="21"/>
              </w:rPr>
              <w:t>50</w:t>
            </w:r>
          </w:p>
        </w:tc>
        <w:tc>
          <w:tcPr>
            <w:tcW w:w="1497" w:type="dxa"/>
            <w:tcBorders>
              <w:top w:val="single" w:color="auto" w:sz="12" w:space="0"/>
              <w:tl2br w:val="nil"/>
              <w:tr2bl w:val="nil"/>
            </w:tcBorders>
            <w:vAlign w:val="center"/>
          </w:tcPr>
          <w:p>
            <w:pPr>
              <w:adjustRightInd w:val="0"/>
              <w:snapToGrid w:val="0"/>
              <w:spacing w:line="360" w:lineRule="exact"/>
              <w:ind w:firstLine="0" w:firstLineChars="0"/>
              <w:jc w:val="center"/>
              <w:rPr>
                <w:rFonts w:cs="Times New Roman"/>
                <w:snapToGrid w:val="0"/>
                <w:color w:val="auto"/>
                <w:kern w:val="0"/>
                <w:sz w:val="21"/>
                <w:szCs w:val="21"/>
              </w:rPr>
            </w:pPr>
            <w:r>
              <w:rPr>
                <w:rFonts w:cs="Times New Roman"/>
                <w:snapToGrid w:val="0"/>
                <w:color w:val="auto"/>
                <w:kern w:val="0"/>
                <w:sz w:val="21"/>
                <w:szCs w:val="21"/>
              </w:rPr>
              <w:t>项目所在区域</w:t>
            </w:r>
          </w:p>
        </w:tc>
      </w:tr>
    </w:tbl>
    <w:p>
      <w:pPr>
        <w:rPr>
          <w:rFonts w:cs="Times New Roman"/>
          <w:b/>
          <w:bCs/>
          <w:color w:val="auto"/>
        </w:rPr>
      </w:pPr>
      <w:r>
        <w:rPr>
          <w:rFonts w:cs="Times New Roman"/>
          <w:b/>
          <w:bCs/>
          <w:color w:val="auto"/>
        </w:rPr>
        <w:t>3.地表水</w:t>
      </w:r>
    </w:p>
    <w:p>
      <w:pPr>
        <w:snapToGrid w:val="0"/>
        <w:ind w:firstLine="480"/>
        <w:rPr>
          <w:rFonts w:cs="Times New Roman"/>
          <w:color w:val="auto"/>
        </w:rPr>
      </w:pPr>
      <w:r>
        <w:rPr>
          <w:rFonts w:cs="Times New Roman"/>
          <w:color w:val="auto"/>
        </w:rPr>
        <w:t>地表水均执行《地表水环境质量标准》（GB3838-2002）中的II类标准。具体标准值见表2.6-3。</w:t>
      </w:r>
    </w:p>
    <w:p>
      <w:pPr>
        <w:overflowPunct w:val="0"/>
        <w:topLinePunct/>
        <w:autoSpaceDE w:val="0"/>
        <w:autoSpaceDN w:val="0"/>
        <w:spacing w:line="240" w:lineRule="atLeast"/>
        <w:ind w:firstLine="482"/>
        <w:jc w:val="center"/>
        <w:rPr>
          <w:rFonts w:cs="Times New Roman"/>
          <w:b/>
          <w:color w:val="auto"/>
        </w:rPr>
      </w:pPr>
      <w:r>
        <w:rPr>
          <w:rFonts w:cs="Times New Roman"/>
          <w:b/>
          <w:color w:val="auto"/>
        </w:rPr>
        <w:t>表2.6-3  地表水质量标准一览表(单位：mg/L，pH无量纲)</w:t>
      </w:r>
    </w:p>
    <w:tbl>
      <w:tblPr>
        <w:tblStyle w:val="188"/>
        <w:tblW w:w="891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125"/>
        <w:gridCol w:w="2506"/>
        <w:gridCol w:w="328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2"/>
                <w:kern w:val="0"/>
                <w:sz w:val="21"/>
                <w:szCs w:val="21"/>
              </w:rPr>
              <w:t>标准</w:t>
            </w:r>
            <w:r>
              <w:rPr>
                <w:rFonts w:cs="Times New Roman"/>
                <w:b/>
                <w:bCs/>
                <w:snapToGrid w:val="0"/>
                <w:color w:val="auto"/>
                <w:spacing w:val="-1"/>
                <w:kern w:val="0"/>
                <w:sz w:val="21"/>
                <w:szCs w:val="21"/>
              </w:rPr>
              <w:t>名称</w:t>
            </w:r>
          </w:p>
        </w:tc>
        <w:tc>
          <w:tcPr>
            <w:tcW w:w="2506"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1"/>
                <w:kern w:val="0"/>
                <w:sz w:val="21"/>
                <w:szCs w:val="21"/>
              </w:rPr>
              <w:t>评价因子</w:t>
            </w:r>
          </w:p>
        </w:tc>
        <w:tc>
          <w:tcPr>
            <w:tcW w:w="3288"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7"/>
                <w:kern w:val="0"/>
                <w:sz w:val="21"/>
                <w:szCs w:val="21"/>
              </w:rPr>
              <w:t>II类标准限值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restart"/>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spacing w:val="6"/>
                <w:kern w:val="0"/>
                <w:sz w:val="21"/>
                <w:szCs w:val="21"/>
              </w:rPr>
            </w:pPr>
            <w:r>
              <w:rPr>
                <w:rFonts w:cs="Times New Roman"/>
                <w:snapToGrid w:val="0"/>
                <w:color w:val="auto"/>
                <w:spacing w:val="-1"/>
                <w:kern w:val="0"/>
                <w:sz w:val="21"/>
                <w:szCs w:val="21"/>
              </w:rPr>
              <w:t>《地表水环境</w:t>
            </w:r>
            <w:r>
              <w:rPr>
                <w:rFonts w:cs="Times New Roman"/>
                <w:snapToGrid w:val="0"/>
                <w:color w:val="auto"/>
                <w:kern w:val="0"/>
                <w:sz w:val="21"/>
                <w:szCs w:val="21"/>
              </w:rPr>
              <w:t>质量标</w:t>
            </w:r>
            <w:r>
              <w:rPr>
                <w:rFonts w:cs="Times New Roman"/>
                <w:snapToGrid w:val="0"/>
                <w:color w:val="auto"/>
                <w:spacing w:val="6"/>
                <w:kern w:val="0"/>
                <w:sz w:val="21"/>
                <w:szCs w:val="21"/>
              </w:rPr>
              <w:t>准》</w:t>
            </w:r>
          </w:p>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6"/>
                <w:kern w:val="0"/>
                <w:sz w:val="21"/>
                <w:szCs w:val="21"/>
              </w:rPr>
              <w:t>(</w:t>
            </w:r>
            <w:r>
              <w:rPr>
                <w:rFonts w:cs="Times New Roman"/>
                <w:snapToGrid w:val="0"/>
                <w:color w:val="auto"/>
                <w:kern w:val="0"/>
                <w:sz w:val="21"/>
                <w:szCs w:val="21"/>
              </w:rPr>
              <w:t>GB</w:t>
            </w:r>
            <w:r>
              <w:rPr>
                <w:rFonts w:cs="Times New Roman"/>
                <w:snapToGrid w:val="0"/>
                <w:color w:val="auto"/>
                <w:spacing w:val="6"/>
                <w:kern w:val="0"/>
                <w:sz w:val="21"/>
                <w:szCs w:val="21"/>
              </w:rPr>
              <w:t>3838-2002</w:t>
            </w:r>
            <w:r>
              <w:rPr>
                <w:rFonts w:cs="Times New Roman"/>
                <w:snapToGrid w:val="0"/>
                <w:color w:val="auto"/>
                <w:spacing w:val="5"/>
                <w:kern w:val="0"/>
                <w:sz w:val="21"/>
                <w:szCs w:val="21"/>
              </w:rPr>
              <w:t>)</w:t>
            </w:r>
          </w:p>
        </w:tc>
        <w:tc>
          <w:tcPr>
            <w:tcW w:w="2506"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p</w:t>
            </w:r>
            <w:r>
              <w:rPr>
                <w:rFonts w:cs="Times New Roman"/>
                <w:snapToGrid w:val="0"/>
                <w:color w:val="auto"/>
                <w:kern w:val="0"/>
                <w:sz w:val="21"/>
                <w:szCs w:val="21"/>
              </w:rPr>
              <w:t>H</w:t>
            </w:r>
          </w:p>
        </w:tc>
        <w:tc>
          <w:tcPr>
            <w:tcW w:w="3288"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3"/>
                <w:kern w:val="0"/>
                <w:sz w:val="21"/>
                <w:szCs w:val="21"/>
              </w:rPr>
              <w:t>6</w:t>
            </w:r>
            <w:r>
              <w:rPr>
                <w:rFonts w:cs="Times New Roman"/>
                <w:snapToGrid w:val="0"/>
                <w:color w:val="auto"/>
                <w:spacing w:val="-2"/>
                <w:kern w:val="0"/>
                <w:sz w:val="21"/>
                <w:szCs w:val="21"/>
              </w:rPr>
              <w: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COD</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position w:val="-4"/>
                <w:sz w:val="21"/>
                <w:szCs w:val="21"/>
              </w:rPr>
              <w:drawing>
                <wp:inline distT="0" distB="0" distL="0" distR="0">
                  <wp:extent cx="65405" cy="121285"/>
                  <wp:effectExtent l="0" t="0" r="10795" b="12065"/>
                  <wp:docPr id="52" name="IM 1"/>
                  <wp:cNvGraphicFramePr/>
                  <a:graphic xmlns:a="http://schemas.openxmlformats.org/drawingml/2006/main">
                    <a:graphicData uri="http://schemas.openxmlformats.org/drawingml/2006/picture">
                      <pic:pic xmlns:pic="http://schemas.openxmlformats.org/drawingml/2006/picture">
                        <pic:nvPicPr>
                          <pic:cNvPr id="52" name="IM 1"/>
                          <pic:cNvPicPr/>
                        </pic:nvPicPr>
                        <pic:blipFill>
                          <a:blip r:embed="rId22"/>
                          <a:stretch>
                            <a:fillRect/>
                          </a:stretch>
                        </pic:blipFill>
                        <pic:spPr>
                          <a:xfrm>
                            <a:off x="0" y="0"/>
                            <a:ext cx="65983" cy="121907"/>
                          </a:xfrm>
                          <a:prstGeom prst="rect">
                            <a:avLst/>
                          </a:prstGeom>
                        </pic:spPr>
                      </pic:pic>
                    </a:graphicData>
                  </a:graphic>
                </wp:inline>
              </w:drawing>
            </w:r>
            <w:r>
              <w:rPr>
                <w:rFonts w:cs="Times New Roman"/>
                <w:snapToGrid w:val="0"/>
                <w:color w:val="auto"/>
                <w:spacing w:val="3"/>
                <w:kern w:val="0"/>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高锰酸盐指</w:t>
            </w:r>
            <w:r>
              <w:rPr>
                <w:rFonts w:cs="Times New Roman"/>
                <w:snapToGrid w:val="0"/>
                <w:color w:val="auto"/>
                <w:spacing w:val="-1"/>
                <w:kern w:val="0"/>
                <w:sz w:val="21"/>
                <w:szCs w:val="21"/>
              </w:rPr>
              <w:t>数</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position w:val="-4"/>
                <w:sz w:val="21"/>
                <w:szCs w:val="21"/>
              </w:rPr>
              <w:drawing>
                <wp:inline distT="0" distB="0" distL="0" distR="0">
                  <wp:extent cx="65405" cy="121285"/>
                  <wp:effectExtent l="0" t="0" r="10795" b="12065"/>
                  <wp:docPr id="53" name="IM 3"/>
                  <wp:cNvGraphicFramePr/>
                  <a:graphic xmlns:a="http://schemas.openxmlformats.org/drawingml/2006/main">
                    <a:graphicData uri="http://schemas.openxmlformats.org/drawingml/2006/picture">
                      <pic:pic xmlns:pic="http://schemas.openxmlformats.org/drawingml/2006/picture">
                        <pic:nvPicPr>
                          <pic:cNvPr id="53" name="IM 3"/>
                          <pic:cNvPicPr/>
                        </pic:nvPicPr>
                        <pic:blipFill>
                          <a:blip r:embed="rId23"/>
                          <a:stretch>
                            <a:fillRect/>
                          </a:stretch>
                        </pic:blipFill>
                        <pic:spPr>
                          <a:xfrm>
                            <a:off x="0" y="0"/>
                            <a:ext cx="65983" cy="121907"/>
                          </a:xfrm>
                          <a:prstGeom prst="rect">
                            <a:avLst/>
                          </a:prstGeom>
                        </pic:spPr>
                      </pic:pic>
                    </a:graphicData>
                  </a:graphic>
                </wp:inline>
              </w:drawing>
            </w:r>
            <w:r>
              <w:rPr>
                <w:rFonts w:cs="Times New Roman"/>
                <w:snapToGrid w:val="0"/>
                <w:color w:val="auto"/>
                <w:spacing w:val="5"/>
                <w:kern w:val="0"/>
                <w:sz w:val="21"/>
                <w:szCs w:val="21"/>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BOD</w:t>
            </w:r>
            <w:r>
              <w:rPr>
                <w:rFonts w:cs="Times New Roman"/>
                <w:snapToGrid w:val="0"/>
                <w:color w:val="auto"/>
                <w:spacing w:val="4"/>
                <w:kern w:val="0"/>
                <w:position w:val="-2"/>
                <w:sz w:val="21"/>
                <w:szCs w:val="21"/>
                <w:vertAlign w:val="subscript"/>
              </w:rPr>
              <w:t>5</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position w:val="-4"/>
                <w:sz w:val="21"/>
                <w:szCs w:val="21"/>
              </w:rPr>
              <w:drawing>
                <wp:inline distT="0" distB="0" distL="0" distR="0">
                  <wp:extent cx="65405" cy="121285"/>
                  <wp:effectExtent l="0" t="0" r="10795" b="12065"/>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23"/>
                          <a:stretch>
                            <a:fillRect/>
                          </a:stretch>
                        </pic:blipFill>
                        <pic:spPr>
                          <a:xfrm>
                            <a:off x="0" y="0"/>
                            <a:ext cx="65983" cy="121907"/>
                          </a:xfrm>
                          <a:prstGeom prst="rect">
                            <a:avLst/>
                          </a:prstGeom>
                        </pic:spPr>
                      </pic:pic>
                    </a:graphicData>
                  </a:graphic>
                </wp:inline>
              </w:drawing>
            </w:r>
            <w:r>
              <w:rPr>
                <w:rFonts w:cs="Times New Roman"/>
                <w:snapToGrid w:val="0"/>
                <w:color w:val="auto"/>
                <w:spacing w:val="5"/>
                <w:kern w:val="0"/>
                <w:sz w:val="21"/>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DO</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5"/>
                <w:kern w:val="0"/>
                <w:position w:val="2"/>
                <w:sz w:val="21"/>
                <w:szCs w:val="21"/>
              </w:rPr>
              <w:t>≥</w:t>
            </w:r>
            <w:r>
              <w:rPr>
                <w:rFonts w:cs="Times New Roman"/>
                <w:snapToGrid w:val="0"/>
                <w:color w:val="auto"/>
                <w:spacing w:val="14"/>
                <w:kern w:val="0"/>
                <w:position w:val="2"/>
                <w:sz w:val="21"/>
                <w:szCs w:val="21"/>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NH</w:t>
            </w:r>
            <w:r>
              <w:rPr>
                <w:rFonts w:cs="Times New Roman"/>
                <w:snapToGrid w:val="0"/>
                <w:color w:val="auto"/>
                <w:spacing w:val="5"/>
                <w:kern w:val="0"/>
                <w:position w:val="-2"/>
                <w:sz w:val="21"/>
                <w:szCs w:val="21"/>
              </w:rPr>
              <w:t>3</w:t>
            </w:r>
            <w:r>
              <w:rPr>
                <w:rFonts w:cs="Times New Roman"/>
                <w:snapToGrid w:val="0"/>
                <w:color w:val="auto"/>
                <w:spacing w:val="4"/>
                <w:kern w:val="0"/>
                <w:sz w:val="21"/>
                <w:szCs w:val="21"/>
              </w:rPr>
              <w:t>-</w:t>
            </w:r>
            <w:r>
              <w:rPr>
                <w:rFonts w:cs="Times New Roman"/>
                <w:snapToGrid w:val="0"/>
                <w:color w:val="auto"/>
                <w:kern w:val="0"/>
                <w:sz w:val="21"/>
                <w:szCs w:val="21"/>
              </w:rPr>
              <w:t>N</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3"/>
                <w:kern w:val="0"/>
                <w:position w:val="2"/>
                <w:sz w:val="21"/>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3"/>
                <w:kern w:val="0"/>
                <w:sz w:val="21"/>
                <w:szCs w:val="21"/>
              </w:rPr>
              <w:t>总</w:t>
            </w:r>
            <w:r>
              <w:rPr>
                <w:rFonts w:cs="Times New Roman"/>
                <w:snapToGrid w:val="0"/>
                <w:color w:val="auto"/>
                <w:spacing w:val="-2"/>
                <w:kern w:val="0"/>
                <w:sz w:val="21"/>
                <w:szCs w:val="21"/>
              </w:rPr>
              <w:t>磷</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8"/>
                <w:kern w:val="0"/>
                <w:sz w:val="21"/>
                <w:szCs w:val="21"/>
              </w:rPr>
              <w:t>≤</w:t>
            </w:r>
            <w:r>
              <w:rPr>
                <w:rFonts w:cs="Times New Roman"/>
                <w:snapToGrid w:val="0"/>
                <w:color w:val="auto"/>
                <w:spacing w:val="-4"/>
                <w:kern w:val="0"/>
                <w:sz w:val="21"/>
                <w:szCs w:val="21"/>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石</w:t>
            </w:r>
            <w:r>
              <w:rPr>
                <w:rFonts w:cs="Times New Roman"/>
                <w:snapToGrid w:val="0"/>
                <w:color w:val="auto"/>
                <w:spacing w:val="-1"/>
                <w:kern w:val="0"/>
                <w:sz w:val="21"/>
                <w:szCs w:val="21"/>
              </w:rPr>
              <w:t>油类</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6"/>
                <w:kern w:val="0"/>
                <w:position w:val="2"/>
                <w:sz w:val="21"/>
                <w:szCs w:val="21"/>
              </w:rPr>
              <w:t>≤</w:t>
            </w:r>
            <w:r>
              <w:rPr>
                <w:rFonts w:cs="Times New Roman"/>
                <w:snapToGrid w:val="0"/>
                <w:color w:val="auto"/>
                <w:spacing w:val="4"/>
                <w:kern w:val="0"/>
                <w:position w:val="2"/>
                <w:sz w:val="21"/>
                <w:szCs w:val="21"/>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挥发酚</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4"/>
                <w:kern w:val="0"/>
                <w:position w:val="2"/>
                <w:sz w:val="21"/>
                <w:szCs w:val="21"/>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汞</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5"/>
                <w:kern w:val="0"/>
                <w:position w:val="2"/>
                <w:sz w:val="21"/>
                <w:szCs w:val="21"/>
              </w:rPr>
              <w:t>≤</w:t>
            </w:r>
            <w:r>
              <w:rPr>
                <w:rFonts w:cs="Times New Roman"/>
                <w:snapToGrid w:val="0"/>
                <w:color w:val="auto"/>
                <w:spacing w:val="14"/>
                <w:kern w:val="0"/>
                <w:position w:val="2"/>
                <w:sz w:val="21"/>
                <w:szCs w:val="21"/>
              </w:rPr>
              <w:t>0.00005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铅</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6"/>
                <w:kern w:val="0"/>
                <w:position w:val="2"/>
                <w:sz w:val="21"/>
                <w:szCs w:val="21"/>
              </w:rPr>
              <w:t>≤</w:t>
            </w:r>
            <w:r>
              <w:rPr>
                <w:rFonts w:cs="Times New Roman"/>
                <w:snapToGrid w:val="0"/>
                <w:color w:val="auto"/>
                <w:spacing w:val="13"/>
                <w:kern w:val="0"/>
                <w:position w:val="2"/>
                <w:sz w:val="21"/>
                <w:szCs w:val="21"/>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铜</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3"/>
                <w:kern w:val="0"/>
                <w:position w:val="2"/>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锌</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3"/>
                <w:kern w:val="0"/>
                <w:position w:val="2"/>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6"/>
                <w:kern w:val="0"/>
                <w:sz w:val="21"/>
                <w:szCs w:val="21"/>
              </w:rPr>
              <w:t>氟</w:t>
            </w:r>
            <w:r>
              <w:rPr>
                <w:rFonts w:cs="Times New Roman"/>
                <w:snapToGrid w:val="0"/>
                <w:color w:val="auto"/>
                <w:spacing w:val="4"/>
                <w:kern w:val="0"/>
                <w:sz w:val="21"/>
                <w:szCs w:val="21"/>
              </w:rPr>
              <w:t>化物(以</w:t>
            </w:r>
            <w:r>
              <w:rPr>
                <w:rFonts w:cs="Times New Roman"/>
                <w:snapToGrid w:val="0"/>
                <w:color w:val="auto"/>
                <w:kern w:val="0"/>
                <w:sz w:val="21"/>
                <w:szCs w:val="21"/>
              </w:rPr>
              <w:t>F</w:t>
            </w:r>
            <w:r>
              <w:rPr>
                <w:rFonts w:cs="Times New Roman"/>
                <w:snapToGrid w:val="0"/>
                <w:color w:val="auto"/>
                <w:spacing w:val="4"/>
                <w:kern w:val="0"/>
                <w:position w:val="10"/>
                <w:sz w:val="21"/>
                <w:szCs w:val="21"/>
              </w:rPr>
              <w:t>-</w:t>
            </w:r>
            <w:r>
              <w:rPr>
                <w:rFonts w:cs="Times New Roman"/>
                <w:snapToGrid w:val="0"/>
                <w:color w:val="auto"/>
                <w:spacing w:val="4"/>
                <w:kern w:val="0"/>
                <w:sz w:val="21"/>
                <w:szCs w:val="21"/>
              </w:rPr>
              <w:t>计)</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3"/>
                <w:kern w:val="0"/>
                <w:position w:val="2"/>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硒</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6"/>
                <w:kern w:val="0"/>
                <w:position w:val="2"/>
                <w:sz w:val="21"/>
                <w:szCs w:val="21"/>
              </w:rPr>
              <w:t>≤</w:t>
            </w:r>
            <w:r>
              <w:rPr>
                <w:rFonts w:cs="Times New Roman"/>
                <w:snapToGrid w:val="0"/>
                <w:color w:val="auto"/>
                <w:spacing w:val="13"/>
                <w:kern w:val="0"/>
                <w:position w:val="2"/>
                <w:sz w:val="21"/>
                <w:szCs w:val="21"/>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砷</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6"/>
                <w:kern w:val="0"/>
                <w:position w:val="2"/>
                <w:sz w:val="21"/>
                <w:szCs w:val="21"/>
              </w:rPr>
              <w:t>≤</w:t>
            </w:r>
            <w:r>
              <w:rPr>
                <w:rFonts w:cs="Times New Roman"/>
                <w:snapToGrid w:val="0"/>
                <w:color w:val="auto"/>
                <w:spacing w:val="13"/>
                <w:kern w:val="0"/>
                <w:position w:val="2"/>
                <w:sz w:val="21"/>
                <w:szCs w:val="21"/>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镉</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4"/>
                <w:kern w:val="0"/>
                <w:position w:val="2"/>
                <w:sz w:val="21"/>
                <w:szCs w:val="21"/>
              </w:rPr>
              <w:t>≤0.00</w:t>
            </w:r>
            <w:r>
              <w:rPr>
                <w:rFonts w:cs="Times New Roman"/>
                <w:snapToGrid w:val="0"/>
                <w:color w:val="auto"/>
                <w:spacing w:val="13"/>
                <w:kern w:val="0"/>
                <w:position w:val="2"/>
                <w:sz w:val="21"/>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9"/>
                <w:kern w:val="0"/>
                <w:sz w:val="21"/>
                <w:szCs w:val="21"/>
              </w:rPr>
              <w:t>铬</w:t>
            </w:r>
            <w:r>
              <w:rPr>
                <w:rFonts w:cs="Times New Roman"/>
                <w:snapToGrid w:val="0"/>
                <w:color w:val="auto"/>
                <w:spacing w:val="18"/>
                <w:kern w:val="0"/>
                <w:sz w:val="21"/>
                <w:szCs w:val="21"/>
              </w:rPr>
              <w:t>(六价)</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6"/>
                <w:kern w:val="0"/>
                <w:position w:val="2"/>
                <w:sz w:val="21"/>
                <w:szCs w:val="21"/>
              </w:rPr>
              <w:t>≤</w:t>
            </w:r>
            <w:r>
              <w:rPr>
                <w:rFonts w:cs="Times New Roman"/>
                <w:snapToGrid w:val="0"/>
                <w:color w:val="auto"/>
                <w:spacing w:val="13"/>
                <w:kern w:val="0"/>
                <w:position w:val="2"/>
                <w:sz w:val="21"/>
                <w:szCs w:val="21"/>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氰化物</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6"/>
                <w:kern w:val="0"/>
                <w:position w:val="2"/>
                <w:sz w:val="21"/>
                <w:szCs w:val="21"/>
              </w:rPr>
              <w:t>≤</w:t>
            </w:r>
            <w:r>
              <w:rPr>
                <w:rFonts w:cs="Times New Roman"/>
                <w:snapToGrid w:val="0"/>
                <w:color w:val="auto"/>
                <w:spacing w:val="13"/>
                <w:kern w:val="0"/>
                <w:position w:val="2"/>
                <w:sz w:val="21"/>
                <w:szCs w:val="21"/>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4"/>
                <w:kern w:val="0"/>
                <w:sz w:val="21"/>
                <w:szCs w:val="21"/>
              </w:rPr>
              <w:t>阴离</w:t>
            </w:r>
            <w:r>
              <w:rPr>
                <w:rFonts w:cs="Times New Roman"/>
                <w:snapToGrid w:val="0"/>
                <w:color w:val="auto"/>
                <w:spacing w:val="-3"/>
                <w:kern w:val="0"/>
                <w:sz w:val="21"/>
                <w:szCs w:val="21"/>
              </w:rPr>
              <w:t>子</w:t>
            </w:r>
            <w:r>
              <w:rPr>
                <w:rFonts w:cs="Times New Roman"/>
                <w:snapToGrid w:val="0"/>
                <w:color w:val="auto"/>
                <w:spacing w:val="-2"/>
                <w:kern w:val="0"/>
                <w:sz w:val="21"/>
                <w:szCs w:val="21"/>
              </w:rPr>
              <w:t>表面活性剂</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3"/>
                <w:kern w:val="0"/>
                <w:position w:val="2"/>
                <w:sz w:val="21"/>
                <w:szCs w:val="21"/>
              </w:rPr>
              <w:t>≤0.2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硫化物</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4"/>
                <w:kern w:val="0"/>
                <w:position w:val="2"/>
                <w:sz w:val="21"/>
                <w:szCs w:val="21"/>
              </w:rPr>
              <w:t>≤</w:t>
            </w:r>
            <w:r>
              <w:rPr>
                <w:rFonts w:cs="Times New Roman"/>
                <w:snapToGrid w:val="0"/>
                <w:color w:val="auto"/>
                <w:spacing w:val="3"/>
                <w:kern w:val="0"/>
                <w:position w:val="2"/>
                <w:sz w:val="21"/>
                <w:szCs w:val="21"/>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12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p>
        </w:tc>
        <w:tc>
          <w:tcPr>
            <w:tcW w:w="2506"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粪大</w:t>
            </w:r>
            <w:r>
              <w:rPr>
                <w:rFonts w:cs="Times New Roman"/>
                <w:snapToGrid w:val="0"/>
                <w:color w:val="auto"/>
                <w:spacing w:val="-1"/>
                <w:kern w:val="0"/>
                <w:sz w:val="21"/>
                <w:szCs w:val="21"/>
              </w:rPr>
              <w:t>肠菌群</w:t>
            </w:r>
          </w:p>
        </w:tc>
        <w:tc>
          <w:tcPr>
            <w:tcW w:w="328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0"/>
                <w:kern w:val="0"/>
                <w:position w:val="1"/>
                <w:sz w:val="21"/>
                <w:szCs w:val="21"/>
              </w:rPr>
              <w:t>≤</w:t>
            </w:r>
            <w:r>
              <w:rPr>
                <w:rFonts w:cs="Times New Roman"/>
                <w:snapToGrid w:val="0"/>
                <w:color w:val="auto"/>
                <w:spacing w:val="6"/>
                <w:kern w:val="0"/>
                <w:position w:val="1"/>
                <w:sz w:val="21"/>
                <w:szCs w:val="21"/>
              </w:rPr>
              <w:t>2</w:t>
            </w:r>
            <w:r>
              <w:rPr>
                <w:rFonts w:cs="Times New Roman"/>
                <w:snapToGrid w:val="0"/>
                <w:color w:val="auto"/>
                <w:spacing w:val="5"/>
                <w:kern w:val="0"/>
                <w:position w:val="1"/>
                <w:sz w:val="21"/>
                <w:szCs w:val="21"/>
              </w:rPr>
              <w:t>000个/</w:t>
            </w:r>
            <w:r>
              <w:rPr>
                <w:rFonts w:cs="Times New Roman"/>
                <w:snapToGrid w:val="0"/>
                <w:color w:val="auto"/>
                <w:kern w:val="0"/>
                <w:position w:val="1"/>
                <w:sz w:val="21"/>
                <w:szCs w:val="21"/>
              </w:rPr>
              <w:t>L</w:t>
            </w:r>
          </w:p>
        </w:tc>
      </w:tr>
    </w:tbl>
    <w:p>
      <w:pPr>
        <w:rPr>
          <w:rFonts w:cs="Times New Roman"/>
          <w:b/>
          <w:bCs/>
          <w:color w:val="auto"/>
        </w:rPr>
      </w:pPr>
      <w:r>
        <w:rPr>
          <w:rFonts w:cs="Times New Roman"/>
          <w:b/>
          <w:bCs/>
          <w:color w:val="auto"/>
        </w:rPr>
        <w:t>4.地下水</w:t>
      </w:r>
    </w:p>
    <w:p>
      <w:pPr>
        <w:snapToGrid w:val="0"/>
        <w:ind w:firstLine="480"/>
        <w:rPr>
          <w:rFonts w:cs="Times New Roman"/>
          <w:color w:val="auto"/>
        </w:rPr>
      </w:pPr>
      <w:r>
        <w:rPr>
          <w:rFonts w:cs="Times New Roman"/>
          <w:color w:val="auto"/>
        </w:rPr>
        <w:t>项目区域内的地下水执行《地下水质量标准》（GB/T14848-2017）Ⅲ类标准，具体见表2.6-4。</w:t>
      </w:r>
    </w:p>
    <w:p>
      <w:pPr>
        <w:overflowPunct w:val="0"/>
        <w:topLinePunct/>
        <w:autoSpaceDE w:val="0"/>
        <w:autoSpaceDN w:val="0"/>
        <w:snapToGrid w:val="0"/>
        <w:spacing w:line="240" w:lineRule="auto"/>
        <w:ind w:firstLine="482"/>
        <w:jc w:val="center"/>
        <w:rPr>
          <w:rFonts w:cs="Times New Roman"/>
          <w:b/>
          <w:color w:val="auto"/>
        </w:rPr>
      </w:pPr>
      <w:r>
        <w:rPr>
          <w:rFonts w:cs="Times New Roman"/>
          <w:b/>
          <w:color w:val="auto"/>
        </w:rPr>
        <w:t>表2.6-4   地下水质量标准一览表</w:t>
      </w:r>
    </w:p>
    <w:tbl>
      <w:tblPr>
        <w:tblStyle w:val="188"/>
        <w:tblW w:w="9287"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2436"/>
        <w:gridCol w:w="836"/>
        <w:gridCol w:w="2148"/>
        <w:gridCol w:w="2119"/>
        <w:gridCol w:w="174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4" w:hRule="atLeast"/>
          <w:tblHeader/>
        </w:trPr>
        <w:tc>
          <w:tcPr>
            <w:tcW w:w="2436" w:type="dxa"/>
            <w:vMerge w:val="restart"/>
            <w:vAlign w:val="center"/>
          </w:tcPr>
          <w:p>
            <w:pPr>
              <w:widowControl/>
              <w:kinsoku w:val="0"/>
              <w:autoSpaceDE w:val="0"/>
              <w:autoSpaceDN w:val="0"/>
              <w:adjustRightInd w:val="0"/>
              <w:snapToGrid w:val="0"/>
              <w:spacing w:line="240" w:lineRule="auto"/>
              <w:ind w:firstLine="0" w:firstLineChars="0"/>
              <w:jc w:val="left"/>
              <w:textAlignment w:val="baseline"/>
              <w:rPr>
                <w:rFonts w:cs="Times New Roman"/>
                <w:b/>
                <w:bCs/>
                <w:snapToGrid w:val="0"/>
                <w:color w:val="auto"/>
                <w:kern w:val="0"/>
                <w:sz w:val="21"/>
                <w:szCs w:val="21"/>
              </w:rPr>
            </w:pPr>
            <w:r>
              <w:rPr>
                <w:rFonts w:cs="Times New Roman"/>
                <w:b/>
                <w:bCs/>
                <w:snapToGrid w:val="0"/>
                <w:color w:val="auto"/>
                <w:spacing w:val="-2"/>
                <w:kern w:val="0"/>
                <w:sz w:val="21"/>
                <w:szCs w:val="21"/>
              </w:rPr>
              <w:t>标准</w:t>
            </w:r>
            <w:r>
              <w:rPr>
                <w:rFonts w:cs="Times New Roman"/>
                <w:b/>
                <w:bCs/>
                <w:snapToGrid w:val="0"/>
                <w:color w:val="auto"/>
                <w:spacing w:val="-1"/>
                <w:kern w:val="0"/>
                <w:sz w:val="21"/>
                <w:szCs w:val="21"/>
              </w:rPr>
              <w:t>名称</w:t>
            </w:r>
          </w:p>
        </w:tc>
        <w:tc>
          <w:tcPr>
            <w:tcW w:w="836" w:type="dxa"/>
            <w:vMerge w:val="restart"/>
            <w:vAlign w:val="center"/>
          </w:tcPr>
          <w:p>
            <w:pPr>
              <w:widowControl/>
              <w:kinsoku w:val="0"/>
              <w:autoSpaceDE w:val="0"/>
              <w:autoSpaceDN w:val="0"/>
              <w:adjustRightInd w:val="0"/>
              <w:snapToGrid w:val="0"/>
              <w:spacing w:line="240" w:lineRule="auto"/>
              <w:ind w:firstLine="0" w:firstLineChars="0"/>
              <w:jc w:val="left"/>
              <w:textAlignment w:val="baseline"/>
              <w:rPr>
                <w:rFonts w:cs="Times New Roman"/>
                <w:b/>
                <w:bCs/>
                <w:snapToGrid w:val="0"/>
                <w:color w:val="auto"/>
                <w:kern w:val="0"/>
                <w:sz w:val="21"/>
                <w:szCs w:val="21"/>
              </w:rPr>
            </w:pPr>
            <w:r>
              <w:rPr>
                <w:rFonts w:cs="Times New Roman"/>
                <w:b/>
                <w:bCs/>
                <w:snapToGrid w:val="0"/>
                <w:color w:val="auto"/>
                <w:spacing w:val="-2"/>
                <w:kern w:val="0"/>
                <w:sz w:val="21"/>
                <w:szCs w:val="21"/>
              </w:rPr>
              <w:t>类</w:t>
            </w:r>
            <w:r>
              <w:rPr>
                <w:rFonts w:cs="Times New Roman"/>
                <w:b/>
                <w:bCs/>
                <w:snapToGrid w:val="0"/>
                <w:color w:val="auto"/>
                <w:spacing w:val="-1"/>
                <w:kern w:val="0"/>
                <w:sz w:val="21"/>
                <w:szCs w:val="21"/>
              </w:rPr>
              <w:t>别</w:t>
            </w:r>
          </w:p>
        </w:tc>
        <w:tc>
          <w:tcPr>
            <w:tcW w:w="4267" w:type="dxa"/>
            <w:gridSpan w:val="2"/>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2"/>
                <w:kern w:val="0"/>
                <w:sz w:val="21"/>
                <w:szCs w:val="21"/>
              </w:rPr>
              <w:t>标准</w:t>
            </w:r>
            <w:r>
              <w:rPr>
                <w:rFonts w:cs="Times New Roman"/>
                <w:b/>
                <w:bCs/>
                <w:snapToGrid w:val="0"/>
                <w:color w:val="auto"/>
                <w:spacing w:val="-1"/>
                <w:kern w:val="0"/>
                <w:sz w:val="21"/>
                <w:szCs w:val="21"/>
              </w:rPr>
              <w:t>限值</w:t>
            </w:r>
          </w:p>
        </w:tc>
        <w:tc>
          <w:tcPr>
            <w:tcW w:w="1748" w:type="dxa"/>
            <w:vMerge w:val="restart"/>
            <w:vAlign w:val="center"/>
          </w:tcPr>
          <w:p>
            <w:pPr>
              <w:widowControl/>
              <w:kinsoku w:val="0"/>
              <w:autoSpaceDE w:val="0"/>
              <w:autoSpaceDN w:val="0"/>
              <w:adjustRightInd w:val="0"/>
              <w:snapToGrid w:val="0"/>
              <w:spacing w:before="207" w:line="219" w:lineRule="auto"/>
              <w:ind w:left="457" w:firstLine="0" w:firstLineChars="0"/>
              <w:jc w:val="left"/>
              <w:textAlignment w:val="baseline"/>
              <w:rPr>
                <w:rFonts w:cs="Times New Roman"/>
                <w:b/>
                <w:bCs/>
                <w:snapToGrid w:val="0"/>
                <w:color w:val="auto"/>
                <w:kern w:val="0"/>
                <w:sz w:val="21"/>
                <w:szCs w:val="21"/>
              </w:rPr>
            </w:pPr>
            <w:r>
              <w:rPr>
                <w:rFonts w:cs="Times New Roman"/>
                <w:b/>
                <w:bCs/>
                <w:snapToGrid w:val="0"/>
                <w:color w:val="auto"/>
                <w:spacing w:val="-1"/>
                <w:kern w:val="0"/>
                <w:sz w:val="21"/>
                <w:szCs w:val="21"/>
              </w:rPr>
              <w:t>评价对象</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47" w:hRule="atLeast"/>
          <w:tblHeader/>
        </w:trPr>
        <w:tc>
          <w:tcPr>
            <w:tcW w:w="2436" w:type="dxa"/>
            <w:vMerge w:val="continue"/>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b/>
                <w:bCs/>
                <w:snapToGrid w:val="0"/>
                <w:color w:val="auto"/>
                <w:kern w:val="0"/>
                <w:sz w:val="21"/>
                <w:szCs w:val="21"/>
              </w:rPr>
            </w:pPr>
          </w:p>
        </w:tc>
        <w:tc>
          <w:tcPr>
            <w:tcW w:w="836" w:type="dxa"/>
            <w:vMerge w:val="continue"/>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b/>
                <w:bCs/>
                <w:snapToGrid w:val="0"/>
                <w:color w:val="auto"/>
                <w:kern w:val="0"/>
                <w:sz w:val="21"/>
                <w:szCs w:val="21"/>
              </w:rPr>
            </w:pPr>
          </w:p>
        </w:tc>
        <w:tc>
          <w:tcPr>
            <w:tcW w:w="2148"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2"/>
                <w:kern w:val="0"/>
                <w:sz w:val="21"/>
                <w:szCs w:val="21"/>
              </w:rPr>
              <w:t>参数名</w:t>
            </w:r>
            <w:r>
              <w:rPr>
                <w:rFonts w:cs="Times New Roman"/>
                <w:b/>
                <w:bCs/>
                <w:snapToGrid w:val="0"/>
                <w:color w:val="auto"/>
                <w:spacing w:val="-1"/>
                <w:kern w:val="0"/>
                <w:sz w:val="21"/>
                <w:szCs w:val="21"/>
              </w:rPr>
              <w:t>称</w:t>
            </w:r>
          </w:p>
        </w:tc>
        <w:tc>
          <w:tcPr>
            <w:tcW w:w="2119" w:type="dxa"/>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b/>
                <w:bCs/>
                <w:snapToGrid w:val="0"/>
                <w:color w:val="auto"/>
                <w:kern w:val="0"/>
                <w:sz w:val="21"/>
                <w:szCs w:val="21"/>
              </w:rPr>
            </w:pPr>
            <w:r>
              <w:rPr>
                <w:rFonts w:cs="Times New Roman"/>
                <w:b/>
                <w:bCs/>
                <w:snapToGrid w:val="0"/>
                <w:color w:val="auto"/>
                <w:spacing w:val="-6"/>
                <w:kern w:val="0"/>
                <w:sz w:val="21"/>
                <w:szCs w:val="21"/>
              </w:rPr>
              <w:t>限</w:t>
            </w:r>
            <w:r>
              <w:rPr>
                <w:rFonts w:cs="Times New Roman"/>
                <w:b/>
                <w:bCs/>
                <w:snapToGrid w:val="0"/>
                <w:color w:val="auto"/>
                <w:spacing w:val="-5"/>
                <w:kern w:val="0"/>
                <w:sz w:val="21"/>
                <w:szCs w:val="21"/>
              </w:rPr>
              <w:t>值</w:t>
            </w:r>
          </w:p>
        </w:tc>
        <w:tc>
          <w:tcPr>
            <w:tcW w:w="1748" w:type="dxa"/>
            <w:vMerge w:val="continue"/>
            <w:tcBorders>
              <w:bottom w:val="single" w:color="000000" w:sz="12" w:space="0"/>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58" w:hRule="atLeast"/>
        </w:trPr>
        <w:tc>
          <w:tcPr>
            <w:tcW w:w="2436" w:type="dxa"/>
            <w:vMerge w:val="restart"/>
            <w:tcBorders>
              <w:top w:val="single" w:color="000000" w:sz="12" w:space="0"/>
              <w:tl2br w:val="nil"/>
              <w:tr2bl w:val="nil"/>
            </w:tcBorders>
            <w:vAlign w:val="center"/>
          </w:tcPr>
          <w:p>
            <w:pPr>
              <w:widowControl/>
              <w:kinsoku w:val="0"/>
              <w:autoSpaceDE w:val="0"/>
              <w:autoSpaceDN w:val="0"/>
              <w:adjustRightInd w:val="0"/>
              <w:snapToGrid w:val="0"/>
              <w:spacing w:line="240" w:lineRule="auto"/>
              <w:ind w:right="244" w:firstLine="31"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《地下水质量</w:t>
            </w:r>
            <w:r>
              <w:rPr>
                <w:rFonts w:cs="Times New Roman"/>
                <w:snapToGrid w:val="0"/>
                <w:color w:val="auto"/>
                <w:spacing w:val="-1"/>
                <w:kern w:val="0"/>
                <w:sz w:val="21"/>
                <w:szCs w:val="21"/>
              </w:rPr>
              <w:t>标准》</w:t>
            </w:r>
            <w:r>
              <w:rPr>
                <w:rFonts w:cs="Times New Roman"/>
                <w:snapToGrid w:val="0"/>
                <w:color w:val="auto"/>
                <w:spacing w:val="10"/>
                <w:kern w:val="0"/>
                <w:sz w:val="21"/>
                <w:szCs w:val="21"/>
              </w:rPr>
              <w:t>(</w:t>
            </w:r>
            <w:r>
              <w:rPr>
                <w:rFonts w:eastAsia="Times New Roman" w:cs="Times New Roman"/>
                <w:snapToGrid w:val="0"/>
                <w:color w:val="auto"/>
                <w:kern w:val="0"/>
                <w:sz w:val="21"/>
                <w:szCs w:val="21"/>
              </w:rPr>
              <w:t>GB</w:t>
            </w:r>
            <w:r>
              <w:rPr>
                <w:rFonts w:eastAsia="Times New Roman" w:cs="Times New Roman"/>
                <w:snapToGrid w:val="0"/>
                <w:color w:val="auto"/>
                <w:spacing w:val="5"/>
                <w:kern w:val="0"/>
                <w:sz w:val="21"/>
                <w:szCs w:val="21"/>
              </w:rPr>
              <w:t>/</w:t>
            </w:r>
            <w:r>
              <w:rPr>
                <w:rFonts w:eastAsia="Times New Roman" w:cs="Times New Roman"/>
                <w:snapToGrid w:val="0"/>
                <w:color w:val="auto"/>
                <w:kern w:val="0"/>
                <w:sz w:val="21"/>
                <w:szCs w:val="21"/>
              </w:rPr>
              <w:t>T</w:t>
            </w:r>
            <w:r>
              <w:rPr>
                <w:rFonts w:eastAsia="Times New Roman" w:cs="Times New Roman"/>
                <w:snapToGrid w:val="0"/>
                <w:color w:val="auto"/>
                <w:spacing w:val="5"/>
                <w:kern w:val="0"/>
                <w:sz w:val="21"/>
                <w:szCs w:val="21"/>
              </w:rPr>
              <w:t>14848-2017</w:t>
            </w:r>
            <w:r>
              <w:rPr>
                <w:rFonts w:cs="Times New Roman"/>
                <w:snapToGrid w:val="0"/>
                <w:color w:val="auto"/>
                <w:spacing w:val="5"/>
                <w:kern w:val="0"/>
                <w:sz w:val="21"/>
                <w:szCs w:val="21"/>
              </w:rPr>
              <w:t>)</w:t>
            </w:r>
          </w:p>
        </w:tc>
        <w:tc>
          <w:tcPr>
            <w:tcW w:w="836" w:type="dxa"/>
            <w:vMerge w:val="restart"/>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3"/>
                <w:kern w:val="0"/>
                <w:sz w:val="21"/>
                <w:szCs w:val="21"/>
              </w:rPr>
              <w:t>Ⅲ</w:t>
            </w:r>
            <w:r>
              <w:rPr>
                <w:rFonts w:cs="Times New Roman"/>
                <w:snapToGrid w:val="0"/>
                <w:color w:val="auto"/>
                <w:spacing w:val="-2"/>
                <w:kern w:val="0"/>
                <w:sz w:val="21"/>
                <w:szCs w:val="21"/>
              </w:rPr>
              <w:t>类</w:t>
            </w:r>
          </w:p>
        </w:tc>
        <w:tc>
          <w:tcPr>
            <w:tcW w:w="2148"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spacing w:val="1"/>
                <w:kern w:val="0"/>
                <w:sz w:val="21"/>
                <w:szCs w:val="21"/>
              </w:rPr>
              <w:t>p</w:t>
            </w:r>
            <w:r>
              <w:rPr>
                <w:rFonts w:eastAsia="Times New Roman" w:cs="Times New Roman"/>
                <w:snapToGrid w:val="0"/>
                <w:color w:val="auto"/>
                <w:kern w:val="0"/>
                <w:sz w:val="21"/>
                <w:szCs w:val="21"/>
              </w:rPr>
              <w:t>H</w:t>
            </w:r>
          </w:p>
        </w:tc>
        <w:tc>
          <w:tcPr>
            <w:tcW w:w="2119" w:type="dxa"/>
            <w:tcBorders>
              <w:top w:val="single" w:color="000000" w:sz="12" w:space="0"/>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eastAsia="Times New Roman" w:cs="Times New Roman"/>
                <w:snapToGrid w:val="0"/>
                <w:color w:val="auto"/>
                <w:spacing w:val="-1"/>
                <w:kern w:val="0"/>
                <w:sz w:val="21"/>
                <w:szCs w:val="21"/>
              </w:rPr>
              <w:t>6.5~8.5</w:t>
            </w:r>
          </w:p>
        </w:tc>
        <w:tc>
          <w:tcPr>
            <w:tcW w:w="1748" w:type="dxa"/>
            <w:vMerge w:val="restart"/>
            <w:tcBorders>
              <w:top w:val="single" w:color="000000" w:sz="12" w:space="0"/>
              <w:tl2br w:val="nil"/>
              <w:tr2bl w:val="nil"/>
            </w:tcBorders>
            <w:vAlign w:val="center"/>
          </w:tcPr>
          <w:p>
            <w:pPr>
              <w:widowControl/>
              <w:kinsoku w:val="0"/>
              <w:autoSpaceDE w:val="0"/>
              <w:autoSpaceDN w:val="0"/>
              <w:adjustRightInd w:val="0"/>
              <w:snapToGrid w:val="0"/>
              <w:spacing w:before="68" w:line="254" w:lineRule="auto"/>
              <w:ind w:left="673" w:right="136" w:hanging="529" w:firstLineChars="0"/>
              <w:jc w:val="center"/>
              <w:textAlignment w:val="baseline"/>
              <w:rPr>
                <w:rFonts w:cs="Times New Roman"/>
                <w:snapToGrid w:val="0"/>
                <w:color w:val="auto"/>
                <w:spacing w:val="-1"/>
                <w:kern w:val="0"/>
                <w:sz w:val="21"/>
                <w:szCs w:val="21"/>
              </w:rPr>
            </w:pPr>
            <w:r>
              <w:rPr>
                <w:rFonts w:cs="Times New Roman"/>
                <w:snapToGrid w:val="0"/>
                <w:color w:val="auto"/>
                <w:spacing w:val="-2"/>
                <w:kern w:val="0"/>
                <w:sz w:val="21"/>
                <w:szCs w:val="21"/>
              </w:rPr>
              <w:t>项</w:t>
            </w:r>
            <w:r>
              <w:rPr>
                <w:rFonts w:cs="Times New Roman"/>
                <w:snapToGrid w:val="0"/>
                <w:color w:val="auto"/>
                <w:spacing w:val="-1"/>
                <w:kern w:val="0"/>
                <w:sz w:val="21"/>
                <w:szCs w:val="21"/>
              </w:rPr>
              <w:t>目所在</w:t>
            </w:r>
          </w:p>
          <w:p>
            <w:pPr>
              <w:widowControl/>
              <w:kinsoku w:val="0"/>
              <w:autoSpaceDE w:val="0"/>
              <w:autoSpaceDN w:val="0"/>
              <w:adjustRightInd w:val="0"/>
              <w:snapToGrid w:val="0"/>
              <w:spacing w:before="68" w:line="254" w:lineRule="auto"/>
              <w:ind w:left="673" w:right="136" w:hanging="529"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区域地</w:t>
            </w:r>
            <w:r>
              <w:rPr>
                <w:rFonts w:cs="Times New Roman"/>
                <w:snapToGrid w:val="0"/>
                <w:color w:val="auto"/>
                <w:spacing w:val="-4"/>
                <w:kern w:val="0"/>
                <w:sz w:val="21"/>
                <w:szCs w:val="21"/>
              </w:rPr>
              <w:t>下</w:t>
            </w:r>
            <w:r>
              <w:rPr>
                <w:rFonts w:cs="Times New Roman"/>
                <w:snapToGrid w:val="0"/>
                <w:color w:val="auto"/>
                <w:spacing w:val="-3"/>
                <w:kern w:val="0"/>
                <w:sz w:val="21"/>
                <w:szCs w:val="21"/>
              </w:rPr>
              <w:t>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12"/>
                <w:szCs w:val="12"/>
              </w:rPr>
            </w:pPr>
            <w:r>
              <w:rPr>
                <w:rFonts w:eastAsia="Times New Roman" w:cs="Times New Roman"/>
                <w:snapToGrid w:val="0"/>
                <w:color w:val="auto"/>
                <w:kern w:val="0"/>
                <w:sz w:val="18"/>
                <w:szCs w:val="18"/>
              </w:rPr>
              <w:t>Na</w:t>
            </w:r>
            <w:r>
              <w:rPr>
                <w:rFonts w:eastAsia="Times New Roman" w:cs="Times New Roman"/>
                <w:snapToGrid w:val="0"/>
                <w:color w:val="auto"/>
                <w:spacing w:val="50"/>
                <w:kern w:val="0"/>
                <w:position w:val="8"/>
                <w:sz w:val="12"/>
                <w:szCs w:val="12"/>
              </w:rPr>
              <w:t>+</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4"/>
                <w:kern w:val="0"/>
                <w:position w:val="3"/>
                <w:sz w:val="21"/>
                <w:szCs w:val="21"/>
              </w:rPr>
              <w:t>≤</w:t>
            </w:r>
            <w:r>
              <w:rPr>
                <w:rFonts w:eastAsia="Times New Roman" w:cs="Times New Roman"/>
                <w:snapToGrid w:val="0"/>
                <w:color w:val="auto"/>
                <w:spacing w:val="-4"/>
                <w:kern w:val="0"/>
                <w:position w:val="3"/>
                <w:sz w:val="21"/>
                <w:szCs w:val="21"/>
              </w:rPr>
              <w:t>20</w:t>
            </w:r>
            <w:r>
              <w:rPr>
                <w:rFonts w:eastAsia="Times New Roman" w:cs="Times New Roman"/>
                <w:snapToGrid w:val="0"/>
                <w:color w:val="auto"/>
                <w:spacing w:val="-2"/>
                <w:kern w:val="0"/>
                <w:position w:val="3"/>
                <w:sz w:val="21"/>
                <w:szCs w:val="21"/>
              </w:rPr>
              <w:t>0mg/L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13"/>
                <w:szCs w:val="13"/>
              </w:rPr>
            </w:pPr>
            <w:r>
              <w:rPr>
                <w:rFonts w:eastAsia="Times New Roman" w:cs="Times New Roman"/>
                <w:snapToGrid w:val="0"/>
                <w:color w:val="auto"/>
                <w:spacing w:val="2"/>
                <w:kern w:val="0"/>
                <w:sz w:val="21"/>
                <w:szCs w:val="21"/>
              </w:rPr>
              <w:t>COD</w:t>
            </w:r>
            <w:r>
              <w:rPr>
                <w:rFonts w:eastAsia="Times New Roman" w:cs="Times New Roman"/>
                <w:snapToGrid w:val="0"/>
                <w:color w:val="auto"/>
                <w:spacing w:val="2"/>
                <w:kern w:val="0"/>
                <w:position w:val="-2"/>
                <w:sz w:val="13"/>
                <w:szCs w:val="13"/>
              </w:rPr>
              <w:t>M</w:t>
            </w:r>
            <w:r>
              <w:rPr>
                <w:rFonts w:eastAsia="Times New Roman" w:cs="Times New Roman"/>
                <w:snapToGrid w:val="0"/>
                <w:color w:val="auto"/>
                <w:spacing w:val="1"/>
                <w:kern w:val="0"/>
                <w:position w:val="-2"/>
                <w:sz w:val="13"/>
                <w:szCs w:val="13"/>
              </w:rPr>
              <w:t>n</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6"/>
                <w:kern w:val="0"/>
                <w:sz w:val="21"/>
                <w:szCs w:val="21"/>
              </w:rPr>
              <w:t>≤</w:t>
            </w:r>
            <w:r>
              <w:rPr>
                <w:rFonts w:eastAsia="Times New Roman" w:cs="Times New Roman"/>
                <w:snapToGrid w:val="0"/>
                <w:color w:val="auto"/>
                <w:spacing w:val="-5"/>
                <w:kern w:val="0"/>
                <w:sz w:val="21"/>
                <w:szCs w:val="21"/>
              </w:rPr>
              <w:t>3.0</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2"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氨</w:t>
            </w:r>
            <w:r>
              <w:rPr>
                <w:rFonts w:cs="Times New Roman"/>
                <w:snapToGrid w:val="0"/>
                <w:color w:val="auto"/>
                <w:spacing w:val="-1"/>
                <w:kern w:val="0"/>
                <w:sz w:val="21"/>
                <w:szCs w:val="21"/>
              </w:rPr>
              <w:t>氮</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6"/>
                <w:kern w:val="0"/>
                <w:sz w:val="21"/>
                <w:szCs w:val="21"/>
              </w:rPr>
              <w:t>≤</w:t>
            </w:r>
            <w:r>
              <w:rPr>
                <w:rFonts w:eastAsia="Times New Roman" w:cs="Times New Roman"/>
                <w:snapToGrid w:val="0"/>
                <w:color w:val="auto"/>
                <w:spacing w:val="-5"/>
                <w:kern w:val="0"/>
                <w:sz w:val="21"/>
                <w:szCs w:val="21"/>
              </w:rPr>
              <w:t>0.5</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0"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4"/>
                <w:kern w:val="0"/>
                <w:sz w:val="21"/>
                <w:szCs w:val="21"/>
              </w:rPr>
              <w:t>硝酸盐(以</w:t>
            </w:r>
            <w:r>
              <w:rPr>
                <w:rFonts w:eastAsia="Times New Roman" w:cs="Times New Roman"/>
                <w:snapToGrid w:val="0"/>
                <w:color w:val="auto"/>
                <w:kern w:val="0"/>
                <w:sz w:val="21"/>
                <w:szCs w:val="21"/>
              </w:rPr>
              <w:t>N</w:t>
            </w:r>
            <w:r>
              <w:rPr>
                <w:rFonts w:cs="Times New Roman"/>
                <w:snapToGrid w:val="0"/>
                <w:color w:val="auto"/>
                <w:spacing w:val="4"/>
                <w:kern w:val="0"/>
                <w:sz w:val="21"/>
                <w:szCs w:val="21"/>
              </w:rPr>
              <w:t>计)</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7"/>
                <w:kern w:val="0"/>
                <w:sz w:val="21"/>
                <w:szCs w:val="21"/>
              </w:rPr>
              <w:t>≤</w:t>
            </w:r>
            <w:r>
              <w:rPr>
                <w:rFonts w:eastAsia="Times New Roman" w:cs="Times New Roman"/>
                <w:snapToGrid w:val="0"/>
                <w:color w:val="auto"/>
                <w:spacing w:val="-7"/>
                <w:kern w:val="0"/>
                <w:sz w:val="21"/>
                <w:szCs w:val="21"/>
              </w:rPr>
              <w:t>20</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6"/>
                <w:kern w:val="0"/>
                <w:sz w:val="21"/>
                <w:szCs w:val="21"/>
              </w:rPr>
              <w:t>亚硝</w:t>
            </w:r>
            <w:r>
              <w:rPr>
                <w:rFonts w:cs="Times New Roman"/>
                <w:snapToGrid w:val="0"/>
                <w:color w:val="auto"/>
                <w:spacing w:val="4"/>
                <w:kern w:val="0"/>
                <w:sz w:val="21"/>
                <w:szCs w:val="21"/>
              </w:rPr>
              <w:t>酸</w:t>
            </w:r>
            <w:r>
              <w:rPr>
                <w:rFonts w:cs="Times New Roman"/>
                <w:snapToGrid w:val="0"/>
                <w:color w:val="auto"/>
                <w:spacing w:val="3"/>
                <w:kern w:val="0"/>
                <w:sz w:val="21"/>
                <w:szCs w:val="21"/>
              </w:rPr>
              <w:t>盐(以</w:t>
            </w:r>
            <w:r>
              <w:rPr>
                <w:rFonts w:eastAsia="Times New Roman" w:cs="Times New Roman"/>
                <w:snapToGrid w:val="0"/>
                <w:color w:val="auto"/>
                <w:kern w:val="0"/>
                <w:sz w:val="21"/>
                <w:szCs w:val="21"/>
              </w:rPr>
              <w:t>N</w:t>
            </w:r>
            <w:r>
              <w:rPr>
                <w:rFonts w:cs="Times New Roman"/>
                <w:snapToGrid w:val="0"/>
                <w:color w:val="auto"/>
                <w:spacing w:val="3"/>
                <w:kern w:val="0"/>
                <w:sz w:val="21"/>
                <w:szCs w:val="21"/>
              </w:rPr>
              <w:t>计)</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6"/>
                <w:kern w:val="0"/>
                <w:sz w:val="21"/>
                <w:szCs w:val="21"/>
              </w:rPr>
              <w:t>≤</w:t>
            </w:r>
            <w:r>
              <w:rPr>
                <w:rFonts w:eastAsia="Times New Roman" w:cs="Times New Roman"/>
                <w:snapToGrid w:val="0"/>
                <w:color w:val="auto"/>
                <w:spacing w:val="-5"/>
                <w:kern w:val="0"/>
                <w:sz w:val="21"/>
                <w:szCs w:val="21"/>
              </w:rPr>
              <w:t>1.0</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铁</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6"/>
                <w:kern w:val="0"/>
                <w:sz w:val="21"/>
                <w:szCs w:val="21"/>
              </w:rPr>
              <w:t>≤</w:t>
            </w:r>
            <w:r>
              <w:rPr>
                <w:rFonts w:eastAsia="Times New Roman" w:cs="Times New Roman"/>
                <w:snapToGrid w:val="0"/>
                <w:color w:val="auto"/>
                <w:spacing w:val="-5"/>
                <w:kern w:val="0"/>
                <w:sz w:val="21"/>
                <w:szCs w:val="21"/>
              </w:rPr>
              <w:t>0.3</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0"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锰</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6"/>
                <w:kern w:val="0"/>
                <w:sz w:val="21"/>
                <w:szCs w:val="21"/>
              </w:rPr>
              <w:t>≤</w:t>
            </w:r>
            <w:r>
              <w:rPr>
                <w:rFonts w:eastAsia="Times New Roman" w:cs="Times New Roman"/>
                <w:snapToGrid w:val="0"/>
                <w:color w:val="auto"/>
                <w:spacing w:val="-5"/>
                <w:kern w:val="0"/>
                <w:sz w:val="21"/>
                <w:szCs w:val="21"/>
              </w:rPr>
              <w:t>0.1</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铅</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4"/>
                <w:kern w:val="0"/>
                <w:sz w:val="21"/>
                <w:szCs w:val="21"/>
              </w:rPr>
              <w:t>≤</w:t>
            </w:r>
            <w:r>
              <w:rPr>
                <w:rFonts w:eastAsia="Times New Roman" w:cs="Times New Roman"/>
                <w:snapToGrid w:val="0"/>
                <w:color w:val="auto"/>
                <w:spacing w:val="-4"/>
                <w:kern w:val="0"/>
                <w:sz w:val="21"/>
                <w:szCs w:val="21"/>
              </w:rPr>
              <w:t>0.01</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镉</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5"/>
                <w:kern w:val="0"/>
                <w:sz w:val="21"/>
                <w:szCs w:val="21"/>
              </w:rPr>
              <w:t>≤</w:t>
            </w:r>
            <w:r>
              <w:rPr>
                <w:rFonts w:eastAsia="Times New Roman" w:cs="Times New Roman"/>
                <w:snapToGrid w:val="0"/>
                <w:color w:val="auto"/>
                <w:spacing w:val="-3"/>
                <w:kern w:val="0"/>
                <w:sz w:val="21"/>
                <w:szCs w:val="21"/>
              </w:rPr>
              <w:t>0.005</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汞</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5"/>
                <w:kern w:val="0"/>
                <w:sz w:val="21"/>
                <w:szCs w:val="21"/>
              </w:rPr>
              <w:t>≤</w:t>
            </w:r>
            <w:r>
              <w:rPr>
                <w:rFonts w:eastAsia="Times New Roman" w:cs="Times New Roman"/>
                <w:snapToGrid w:val="0"/>
                <w:color w:val="auto"/>
                <w:spacing w:val="-3"/>
                <w:kern w:val="0"/>
                <w:sz w:val="21"/>
                <w:szCs w:val="21"/>
              </w:rPr>
              <w:t>0.001</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1"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kern w:val="0"/>
                <w:sz w:val="21"/>
                <w:szCs w:val="21"/>
              </w:rPr>
              <w:t>砷</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4"/>
                <w:kern w:val="0"/>
                <w:sz w:val="21"/>
                <w:szCs w:val="21"/>
              </w:rPr>
              <w:t>≤</w:t>
            </w:r>
            <w:r>
              <w:rPr>
                <w:rFonts w:eastAsia="Times New Roman" w:cs="Times New Roman"/>
                <w:snapToGrid w:val="0"/>
                <w:color w:val="auto"/>
                <w:spacing w:val="-4"/>
                <w:kern w:val="0"/>
                <w:sz w:val="21"/>
                <w:szCs w:val="21"/>
              </w:rPr>
              <w:t>0.01</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六价</w:t>
            </w:r>
            <w:r>
              <w:rPr>
                <w:rFonts w:cs="Times New Roman"/>
                <w:snapToGrid w:val="0"/>
                <w:color w:val="auto"/>
                <w:spacing w:val="-1"/>
                <w:kern w:val="0"/>
                <w:sz w:val="21"/>
                <w:szCs w:val="21"/>
              </w:rPr>
              <w:t>铬</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4"/>
                <w:kern w:val="0"/>
                <w:sz w:val="21"/>
                <w:szCs w:val="21"/>
              </w:rPr>
              <w:t>≤</w:t>
            </w:r>
            <w:r>
              <w:rPr>
                <w:rFonts w:eastAsia="Times New Roman" w:cs="Times New Roman"/>
                <w:snapToGrid w:val="0"/>
                <w:color w:val="auto"/>
                <w:spacing w:val="-4"/>
                <w:kern w:val="0"/>
                <w:sz w:val="21"/>
                <w:szCs w:val="21"/>
              </w:rPr>
              <w:t>0.05</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氰化物</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4"/>
                <w:kern w:val="0"/>
                <w:sz w:val="21"/>
                <w:szCs w:val="21"/>
              </w:rPr>
              <w:t>≤</w:t>
            </w:r>
            <w:r>
              <w:rPr>
                <w:rFonts w:eastAsia="Times New Roman" w:cs="Times New Roman"/>
                <w:snapToGrid w:val="0"/>
                <w:color w:val="auto"/>
                <w:spacing w:val="-4"/>
                <w:kern w:val="0"/>
                <w:sz w:val="21"/>
                <w:szCs w:val="21"/>
              </w:rPr>
              <w:t>0.05</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氟</w:t>
            </w:r>
            <w:r>
              <w:rPr>
                <w:rFonts w:cs="Times New Roman"/>
                <w:snapToGrid w:val="0"/>
                <w:color w:val="auto"/>
                <w:spacing w:val="-1"/>
                <w:kern w:val="0"/>
                <w:sz w:val="21"/>
                <w:szCs w:val="21"/>
              </w:rPr>
              <w:t>化物</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6"/>
                <w:kern w:val="0"/>
                <w:sz w:val="21"/>
                <w:szCs w:val="21"/>
              </w:rPr>
              <w:t>≤</w:t>
            </w:r>
            <w:r>
              <w:rPr>
                <w:rFonts w:eastAsia="Times New Roman" w:cs="Times New Roman"/>
                <w:snapToGrid w:val="0"/>
                <w:color w:val="auto"/>
                <w:spacing w:val="-5"/>
                <w:kern w:val="0"/>
                <w:sz w:val="21"/>
                <w:szCs w:val="21"/>
              </w:rPr>
              <w:t>1.0</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0"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氯化物</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6"/>
                <w:kern w:val="0"/>
                <w:sz w:val="21"/>
                <w:szCs w:val="21"/>
              </w:rPr>
              <w:t>≤</w:t>
            </w:r>
            <w:r>
              <w:rPr>
                <w:rFonts w:eastAsia="Times New Roman" w:cs="Times New Roman"/>
                <w:snapToGrid w:val="0"/>
                <w:color w:val="auto"/>
                <w:spacing w:val="-5"/>
                <w:kern w:val="0"/>
                <w:sz w:val="21"/>
                <w:szCs w:val="21"/>
              </w:rPr>
              <w:t>250</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硫酸盐</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6"/>
                <w:kern w:val="0"/>
                <w:sz w:val="21"/>
                <w:szCs w:val="21"/>
              </w:rPr>
              <w:t>≤</w:t>
            </w:r>
            <w:r>
              <w:rPr>
                <w:rFonts w:eastAsia="Times New Roman" w:cs="Times New Roman"/>
                <w:snapToGrid w:val="0"/>
                <w:color w:val="auto"/>
                <w:spacing w:val="-5"/>
                <w:kern w:val="0"/>
                <w:sz w:val="21"/>
                <w:szCs w:val="21"/>
              </w:rPr>
              <w:t>250</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总硬</w:t>
            </w:r>
            <w:r>
              <w:rPr>
                <w:rFonts w:cs="Times New Roman"/>
                <w:snapToGrid w:val="0"/>
                <w:color w:val="auto"/>
                <w:spacing w:val="-1"/>
                <w:kern w:val="0"/>
                <w:sz w:val="21"/>
                <w:szCs w:val="21"/>
              </w:rPr>
              <w:t>度</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6"/>
                <w:kern w:val="0"/>
                <w:sz w:val="21"/>
                <w:szCs w:val="21"/>
              </w:rPr>
              <w:t>≤</w:t>
            </w:r>
            <w:r>
              <w:rPr>
                <w:rFonts w:eastAsia="Times New Roman" w:cs="Times New Roman"/>
                <w:snapToGrid w:val="0"/>
                <w:color w:val="auto"/>
                <w:spacing w:val="-5"/>
                <w:kern w:val="0"/>
                <w:sz w:val="21"/>
                <w:szCs w:val="21"/>
              </w:rPr>
              <w:t>450</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280"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溶解</w:t>
            </w:r>
            <w:r>
              <w:rPr>
                <w:rFonts w:cs="Times New Roman"/>
                <w:snapToGrid w:val="0"/>
                <w:color w:val="auto"/>
                <w:spacing w:val="-1"/>
                <w:kern w:val="0"/>
                <w:sz w:val="21"/>
                <w:szCs w:val="21"/>
              </w:rPr>
              <w:t>性总固体</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4"/>
                <w:kern w:val="0"/>
                <w:sz w:val="21"/>
                <w:szCs w:val="21"/>
              </w:rPr>
              <w:t>≤</w:t>
            </w:r>
            <w:r>
              <w:rPr>
                <w:rFonts w:eastAsia="Times New Roman" w:cs="Times New Roman"/>
                <w:snapToGrid w:val="0"/>
                <w:color w:val="auto"/>
                <w:spacing w:val="-4"/>
                <w:kern w:val="0"/>
                <w:sz w:val="21"/>
                <w:szCs w:val="21"/>
              </w:rPr>
              <w:t>1000</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1"/>
                <w:kern w:val="0"/>
                <w:sz w:val="21"/>
                <w:szCs w:val="21"/>
              </w:rPr>
              <w:t>挥发性酚</w:t>
            </w:r>
            <w:r>
              <w:rPr>
                <w:rFonts w:cs="Times New Roman"/>
                <w:snapToGrid w:val="0"/>
                <w:color w:val="auto"/>
                <w:kern w:val="0"/>
                <w:sz w:val="21"/>
                <w:szCs w:val="21"/>
              </w:rPr>
              <w:t>类</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5"/>
                <w:kern w:val="0"/>
                <w:sz w:val="21"/>
                <w:szCs w:val="21"/>
              </w:rPr>
              <w:t>≤</w:t>
            </w:r>
            <w:r>
              <w:rPr>
                <w:rFonts w:eastAsia="Times New Roman" w:cs="Times New Roman"/>
                <w:snapToGrid w:val="0"/>
                <w:color w:val="auto"/>
                <w:spacing w:val="-3"/>
                <w:kern w:val="0"/>
                <w:sz w:val="21"/>
                <w:szCs w:val="21"/>
              </w:rPr>
              <w:t>0.002</w:t>
            </w:r>
            <w:r>
              <w:rPr>
                <w:rFonts w:eastAsia="Times New Roman" w:cs="Times New Roman"/>
                <w:snapToGrid w:val="0"/>
                <w:color w:val="auto"/>
                <w:spacing w:val="-2"/>
                <w:kern w:val="0"/>
                <w:position w:val="3"/>
                <w:sz w:val="21"/>
                <w:szCs w:val="21"/>
              </w:rPr>
              <w:t>mg/L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细菌</w:t>
            </w:r>
            <w:r>
              <w:rPr>
                <w:rFonts w:cs="Times New Roman"/>
                <w:snapToGrid w:val="0"/>
                <w:color w:val="auto"/>
                <w:spacing w:val="-1"/>
                <w:kern w:val="0"/>
                <w:sz w:val="21"/>
                <w:szCs w:val="21"/>
              </w:rPr>
              <w:t>总数</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4"/>
                <w:kern w:val="0"/>
                <w:position w:val="1"/>
                <w:sz w:val="21"/>
                <w:szCs w:val="21"/>
              </w:rPr>
              <w:t>≤</w:t>
            </w:r>
            <w:r>
              <w:rPr>
                <w:rFonts w:eastAsia="Times New Roman" w:cs="Times New Roman"/>
                <w:snapToGrid w:val="0"/>
                <w:color w:val="auto"/>
                <w:spacing w:val="-4"/>
                <w:kern w:val="0"/>
                <w:position w:val="1"/>
                <w:sz w:val="21"/>
                <w:szCs w:val="21"/>
              </w:rPr>
              <w:t>1</w:t>
            </w:r>
            <w:r>
              <w:rPr>
                <w:rFonts w:eastAsia="Times New Roman" w:cs="Times New Roman"/>
                <w:snapToGrid w:val="0"/>
                <w:color w:val="auto"/>
                <w:spacing w:val="-2"/>
                <w:kern w:val="0"/>
                <w:position w:val="1"/>
                <w:sz w:val="21"/>
                <w:szCs w:val="21"/>
              </w:rPr>
              <w:t>00CFU/mL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4" w:hRule="atLeast"/>
        </w:trPr>
        <w:tc>
          <w:tcPr>
            <w:tcW w:w="24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836"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Arial" w:cs="Times New Roman"/>
                <w:snapToGrid w:val="0"/>
                <w:color w:val="auto"/>
                <w:kern w:val="0"/>
                <w:sz w:val="21"/>
                <w:szCs w:val="21"/>
              </w:rPr>
            </w:pPr>
          </w:p>
        </w:tc>
        <w:tc>
          <w:tcPr>
            <w:tcW w:w="2148"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cs="Times New Roman"/>
                <w:snapToGrid w:val="0"/>
                <w:color w:val="auto"/>
                <w:kern w:val="0"/>
                <w:sz w:val="21"/>
                <w:szCs w:val="21"/>
              </w:rPr>
            </w:pPr>
            <w:r>
              <w:rPr>
                <w:rFonts w:cs="Times New Roman"/>
                <w:snapToGrid w:val="0"/>
                <w:color w:val="auto"/>
                <w:spacing w:val="-2"/>
                <w:kern w:val="0"/>
                <w:sz w:val="21"/>
                <w:szCs w:val="21"/>
              </w:rPr>
              <w:t>总大肠</w:t>
            </w:r>
            <w:r>
              <w:rPr>
                <w:rFonts w:cs="Times New Roman"/>
                <w:snapToGrid w:val="0"/>
                <w:color w:val="auto"/>
                <w:spacing w:val="-1"/>
                <w:kern w:val="0"/>
                <w:sz w:val="21"/>
                <w:szCs w:val="21"/>
              </w:rPr>
              <w:t>菌群</w:t>
            </w:r>
          </w:p>
        </w:tc>
        <w:tc>
          <w:tcPr>
            <w:tcW w:w="2119"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eastAsia="Times New Roman" w:cs="Times New Roman"/>
                <w:snapToGrid w:val="0"/>
                <w:color w:val="auto"/>
                <w:kern w:val="0"/>
                <w:sz w:val="21"/>
                <w:szCs w:val="21"/>
              </w:rPr>
            </w:pPr>
            <w:r>
              <w:rPr>
                <w:rFonts w:cs="Times New Roman"/>
                <w:snapToGrid w:val="0"/>
                <w:color w:val="auto"/>
                <w:spacing w:val="-2"/>
                <w:kern w:val="0"/>
                <w:position w:val="1"/>
                <w:sz w:val="21"/>
                <w:szCs w:val="21"/>
              </w:rPr>
              <w:t>≤</w:t>
            </w:r>
            <w:r>
              <w:rPr>
                <w:rFonts w:eastAsia="Times New Roman" w:cs="Times New Roman"/>
                <w:snapToGrid w:val="0"/>
                <w:color w:val="auto"/>
                <w:spacing w:val="-2"/>
                <w:kern w:val="0"/>
                <w:position w:val="1"/>
                <w:sz w:val="21"/>
                <w:szCs w:val="21"/>
              </w:rPr>
              <w:t xml:space="preserve">3.0 </w:t>
            </w:r>
            <w:r>
              <w:rPr>
                <w:rFonts w:eastAsia="Times New Roman" w:cs="Times New Roman"/>
                <w:snapToGrid w:val="0"/>
                <w:color w:val="auto"/>
                <w:spacing w:val="-1"/>
                <w:kern w:val="0"/>
                <w:position w:val="1"/>
                <w:sz w:val="21"/>
                <w:szCs w:val="21"/>
              </w:rPr>
              <w:t>CFU</w:t>
            </w:r>
            <w:r>
              <w:rPr>
                <w:rFonts w:eastAsia="Times New Roman" w:cs="Times New Roman"/>
                <w:snapToGrid w:val="0"/>
                <w:color w:val="auto"/>
                <w:spacing w:val="-2"/>
                <w:kern w:val="0"/>
                <w:position w:val="1"/>
                <w:sz w:val="21"/>
                <w:szCs w:val="21"/>
              </w:rPr>
              <w:t>/10</w:t>
            </w:r>
            <w:r>
              <w:rPr>
                <w:rFonts w:eastAsia="Times New Roman" w:cs="Times New Roman"/>
                <w:snapToGrid w:val="0"/>
                <w:color w:val="auto"/>
                <w:spacing w:val="-1"/>
                <w:kern w:val="0"/>
                <w:position w:val="1"/>
                <w:sz w:val="21"/>
                <w:szCs w:val="21"/>
              </w:rPr>
              <w:t>0mL</w:t>
            </w:r>
          </w:p>
        </w:tc>
        <w:tc>
          <w:tcPr>
            <w:tcW w:w="1748"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left"/>
              <w:textAlignment w:val="baseline"/>
              <w:rPr>
                <w:rFonts w:eastAsia="Arial" w:cs="Times New Roman"/>
                <w:snapToGrid w:val="0"/>
                <w:color w:val="auto"/>
                <w:kern w:val="0"/>
                <w:sz w:val="21"/>
                <w:szCs w:val="21"/>
              </w:rPr>
            </w:pPr>
          </w:p>
        </w:tc>
      </w:tr>
    </w:tbl>
    <w:p>
      <w:pPr>
        <w:ind w:firstLine="482"/>
        <w:rPr>
          <w:rFonts w:cs="Times New Roman"/>
          <w:b/>
          <w:bCs/>
          <w:color w:val="auto"/>
        </w:rPr>
      </w:pPr>
      <w:r>
        <w:rPr>
          <w:rFonts w:cs="Times New Roman"/>
          <w:b/>
          <w:bCs/>
          <w:color w:val="auto"/>
        </w:rPr>
        <w:t>5.土壤环境</w:t>
      </w:r>
    </w:p>
    <w:p>
      <w:pPr>
        <w:snapToGrid w:val="0"/>
        <w:ind w:firstLine="480"/>
        <w:rPr>
          <w:rFonts w:cs="Times New Roman"/>
          <w:color w:val="auto"/>
        </w:rPr>
      </w:pPr>
      <w:r>
        <w:rPr>
          <w:rFonts w:cs="Times New Roman"/>
          <w:color w:val="auto"/>
        </w:rPr>
        <w:t>项目场地所在区域土壤环境质量执行《土壤环境质量 农用地土壤污染风险管控标准（试行）》（GB15618—2018）中“表1农用地土壤污染风险筛选值（基本项目）”中的“其他”标准要求。《土壤环境质量 农用地土壤污染风险管控标准（试行）》（GB15618—2018）标准值见表2.6-5。</w:t>
      </w:r>
    </w:p>
    <w:p>
      <w:pPr>
        <w:overflowPunct w:val="0"/>
        <w:topLinePunct/>
        <w:autoSpaceDE w:val="0"/>
        <w:autoSpaceDN w:val="0"/>
        <w:snapToGrid w:val="0"/>
        <w:spacing w:line="240" w:lineRule="auto"/>
        <w:ind w:firstLine="482"/>
        <w:jc w:val="center"/>
        <w:rPr>
          <w:rFonts w:cs="Times New Roman"/>
          <w:b/>
          <w:color w:val="auto"/>
        </w:rPr>
      </w:pPr>
      <w:r>
        <w:rPr>
          <w:rFonts w:cs="Times New Roman"/>
          <w:b/>
          <w:color w:val="auto"/>
        </w:rPr>
        <w:t>表2.6-5 农用地土壤污染风险筛选值（基本项目）（单位mg/kg，pH除外）</w:t>
      </w:r>
    </w:p>
    <w:tbl>
      <w:tblPr>
        <w:tblStyle w:val="4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859"/>
        <w:gridCol w:w="1312"/>
        <w:gridCol w:w="1205"/>
        <w:gridCol w:w="1893"/>
        <w:gridCol w:w="1893"/>
        <w:gridCol w:w="12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32" w:type="pct"/>
            <w:vMerge w:val="restart"/>
            <w:vAlign w:val="center"/>
          </w:tcPr>
          <w:p>
            <w:pPr>
              <w:pStyle w:val="61"/>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序号</w:t>
            </w:r>
          </w:p>
        </w:tc>
        <w:tc>
          <w:tcPr>
            <w:tcW w:w="1183" w:type="pct"/>
            <w:gridSpan w:val="2"/>
            <w:vMerge w:val="restart"/>
            <w:vAlign w:val="center"/>
          </w:tcPr>
          <w:p>
            <w:pPr>
              <w:pStyle w:val="61"/>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污染物项目①②</w:t>
            </w:r>
          </w:p>
        </w:tc>
        <w:tc>
          <w:tcPr>
            <w:tcW w:w="3384" w:type="pct"/>
            <w:gridSpan w:val="4"/>
            <w:vAlign w:val="center"/>
          </w:tcPr>
          <w:p>
            <w:pPr>
              <w:pStyle w:val="61"/>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32" w:type="pct"/>
            <w:vMerge w:val="continue"/>
            <w:tcBorders>
              <w:bottom w:val="single" w:color="auto" w:sz="12" w:space="0"/>
            </w:tcBorders>
            <w:vAlign w:val="center"/>
          </w:tcPr>
          <w:p>
            <w:pPr>
              <w:pStyle w:val="61"/>
              <w:spacing w:line="240" w:lineRule="auto"/>
              <w:ind w:firstLine="0" w:firstLineChars="0"/>
              <w:jc w:val="center"/>
              <w:rPr>
                <w:rFonts w:cs="Times New Roman"/>
                <w:b/>
                <w:bCs/>
                <w:color w:val="auto"/>
                <w:kern w:val="0"/>
                <w:sz w:val="21"/>
                <w:szCs w:val="21"/>
              </w:rPr>
            </w:pPr>
          </w:p>
        </w:tc>
        <w:tc>
          <w:tcPr>
            <w:tcW w:w="1183" w:type="pct"/>
            <w:gridSpan w:val="2"/>
            <w:vMerge w:val="continue"/>
            <w:tcBorders>
              <w:bottom w:val="single" w:color="auto" w:sz="12" w:space="0"/>
            </w:tcBorders>
            <w:vAlign w:val="center"/>
          </w:tcPr>
          <w:p>
            <w:pPr>
              <w:pStyle w:val="61"/>
              <w:spacing w:line="240" w:lineRule="auto"/>
              <w:ind w:firstLine="0" w:firstLineChars="0"/>
              <w:jc w:val="center"/>
              <w:rPr>
                <w:rFonts w:cs="Times New Roman"/>
                <w:b/>
                <w:bCs/>
                <w:color w:val="auto"/>
                <w:kern w:val="0"/>
                <w:sz w:val="21"/>
                <w:szCs w:val="21"/>
              </w:rPr>
            </w:pPr>
          </w:p>
        </w:tc>
        <w:tc>
          <w:tcPr>
            <w:tcW w:w="657" w:type="pct"/>
            <w:tcBorders>
              <w:bottom w:val="single" w:color="auto" w:sz="12" w:space="0"/>
            </w:tcBorders>
            <w:vAlign w:val="center"/>
          </w:tcPr>
          <w:p>
            <w:pPr>
              <w:pStyle w:val="61"/>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pH≤5.5</w:t>
            </w:r>
          </w:p>
        </w:tc>
        <w:tc>
          <w:tcPr>
            <w:tcW w:w="1032" w:type="pct"/>
            <w:tcBorders>
              <w:bottom w:val="single" w:color="auto" w:sz="12" w:space="0"/>
            </w:tcBorders>
            <w:vAlign w:val="center"/>
          </w:tcPr>
          <w:p>
            <w:pPr>
              <w:pStyle w:val="61"/>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5.5＜pH≤6.5</w:t>
            </w:r>
          </w:p>
        </w:tc>
        <w:tc>
          <w:tcPr>
            <w:tcW w:w="1032" w:type="pct"/>
            <w:tcBorders>
              <w:bottom w:val="single" w:color="auto" w:sz="12" w:space="0"/>
            </w:tcBorders>
            <w:vAlign w:val="center"/>
          </w:tcPr>
          <w:p>
            <w:pPr>
              <w:pStyle w:val="61"/>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6.5＜pH≤7.5</w:t>
            </w:r>
          </w:p>
        </w:tc>
        <w:tc>
          <w:tcPr>
            <w:tcW w:w="662" w:type="pct"/>
            <w:tcBorders>
              <w:bottom w:val="single" w:color="auto" w:sz="12" w:space="0"/>
            </w:tcBorders>
            <w:vAlign w:val="center"/>
          </w:tcPr>
          <w:p>
            <w:pPr>
              <w:pStyle w:val="61"/>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pH＞7.5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vMerge w:val="restart"/>
            <w:tcBorders>
              <w:top w:val="single" w:color="auto" w:sz="12" w:space="0"/>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w:t>
            </w:r>
          </w:p>
        </w:tc>
        <w:tc>
          <w:tcPr>
            <w:tcW w:w="468" w:type="pct"/>
            <w:vMerge w:val="restart"/>
            <w:tcBorders>
              <w:top w:val="single" w:color="auto" w:sz="12" w:space="0"/>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镉</w:t>
            </w:r>
          </w:p>
        </w:tc>
        <w:tc>
          <w:tcPr>
            <w:tcW w:w="715" w:type="pct"/>
            <w:tcBorders>
              <w:top w:val="single" w:color="auto" w:sz="12" w:space="0"/>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水田</w:t>
            </w:r>
          </w:p>
        </w:tc>
        <w:tc>
          <w:tcPr>
            <w:tcW w:w="657" w:type="pct"/>
            <w:tcBorders>
              <w:top w:val="single" w:color="auto" w:sz="12" w:space="0"/>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0.3</w:t>
            </w:r>
          </w:p>
        </w:tc>
        <w:tc>
          <w:tcPr>
            <w:tcW w:w="1032" w:type="pct"/>
            <w:tcBorders>
              <w:top w:val="single" w:color="auto" w:sz="12" w:space="0"/>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0.4</w:t>
            </w:r>
          </w:p>
        </w:tc>
        <w:tc>
          <w:tcPr>
            <w:tcW w:w="1032" w:type="pct"/>
            <w:tcBorders>
              <w:top w:val="single" w:color="auto" w:sz="12" w:space="0"/>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0.6</w:t>
            </w:r>
          </w:p>
        </w:tc>
        <w:tc>
          <w:tcPr>
            <w:tcW w:w="662" w:type="pct"/>
            <w:tcBorders>
              <w:top w:val="single" w:color="auto" w:sz="12" w:space="0"/>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vMerge w:val="continue"/>
            <w:tcBorders>
              <w:tl2br w:val="nil"/>
              <w:tr2bl w:val="nil"/>
            </w:tcBorders>
            <w:vAlign w:val="center"/>
          </w:tcPr>
          <w:p>
            <w:pPr>
              <w:pStyle w:val="61"/>
              <w:spacing w:line="240" w:lineRule="auto"/>
              <w:ind w:firstLine="0" w:firstLineChars="0"/>
              <w:jc w:val="center"/>
              <w:rPr>
                <w:rFonts w:cs="Times New Roman"/>
                <w:color w:val="auto"/>
                <w:kern w:val="0"/>
                <w:sz w:val="21"/>
                <w:szCs w:val="21"/>
              </w:rPr>
            </w:pPr>
          </w:p>
        </w:tc>
        <w:tc>
          <w:tcPr>
            <w:tcW w:w="468" w:type="pct"/>
            <w:vMerge w:val="continue"/>
            <w:tcBorders>
              <w:tl2br w:val="nil"/>
              <w:tr2bl w:val="nil"/>
            </w:tcBorders>
            <w:vAlign w:val="center"/>
          </w:tcPr>
          <w:p>
            <w:pPr>
              <w:pStyle w:val="61"/>
              <w:spacing w:line="240" w:lineRule="auto"/>
              <w:ind w:firstLine="0" w:firstLineChars="0"/>
              <w:jc w:val="center"/>
              <w:rPr>
                <w:rFonts w:cs="Times New Roman"/>
                <w:color w:val="auto"/>
                <w:kern w:val="0"/>
                <w:sz w:val="21"/>
                <w:szCs w:val="21"/>
              </w:rPr>
            </w:pPr>
          </w:p>
        </w:tc>
        <w:tc>
          <w:tcPr>
            <w:tcW w:w="715"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其他</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0.3</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0.3</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0.3</w:t>
            </w:r>
          </w:p>
        </w:tc>
        <w:tc>
          <w:tcPr>
            <w:tcW w:w="662" w:type="pct"/>
            <w:tcBorders>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vMerge w:val="restar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2</w:t>
            </w:r>
          </w:p>
        </w:tc>
        <w:tc>
          <w:tcPr>
            <w:tcW w:w="468" w:type="pct"/>
            <w:vMerge w:val="restar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汞</w:t>
            </w:r>
          </w:p>
        </w:tc>
        <w:tc>
          <w:tcPr>
            <w:tcW w:w="715"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水田</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0.5</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0.5</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0.6</w:t>
            </w:r>
          </w:p>
        </w:tc>
        <w:tc>
          <w:tcPr>
            <w:tcW w:w="662" w:type="pct"/>
            <w:tcBorders>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vMerge w:val="continue"/>
            <w:tcBorders>
              <w:tl2br w:val="nil"/>
              <w:tr2bl w:val="nil"/>
            </w:tcBorders>
            <w:vAlign w:val="center"/>
          </w:tcPr>
          <w:p>
            <w:pPr>
              <w:pStyle w:val="61"/>
              <w:spacing w:line="240" w:lineRule="auto"/>
              <w:ind w:firstLine="0" w:firstLineChars="0"/>
              <w:jc w:val="center"/>
              <w:rPr>
                <w:rFonts w:cs="Times New Roman"/>
                <w:color w:val="auto"/>
                <w:kern w:val="0"/>
                <w:sz w:val="21"/>
                <w:szCs w:val="21"/>
              </w:rPr>
            </w:pPr>
          </w:p>
        </w:tc>
        <w:tc>
          <w:tcPr>
            <w:tcW w:w="468" w:type="pct"/>
            <w:vMerge w:val="continue"/>
            <w:tcBorders>
              <w:tl2br w:val="nil"/>
              <w:tr2bl w:val="nil"/>
            </w:tcBorders>
            <w:vAlign w:val="center"/>
          </w:tcPr>
          <w:p>
            <w:pPr>
              <w:pStyle w:val="61"/>
              <w:spacing w:line="240" w:lineRule="auto"/>
              <w:ind w:firstLine="0" w:firstLineChars="0"/>
              <w:jc w:val="center"/>
              <w:rPr>
                <w:rFonts w:cs="Times New Roman"/>
                <w:color w:val="auto"/>
                <w:kern w:val="0"/>
                <w:sz w:val="21"/>
                <w:szCs w:val="21"/>
              </w:rPr>
            </w:pPr>
          </w:p>
        </w:tc>
        <w:tc>
          <w:tcPr>
            <w:tcW w:w="715"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其他</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1.3</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1.8</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2.4</w:t>
            </w:r>
          </w:p>
        </w:tc>
        <w:tc>
          <w:tcPr>
            <w:tcW w:w="662" w:type="pct"/>
            <w:tcBorders>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vMerge w:val="restar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3</w:t>
            </w:r>
          </w:p>
        </w:tc>
        <w:tc>
          <w:tcPr>
            <w:tcW w:w="468" w:type="pct"/>
            <w:vMerge w:val="restar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砷</w:t>
            </w:r>
          </w:p>
        </w:tc>
        <w:tc>
          <w:tcPr>
            <w:tcW w:w="715"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水田</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30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30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25</w:t>
            </w:r>
          </w:p>
        </w:tc>
        <w:tc>
          <w:tcPr>
            <w:tcW w:w="662" w:type="pct"/>
            <w:tcBorders>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vMerge w:val="continue"/>
            <w:tcBorders>
              <w:tl2br w:val="nil"/>
              <w:tr2bl w:val="nil"/>
            </w:tcBorders>
            <w:vAlign w:val="center"/>
          </w:tcPr>
          <w:p>
            <w:pPr>
              <w:pStyle w:val="61"/>
              <w:spacing w:line="240" w:lineRule="auto"/>
              <w:ind w:firstLine="0" w:firstLineChars="0"/>
              <w:jc w:val="center"/>
              <w:rPr>
                <w:rFonts w:cs="Times New Roman"/>
                <w:color w:val="auto"/>
                <w:kern w:val="0"/>
                <w:sz w:val="21"/>
                <w:szCs w:val="21"/>
              </w:rPr>
            </w:pPr>
          </w:p>
        </w:tc>
        <w:tc>
          <w:tcPr>
            <w:tcW w:w="468" w:type="pct"/>
            <w:vMerge w:val="continue"/>
            <w:tcBorders>
              <w:tl2br w:val="nil"/>
              <w:tr2bl w:val="nil"/>
            </w:tcBorders>
            <w:vAlign w:val="center"/>
          </w:tcPr>
          <w:p>
            <w:pPr>
              <w:pStyle w:val="61"/>
              <w:spacing w:line="240" w:lineRule="auto"/>
              <w:ind w:firstLine="0" w:firstLineChars="0"/>
              <w:jc w:val="center"/>
              <w:rPr>
                <w:rFonts w:cs="Times New Roman"/>
                <w:color w:val="auto"/>
                <w:kern w:val="0"/>
                <w:sz w:val="21"/>
                <w:szCs w:val="21"/>
              </w:rPr>
            </w:pPr>
          </w:p>
        </w:tc>
        <w:tc>
          <w:tcPr>
            <w:tcW w:w="715"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其他</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40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40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30</w:t>
            </w:r>
          </w:p>
        </w:tc>
        <w:tc>
          <w:tcPr>
            <w:tcW w:w="662" w:type="pct"/>
            <w:tcBorders>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vMerge w:val="restar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4</w:t>
            </w:r>
          </w:p>
        </w:tc>
        <w:tc>
          <w:tcPr>
            <w:tcW w:w="468" w:type="pct"/>
            <w:vMerge w:val="restar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铅</w:t>
            </w:r>
          </w:p>
        </w:tc>
        <w:tc>
          <w:tcPr>
            <w:tcW w:w="715"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水田</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80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100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140</w:t>
            </w:r>
          </w:p>
        </w:tc>
        <w:tc>
          <w:tcPr>
            <w:tcW w:w="662" w:type="pct"/>
            <w:tcBorders>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vMerge w:val="continue"/>
            <w:tcBorders>
              <w:tl2br w:val="nil"/>
              <w:tr2bl w:val="nil"/>
            </w:tcBorders>
            <w:vAlign w:val="center"/>
          </w:tcPr>
          <w:p>
            <w:pPr>
              <w:pStyle w:val="61"/>
              <w:spacing w:line="240" w:lineRule="auto"/>
              <w:ind w:firstLine="0" w:firstLineChars="0"/>
              <w:jc w:val="center"/>
              <w:rPr>
                <w:rFonts w:cs="Times New Roman"/>
                <w:color w:val="auto"/>
                <w:kern w:val="0"/>
                <w:sz w:val="21"/>
                <w:szCs w:val="21"/>
              </w:rPr>
            </w:pPr>
          </w:p>
        </w:tc>
        <w:tc>
          <w:tcPr>
            <w:tcW w:w="468" w:type="pct"/>
            <w:vMerge w:val="continue"/>
            <w:tcBorders>
              <w:tl2br w:val="nil"/>
              <w:tr2bl w:val="nil"/>
            </w:tcBorders>
            <w:vAlign w:val="center"/>
          </w:tcPr>
          <w:p>
            <w:pPr>
              <w:pStyle w:val="61"/>
              <w:spacing w:line="240" w:lineRule="auto"/>
              <w:ind w:firstLine="0" w:firstLineChars="0"/>
              <w:jc w:val="center"/>
              <w:rPr>
                <w:rFonts w:cs="Times New Roman"/>
                <w:color w:val="auto"/>
                <w:kern w:val="0"/>
                <w:sz w:val="21"/>
                <w:szCs w:val="21"/>
              </w:rPr>
            </w:pPr>
          </w:p>
        </w:tc>
        <w:tc>
          <w:tcPr>
            <w:tcW w:w="715"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其他</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70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90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120</w:t>
            </w:r>
          </w:p>
        </w:tc>
        <w:tc>
          <w:tcPr>
            <w:tcW w:w="662" w:type="pct"/>
            <w:tcBorders>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vMerge w:val="restar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5</w:t>
            </w:r>
          </w:p>
        </w:tc>
        <w:tc>
          <w:tcPr>
            <w:tcW w:w="468" w:type="pct"/>
            <w:vMerge w:val="restar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铬</w:t>
            </w:r>
          </w:p>
        </w:tc>
        <w:tc>
          <w:tcPr>
            <w:tcW w:w="715"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水田</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250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250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300</w:t>
            </w:r>
          </w:p>
        </w:tc>
        <w:tc>
          <w:tcPr>
            <w:tcW w:w="662" w:type="pct"/>
            <w:tcBorders>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vMerge w:val="continue"/>
            <w:tcBorders>
              <w:tl2br w:val="nil"/>
              <w:tr2bl w:val="nil"/>
            </w:tcBorders>
            <w:vAlign w:val="center"/>
          </w:tcPr>
          <w:p>
            <w:pPr>
              <w:pStyle w:val="61"/>
              <w:spacing w:line="240" w:lineRule="auto"/>
              <w:ind w:firstLine="0" w:firstLineChars="0"/>
              <w:jc w:val="center"/>
              <w:rPr>
                <w:rFonts w:cs="Times New Roman"/>
                <w:color w:val="auto"/>
                <w:kern w:val="0"/>
                <w:sz w:val="21"/>
                <w:szCs w:val="21"/>
              </w:rPr>
            </w:pPr>
          </w:p>
        </w:tc>
        <w:tc>
          <w:tcPr>
            <w:tcW w:w="468" w:type="pct"/>
            <w:vMerge w:val="continue"/>
            <w:tcBorders>
              <w:tl2br w:val="nil"/>
              <w:tr2bl w:val="nil"/>
            </w:tcBorders>
            <w:vAlign w:val="center"/>
          </w:tcPr>
          <w:p>
            <w:pPr>
              <w:pStyle w:val="61"/>
              <w:spacing w:line="240" w:lineRule="auto"/>
              <w:ind w:firstLine="0" w:firstLineChars="0"/>
              <w:jc w:val="center"/>
              <w:rPr>
                <w:rFonts w:cs="Times New Roman"/>
                <w:color w:val="auto"/>
                <w:kern w:val="0"/>
                <w:sz w:val="21"/>
                <w:szCs w:val="21"/>
              </w:rPr>
            </w:pPr>
          </w:p>
        </w:tc>
        <w:tc>
          <w:tcPr>
            <w:tcW w:w="715"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其他</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150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150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200</w:t>
            </w:r>
          </w:p>
        </w:tc>
        <w:tc>
          <w:tcPr>
            <w:tcW w:w="662" w:type="pct"/>
            <w:tcBorders>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vMerge w:val="restar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6</w:t>
            </w:r>
          </w:p>
        </w:tc>
        <w:tc>
          <w:tcPr>
            <w:tcW w:w="468" w:type="pct"/>
            <w:vMerge w:val="restar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铜</w:t>
            </w:r>
          </w:p>
        </w:tc>
        <w:tc>
          <w:tcPr>
            <w:tcW w:w="715"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园田</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150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150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200</w:t>
            </w:r>
          </w:p>
        </w:tc>
        <w:tc>
          <w:tcPr>
            <w:tcW w:w="662" w:type="pct"/>
            <w:tcBorders>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vMerge w:val="continue"/>
            <w:tcBorders>
              <w:tl2br w:val="nil"/>
              <w:tr2bl w:val="nil"/>
            </w:tcBorders>
            <w:vAlign w:val="center"/>
          </w:tcPr>
          <w:p>
            <w:pPr>
              <w:pStyle w:val="61"/>
              <w:spacing w:line="240" w:lineRule="auto"/>
              <w:ind w:firstLine="0" w:firstLineChars="0"/>
              <w:jc w:val="center"/>
              <w:rPr>
                <w:rFonts w:cs="Times New Roman"/>
                <w:color w:val="auto"/>
                <w:kern w:val="0"/>
                <w:sz w:val="21"/>
                <w:szCs w:val="21"/>
              </w:rPr>
            </w:pPr>
          </w:p>
        </w:tc>
        <w:tc>
          <w:tcPr>
            <w:tcW w:w="468" w:type="pct"/>
            <w:vMerge w:val="continue"/>
            <w:tcBorders>
              <w:tl2br w:val="nil"/>
              <w:tr2bl w:val="nil"/>
            </w:tcBorders>
            <w:vAlign w:val="center"/>
          </w:tcPr>
          <w:p>
            <w:pPr>
              <w:pStyle w:val="61"/>
              <w:spacing w:line="240" w:lineRule="auto"/>
              <w:ind w:firstLine="0" w:firstLineChars="0"/>
              <w:jc w:val="center"/>
              <w:rPr>
                <w:rFonts w:cs="Times New Roman"/>
                <w:color w:val="auto"/>
                <w:kern w:val="0"/>
                <w:sz w:val="21"/>
                <w:szCs w:val="21"/>
              </w:rPr>
            </w:pPr>
          </w:p>
        </w:tc>
        <w:tc>
          <w:tcPr>
            <w:tcW w:w="715"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其他</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50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50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100</w:t>
            </w:r>
          </w:p>
        </w:tc>
        <w:tc>
          <w:tcPr>
            <w:tcW w:w="662" w:type="pct"/>
            <w:tcBorders>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7</w:t>
            </w:r>
          </w:p>
        </w:tc>
        <w:tc>
          <w:tcPr>
            <w:tcW w:w="1183" w:type="pct"/>
            <w:gridSpan w:val="2"/>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镍</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60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70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100</w:t>
            </w:r>
          </w:p>
        </w:tc>
        <w:tc>
          <w:tcPr>
            <w:tcW w:w="662" w:type="pct"/>
            <w:tcBorders>
              <w:tl2br w:val="nil"/>
              <w:tr2bl w:val="nil"/>
            </w:tcBorders>
            <w:vAlign w:val="center"/>
          </w:tcPr>
          <w:p>
            <w:pPr>
              <w:pStyle w:val="61"/>
              <w:spacing w:line="240" w:lineRule="auto"/>
              <w:ind w:firstLine="0" w:firstLineChars="0"/>
              <w:jc w:val="center"/>
              <w:rPr>
                <w:rFonts w:cs="Times New Roman"/>
                <w:color w:val="auto"/>
              </w:rPr>
            </w:pPr>
            <w:r>
              <w:rPr>
                <w:rFonts w:cs="Times New Roman"/>
                <w:color w:val="auto"/>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8</w:t>
            </w:r>
          </w:p>
        </w:tc>
        <w:tc>
          <w:tcPr>
            <w:tcW w:w="1183" w:type="pct"/>
            <w:gridSpan w:val="2"/>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锌</w:t>
            </w:r>
          </w:p>
        </w:tc>
        <w:tc>
          <w:tcPr>
            <w:tcW w:w="657"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200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200</w:t>
            </w:r>
          </w:p>
        </w:tc>
        <w:tc>
          <w:tcPr>
            <w:tcW w:w="10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250</w:t>
            </w:r>
          </w:p>
        </w:tc>
        <w:tc>
          <w:tcPr>
            <w:tcW w:w="66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9</w:t>
            </w:r>
          </w:p>
        </w:tc>
        <w:tc>
          <w:tcPr>
            <w:tcW w:w="1183" w:type="pct"/>
            <w:gridSpan w:val="2"/>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六六六总量</w:t>
            </w:r>
          </w:p>
        </w:tc>
        <w:tc>
          <w:tcPr>
            <w:tcW w:w="3384" w:type="pct"/>
            <w:gridSpan w:val="4"/>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10</w:t>
            </w:r>
          </w:p>
        </w:tc>
        <w:tc>
          <w:tcPr>
            <w:tcW w:w="1183" w:type="pct"/>
            <w:gridSpan w:val="2"/>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滴滴涕总量</w:t>
            </w:r>
          </w:p>
        </w:tc>
        <w:tc>
          <w:tcPr>
            <w:tcW w:w="3384" w:type="pct"/>
            <w:gridSpan w:val="4"/>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11</w:t>
            </w:r>
          </w:p>
        </w:tc>
        <w:tc>
          <w:tcPr>
            <w:tcW w:w="1183" w:type="pct"/>
            <w:gridSpan w:val="2"/>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苯并[a]芘</w:t>
            </w:r>
          </w:p>
        </w:tc>
        <w:tc>
          <w:tcPr>
            <w:tcW w:w="3384" w:type="pct"/>
            <w:gridSpan w:val="4"/>
            <w:tcBorders>
              <w:tl2br w:val="nil"/>
              <w:tr2bl w:val="nil"/>
            </w:tcBorders>
            <w:vAlign w:val="center"/>
          </w:tcPr>
          <w:p>
            <w:pPr>
              <w:pStyle w:val="61"/>
              <w:spacing w:line="240" w:lineRule="auto"/>
              <w:ind w:firstLine="0" w:firstLineChars="0"/>
              <w:jc w:val="center"/>
              <w:rPr>
                <w:rFonts w:cs="Times New Roman"/>
                <w:color w:val="auto"/>
                <w:kern w:val="0"/>
                <w:sz w:val="21"/>
                <w:szCs w:val="21"/>
              </w:rPr>
            </w:pPr>
            <w:r>
              <w:rPr>
                <w:rFonts w:cs="Times New Roman"/>
                <w:color w:val="auto"/>
                <w:kern w:val="0"/>
                <w:sz w:val="21"/>
                <w:szCs w:val="21"/>
              </w:rPr>
              <w:t>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l2br w:val="nil"/>
              <w:tr2bl w:val="nil"/>
            </w:tcBorders>
            <w:vAlign w:val="center"/>
          </w:tcPr>
          <w:p>
            <w:pPr>
              <w:pStyle w:val="61"/>
              <w:spacing w:line="240" w:lineRule="auto"/>
              <w:ind w:firstLine="0" w:firstLineChars="0"/>
              <w:jc w:val="left"/>
              <w:rPr>
                <w:rFonts w:cs="Times New Roman"/>
                <w:color w:val="auto"/>
                <w:kern w:val="0"/>
                <w:sz w:val="21"/>
                <w:szCs w:val="21"/>
              </w:rPr>
            </w:pPr>
            <w:r>
              <w:rPr>
                <w:rFonts w:cs="Times New Roman"/>
                <w:color w:val="auto"/>
                <w:kern w:val="0"/>
                <w:sz w:val="21"/>
                <w:szCs w:val="21"/>
              </w:rPr>
              <w:t>注：①重金属和类金属砷均按元素总量计。</w:t>
            </w:r>
          </w:p>
          <w:p>
            <w:pPr>
              <w:pStyle w:val="61"/>
              <w:spacing w:line="240" w:lineRule="auto"/>
              <w:ind w:firstLine="0" w:firstLineChars="0"/>
              <w:jc w:val="left"/>
              <w:rPr>
                <w:rFonts w:cs="Times New Roman"/>
                <w:color w:val="auto"/>
                <w:kern w:val="0"/>
                <w:sz w:val="21"/>
                <w:szCs w:val="21"/>
              </w:rPr>
            </w:pPr>
            <w:r>
              <w:rPr>
                <w:rFonts w:cs="Times New Roman"/>
                <w:color w:val="auto"/>
                <w:kern w:val="0"/>
                <w:sz w:val="21"/>
                <w:szCs w:val="21"/>
              </w:rPr>
              <w:t>②对于水旱轮作地，采用其中较严格的风险筛选值。</w:t>
            </w:r>
          </w:p>
        </w:tc>
      </w:tr>
    </w:tbl>
    <w:p>
      <w:pPr>
        <w:pStyle w:val="4"/>
        <w:numPr>
          <w:ilvl w:val="2"/>
          <w:numId w:val="0"/>
        </w:numPr>
        <w:adjustRightInd w:val="0"/>
        <w:snapToGrid w:val="0"/>
        <w:ind w:firstLine="480" w:firstLineChars="200"/>
        <w:rPr>
          <w:rFonts w:cs="Times New Roman"/>
          <w:color w:val="auto"/>
        </w:rPr>
      </w:pPr>
      <w:r>
        <w:rPr>
          <w:rFonts w:cs="Times New Roman"/>
          <w:color w:val="auto"/>
        </w:rPr>
        <w:t>2.6.3污染物排放标准</w:t>
      </w:r>
    </w:p>
    <w:p>
      <w:pPr>
        <w:snapToGrid w:val="0"/>
        <w:ind w:firstLine="480"/>
        <w:rPr>
          <w:rFonts w:cs="Times New Roman"/>
          <w:color w:val="auto"/>
        </w:rPr>
      </w:pPr>
      <w:r>
        <w:rPr>
          <w:rFonts w:cs="Times New Roman"/>
          <w:color w:val="auto"/>
        </w:rPr>
        <w:t>本项目外环境影响主要在施工期，运营期无污染物产生。</w:t>
      </w:r>
    </w:p>
    <w:p>
      <w:pPr>
        <w:snapToGrid w:val="0"/>
        <w:ind w:firstLine="480"/>
        <w:rPr>
          <w:rFonts w:cs="Times New Roman"/>
          <w:color w:val="auto"/>
        </w:rPr>
      </w:pPr>
      <w:r>
        <w:rPr>
          <w:rFonts w:cs="Times New Roman"/>
          <w:color w:val="auto"/>
        </w:rPr>
        <w:t>（1）施工扬尘</w:t>
      </w:r>
    </w:p>
    <w:p>
      <w:pPr>
        <w:adjustRightInd w:val="0"/>
        <w:snapToGrid w:val="0"/>
        <w:ind w:firstLine="480"/>
        <w:rPr>
          <w:rFonts w:cs="Times New Roman"/>
          <w:color w:val="auto"/>
          <w:kern w:val="0"/>
        </w:rPr>
      </w:pPr>
      <w:r>
        <w:rPr>
          <w:rFonts w:cs="Times New Roman"/>
          <w:color w:val="auto"/>
          <w:kern w:val="0"/>
        </w:rPr>
        <w:t>施工期作业产生的扬尘执行陕西省《施工场界扬尘排放限值》（DB61/1078-2017）</w:t>
      </w:r>
      <w:r>
        <w:rPr>
          <w:rFonts w:hint="eastAsia"/>
          <w:color w:val="auto"/>
        </w:rPr>
        <w:t>要求。</w:t>
      </w:r>
      <w:r>
        <w:rPr>
          <w:rFonts w:cs="Times New Roman"/>
          <w:color w:val="auto"/>
          <w:kern w:val="0"/>
        </w:rPr>
        <w:t>见表2.6-6</w:t>
      </w:r>
      <w:r>
        <w:rPr>
          <w:rFonts w:hint="eastAsia" w:cs="Times New Roman"/>
          <w:color w:val="auto"/>
          <w:kern w:val="0"/>
        </w:rPr>
        <w:t>、2</w:t>
      </w:r>
      <w:r>
        <w:rPr>
          <w:rFonts w:cs="Times New Roman"/>
          <w:color w:val="auto"/>
          <w:kern w:val="0"/>
        </w:rPr>
        <w:t>.6</w:t>
      </w:r>
      <w:r>
        <w:rPr>
          <w:rFonts w:hint="eastAsia" w:cs="Times New Roman"/>
          <w:color w:val="auto"/>
          <w:kern w:val="0"/>
        </w:rPr>
        <w:t>-</w:t>
      </w:r>
      <w:r>
        <w:rPr>
          <w:rFonts w:cs="Times New Roman"/>
          <w:color w:val="auto"/>
          <w:kern w:val="0"/>
        </w:rPr>
        <w:t>7。</w:t>
      </w:r>
    </w:p>
    <w:p>
      <w:pPr>
        <w:adjustRightInd w:val="0"/>
        <w:snapToGrid w:val="0"/>
        <w:spacing w:line="400" w:lineRule="exact"/>
        <w:ind w:firstLine="0" w:firstLineChars="0"/>
        <w:jc w:val="center"/>
        <w:rPr>
          <w:rFonts w:cs="Times New Roman"/>
          <w:b/>
          <w:color w:val="auto"/>
        </w:rPr>
      </w:pPr>
      <w:r>
        <w:rPr>
          <w:rFonts w:cs="Times New Roman"/>
          <w:b/>
          <w:color w:val="auto"/>
        </w:rPr>
        <w:t>表2.6-6  施工场界扬尘排放限值</w:t>
      </w:r>
    </w:p>
    <w:tbl>
      <w:tblPr>
        <w:tblStyle w:val="42"/>
        <w:tblW w:w="493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928"/>
        <w:gridCol w:w="2284"/>
        <w:gridCol w:w="1304"/>
        <w:gridCol w:w="1307"/>
        <w:gridCol w:w="20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2" w:hRule="exact"/>
          <w:jc w:val="center"/>
        </w:trPr>
        <w:tc>
          <w:tcPr>
            <w:tcW w:w="1084" w:type="pct"/>
            <w:vMerge w:val="restart"/>
            <w:tcBorders>
              <w:bottom w:val="single" w:color="auto" w:sz="2" w:space="0"/>
              <w:right w:val="single" w:color="auto" w:sz="2" w:space="0"/>
            </w:tcBorders>
            <w:vAlign w:val="center"/>
          </w:tcPr>
          <w:p>
            <w:pPr>
              <w:spacing w:line="280" w:lineRule="exact"/>
              <w:ind w:firstLine="0" w:firstLineChars="0"/>
              <w:jc w:val="center"/>
              <w:rPr>
                <w:rFonts w:cs="Times New Roman"/>
                <w:b/>
                <w:color w:val="auto"/>
                <w:sz w:val="21"/>
                <w:szCs w:val="21"/>
              </w:rPr>
            </w:pPr>
            <w:r>
              <w:rPr>
                <w:rFonts w:cs="Times New Roman"/>
                <w:b/>
                <w:bCs/>
                <w:color w:val="auto"/>
                <w:kern w:val="0"/>
                <w:sz w:val="21"/>
                <w:szCs w:val="21"/>
              </w:rPr>
              <w:t>污染物</w:t>
            </w:r>
          </w:p>
        </w:tc>
        <w:tc>
          <w:tcPr>
            <w:tcW w:w="1284" w:type="pct"/>
            <w:vMerge w:val="restart"/>
            <w:tcBorders>
              <w:left w:val="single" w:color="auto" w:sz="2" w:space="0"/>
              <w:bottom w:val="single" w:color="auto" w:sz="2" w:space="0"/>
              <w:right w:val="single" w:color="auto" w:sz="2" w:space="0"/>
            </w:tcBorders>
            <w:vAlign w:val="center"/>
          </w:tcPr>
          <w:p>
            <w:pPr>
              <w:spacing w:line="280" w:lineRule="exact"/>
              <w:ind w:firstLine="0" w:firstLineChars="0"/>
              <w:jc w:val="center"/>
              <w:rPr>
                <w:rFonts w:cs="Times New Roman"/>
                <w:b/>
                <w:color w:val="auto"/>
                <w:sz w:val="21"/>
                <w:szCs w:val="21"/>
              </w:rPr>
            </w:pPr>
            <w:r>
              <w:rPr>
                <w:rFonts w:cs="Times New Roman"/>
                <w:b/>
                <w:color w:val="auto"/>
                <w:sz w:val="21"/>
                <w:szCs w:val="21"/>
              </w:rPr>
              <w:t>施工阶段</w:t>
            </w:r>
          </w:p>
        </w:tc>
        <w:tc>
          <w:tcPr>
            <w:tcW w:w="2632" w:type="pct"/>
            <w:gridSpan w:val="3"/>
            <w:tcBorders>
              <w:left w:val="single" w:color="auto" w:sz="2" w:space="0"/>
              <w:bottom w:val="single" w:color="auto" w:sz="2" w:space="0"/>
            </w:tcBorders>
            <w:vAlign w:val="center"/>
          </w:tcPr>
          <w:p>
            <w:pPr>
              <w:spacing w:line="280" w:lineRule="exact"/>
              <w:ind w:firstLine="0" w:firstLineChars="0"/>
              <w:jc w:val="center"/>
              <w:rPr>
                <w:rFonts w:cs="Times New Roman"/>
                <w:b/>
                <w:color w:val="auto"/>
                <w:sz w:val="21"/>
                <w:szCs w:val="21"/>
              </w:rPr>
            </w:pPr>
            <w:r>
              <w:rPr>
                <w:rFonts w:cs="Times New Roman"/>
                <w:b/>
                <w:color w:val="auto"/>
                <w:sz w:val="21"/>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2" w:hRule="exact"/>
          <w:jc w:val="center"/>
        </w:trPr>
        <w:tc>
          <w:tcPr>
            <w:tcW w:w="1084" w:type="pct"/>
            <w:vMerge w:val="continue"/>
            <w:tcBorders>
              <w:top w:val="single" w:color="auto" w:sz="2" w:space="0"/>
              <w:bottom w:val="single" w:color="auto" w:sz="12" w:space="0"/>
              <w:right w:val="single" w:color="auto" w:sz="2" w:space="0"/>
            </w:tcBorders>
            <w:vAlign w:val="center"/>
          </w:tcPr>
          <w:p>
            <w:pPr>
              <w:spacing w:line="280" w:lineRule="exact"/>
              <w:ind w:firstLine="0" w:firstLineChars="0"/>
              <w:jc w:val="center"/>
              <w:rPr>
                <w:rFonts w:cs="Times New Roman"/>
                <w:b/>
                <w:color w:val="auto"/>
                <w:sz w:val="21"/>
                <w:szCs w:val="21"/>
              </w:rPr>
            </w:pPr>
          </w:p>
        </w:tc>
        <w:tc>
          <w:tcPr>
            <w:tcW w:w="1284" w:type="pct"/>
            <w:vMerge w:val="continue"/>
            <w:tcBorders>
              <w:top w:val="single" w:color="auto" w:sz="2" w:space="0"/>
              <w:left w:val="single" w:color="auto" w:sz="2" w:space="0"/>
              <w:bottom w:val="single" w:color="auto" w:sz="12" w:space="0"/>
              <w:right w:val="single" w:color="auto" w:sz="2" w:space="0"/>
            </w:tcBorders>
            <w:vAlign w:val="center"/>
          </w:tcPr>
          <w:p>
            <w:pPr>
              <w:spacing w:line="280" w:lineRule="exact"/>
              <w:ind w:firstLine="0" w:firstLineChars="0"/>
              <w:jc w:val="center"/>
              <w:rPr>
                <w:rFonts w:cs="Times New Roman"/>
                <w:b/>
                <w:color w:val="auto"/>
                <w:sz w:val="21"/>
                <w:szCs w:val="21"/>
              </w:rPr>
            </w:pPr>
          </w:p>
        </w:tc>
        <w:tc>
          <w:tcPr>
            <w:tcW w:w="733" w:type="pct"/>
            <w:tcBorders>
              <w:top w:val="single" w:color="auto" w:sz="2" w:space="0"/>
              <w:left w:val="single" w:color="auto" w:sz="2" w:space="0"/>
              <w:bottom w:val="single" w:color="auto" w:sz="12" w:space="0"/>
              <w:right w:val="single" w:color="auto" w:sz="2" w:space="0"/>
            </w:tcBorders>
            <w:vAlign w:val="center"/>
          </w:tcPr>
          <w:p>
            <w:pPr>
              <w:spacing w:line="280" w:lineRule="exact"/>
              <w:ind w:firstLine="0" w:firstLineChars="0"/>
              <w:jc w:val="center"/>
              <w:rPr>
                <w:rFonts w:cs="Times New Roman"/>
                <w:b/>
                <w:color w:val="auto"/>
                <w:sz w:val="21"/>
                <w:szCs w:val="21"/>
              </w:rPr>
            </w:pPr>
            <w:r>
              <w:rPr>
                <w:rFonts w:cs="Times New Roman"/>
                <w:b/>
                <w:color w:val="auto"/>
                <w:sz w:val="21"/>
                <w:szCs w:val="21"/>
              </w:rPr>
              <w:t>单位</w:t>
            </w:r>
          </w:p>
        </w:tc>
        <w:tc>
          <w:tcPr>
            <w:tcW w:w="1899" w:type="pct"/>
            <w:gridSpan w:val="2"/>
            <w:tcBorders>
              <w:top w:val="single" w:color="auto" w:sz="2" w:space="0"/>
              <w:left w:val="single" w:color="auto" w:sz="2" w:space="0"/>
              <w:bottom w:val="single" w:color="auto" w:sz="12" w:space="0"/>
            </w:tcBorders>
            <w:vAlign w:val="center"/>
          </w:tcPr>
          <w:p>
            <w:pPr>
              <w:spacing w:line="280" w:lineRule="exact"/>
              <w:ind w:firstLine="0" w:firstLineChars="0"/>
              <w:jc w:val="center"/>
              <w:rPr>
                <w:rFonts w:cs="Times New Roman"/>
                <w:b/>
                <w:color w:val="auto"/>
                <w:sz w:val="21"/>
                <w:szCs w:val="21"/>
              </w:rPr>
            </w:pPr>
            <w:r>
              <w:rPr>
                <w:rFonts w:cs="Times New Roman"/>
                <w:b/>
                <w:color w:val="auto"/>
                <w:sz w:val="21"/>
                <w:szCs w:val="21"/>
              </w:rPr>
              <w:t>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2" w:hRule="exact"/>
          <w:jc w:val="center"/>
        </w:trPr>
        <w:tc>
          <w:tcPr>
            <w:tcW w:w="1084" w:type="pct"/>
            <w:vMerge w:val="restart"/>
            <w:tcBorders>
              <w:top w:val="single" w:color="auto" w:sz="12" w:space="0"/>
            </w:tcBorders>
            <w:vAlign w:val="center"/>
          </w:tcPr>
          <w:p>
            <w:pPr>
              <w:spacing w:line="280" w:lineRule="exact"/>
              <w:ind w:firstLine="0" w:firstLineChars="0"/>
              <w:jc w:val="center"/>
              <w:rPr>
                <w:rFonts w:cs="Times New Roman"/>
                <w:b/>
                <w:color w:val="auto"/>
                <w:sz w:val="21"/>
                <w:szCs w:val="21"/>
              </w:rPr>
            </w:pPr>
            <w:r>
              <w:rPr>
                <w:rFonts w:cs="Times New Roman"/>
                <w:color w:val="auto"/>
                <w:sz w:val="21"/>
                <w:szCs w:val="21"/>
              </w:rPr>
              <w:t>施工扬尘（TSP）</w:t>
            </w:r>
          </w:p>
        </w:tc>
        <w:tc>
          <w:tcPr>
            <w:tcW w:w="1284" w:type="pct"/>
            <w:tcBorders>
              <w:top w:val="single" w:color="auto" w:sz="12" w:space="0"/>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土方及地基处理工程</w:t>
            </w:r>
          </w:p>
        </w:tc>
        <w:tc>
          <w:tcPr>
            <w:tcW w:w="733" w:type="pct"/>
            <w:tcBorders>
              <w:top w:val="single" w:color="auto" w:sz="12" w:space="0"/>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mg/m</w:t>
            </w:r>
            <w:r>
              <w:rPr>
                <w:rFonts w:cs="Times New Roman"/>
                <w:color w:val="auto"/>
                <w:sz w:val="21"/>
                <w:szCs w:val="21"/>
                <w:vertAlign w:val="superscript"/>
              </w:rPr>
              <w:t>3</w:t>
            </w:r>
          </w:p>
        </w:tc>
        <w:tc>
          <w:tcPr>
            <w:tcW w:w="735" w:type="pct"/>
            <w:tcBorders>
              <w:top w:val="single" w:color="auto" w:sz="12" w:space="0"/>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≤0.8</w:t>
            </w:r>
          </w:p>
        </w:tc>
        <w:tc>
          <w:tcPr>
            <w:tcW w:w="1164" w:type="pct"/>
            <w:vMerge w:val="restart"/>
            <w:tcBorders>
              <w:top w:val="single" w:color="auto" w:sz="12" w:space="0"/>
            </w:tcBorders>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小时平均浓度限值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2" w:hRule="exact"/>
          <w:jc w:val="center"/>
        </w:trPr>
        <w:tc>
          <w:tcPr>
            <w:tcW w:w="1084" w:type="pct"/>
            <w:vMerge w:val="continue"/>
            <w:vAlign w:val="center"/>
          </w:tcPr>
          <w:p>
            <w:pPr>
              <w:spacing w:line="280" w:lineRule="exact"/>
              <w:ind w:firstLine="0" w:firstLineChars="0"/>
              <w:jc w:val="center"/>
              <w:rPr>
                <w:rFonts w:cs="Times New Roman"/>
                <w:color w:val="auto"/>
                <w:sz w:val="21"/>
                <w:szCs w:val="21"/>
              </w:rPr>
            </w:pPr>
          </w:p>
        </w:tc>
        <w:tc>
          <w:tcPr>
            <w:tcW w:w="1284" w:type="pct"/>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基础、主体结构</w:t>
            </w:r>
          </w:p>
        </w:tc>
        <w:tc>
          <w:tcPr>
            <w:tcW w:w="733" w:type="pct"/>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mg/m</w:t>
            </w:r>
            <w:r>
              <w:rPr>
                <w:rFonts w:cs="Times New Roman"/>
                <w:color w:val="auto"/>
                <w:sz w:val="21"/>
                <w:szCs w:val="21"/>
                <w:vertAlign w:val="superscript"/>
              </w:rPr>
              <w:t>3</w:t>
            </w:r>
          </w:p>
        </w:tc>
        <w:tc>
          <w:tcPr>
            <w:tcW w:w="735" w:type="pct"/>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≤0.7</w:t>
            </w:r>
          </w:p>
        </w:tc>
        <w:tc>
          <w:tcPr>
            <w:tcW w:w="1164" w:type="pct"/>
            <w:vMerge w:val="continue"/>
            <w:vAlign w:val="center"/>
          </w:tcPr>
          <w:p>
            <w:pPr>
              <w:spacing w:line="280" w:lineRule="exact"/>
              <w:ind w:firstLine="0" w:firstLineChars="0"/>
              <w:jc w:val="center"/>
              <w:rPr>
                <w:rFonts w:cs="Times New Roman"/>
                <w:color w:val="auto"/>
                <w:sz w:val="21"/>
                <w:szCs w:val="21"/>
              </w:rPr>
            </w:pPr>
          </w:p>
        </w:tc>
      </w:tr>
    </w:tbl>
    <w:p>
      <w:pPr>
        <w:ind w:firstLine="480"/>
        <w:rPr>
          <w:rFonts w:cs="Times New Roman"/>
          <w:color w:val="auto"/>
        </w:rPr>
      </w:pPr>
      <w:r>
        <w:rPr>
          <w:rFonts w:cs="Times New Roman"/>
          <w:color w:val="auto"/>
        </w:rPr>
        <w:t>（2）施工噪声</w:t>
      </w:r>
    </w:p>
    <w:p>
      <w:pPr>
        <w:adjustRightInd w:val="0"/>
        <w:snapToGrid w:val="0"/>
        <w:spacing w:line="320" w:lineRule="exact"/>
        <w:ind w:firstLine="464"/>
        <w:rPr>
          <w:rFonts w:cs="Times New Roman"/>
          <w:color w:val="auto"/>
          <w:spacing w:val="-4"/>
        </w:rPr>
      </w:pPr>
      <w:r>
        <w:rPr>
          <w:rFonts w:cs="Times New Roman"/>
          <w:color w:val="auto"/>
          <w:spacing w:val="-4"/>
        </w:rPr>
        <w:t>施工噪声执行《建筑施工场界环境噪声排放标准》（GB12523-2011）相关标准，见表2.6-</w:t>
      </w:r>
      <w:r>
        <w:rPr>
          <w:rFonts w:hint="eastAsia" w:cs="Times New Roman"/>
          <w:color w:val="auto"/>
          <w:spacing w:val="-4"/>
          <w:lang w:val="en-US" w:eastAsia="zh-CN"/>
        </w:rPr>
        <w:t>7</w:t>
      </w:r>
      <w:r>
        <w:rPr>
          <w:rFonts w:cs="Times New Roman"/>
          <w:color w:val="auto"/>
          <w:spacing w:val="-4"/>
        </w:rPr>
        <w:t>。</w:t>
      </w:r>
    </w:p>
    <w:p>
      <w:pPr>
        <w:adjustRightInd w:val="0"/>
        <w:snapToGrid w:val="0"/>
        <w:spacing w:line="320" w:lineRule="exact"/>
        <w:ind w:firstLine="482"/>
        <w:jc w:val="center"/>
        <w:rPr>
          <w:rFonts w:cs="Times New Roman"/>
          <w:b/>
          <w:color w:val="auto"/>
        </w:rPr>
      </w:pPr>
      <w:r>
        <w:rPr>
          <w:rFonts w:cs="Times New Roman"/>
          <w:b/>
          <w:color w:val="auto"/>
        </w:rPr>
        <w:t>表2.6-</w:t>
      </w:r>
      <w:r>
        <w:rPr>
          <w:rFonts w:hint="eastAsia" w:cs="Times New Roman"/>
          <w:b/>
          <w:color w:val="auto"/>
          <w:lang w:val="en-US" w:eastAsia="zh-CN"/>
        </w:rPr>
        <w:t>7</w:t>
      </w:r>
      <w:r>
        <w:rPr>
          <w:rFonts w:cs="Times New Roman"/>
          <w:b/>
          <w:color w:val="auto"/>
        </w:rPr>
        <w:t xml:space="preserve">  施工噪声排放标准</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66"/>
        <w:gridCol w:w="946"/>
        <w:gridCol w:w="1569"/>
        <w:gridCol w:w="1263"/>
        <w:gridCol w:w="11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5" w:hRule="exact"/>
          <w:jc w:val="center"/>
        </w:trPr>
        <w:tc>
          <w:tcPr>
            <w:tcW w:w="2270" w:type="pct"/>
            <w:vMerge w:val="restart"/>
            <w:tcMar>
              <w:top w:w="0" w:type="dxa"/>
              <w:left w:w="0" w:type="dxa"/>
              <w:bottom w:w="0" w:type="dxa"/>
              <w:right w:w="0" w:type="dxa"/>
            </w:tcMar>
            <w:vAlign w:val="center"/>
          </w:tcPr>
          <w:p>
            <w:pPr>
              <w:spacing w:line="320" w:lineRule="exact"/>
              <w:ind w:firstLine="0" w:firstLineChars="0"/>
              <w:jc w:val="center"/>
              <w:rPr>
                <w:rFonts w:cs="Times New Roman"/>
                <w:b/>
                <w:color w:val="auto"/>
                <w:sz w:val="21"/>
                <w:szCs w:val="21"/>
              </w:rPr>
            </w:pPr>
            <w:r>
              <w:rPr>
                <w:rFonts w:cs="Times New Roman"/>
                <w:b/>
                <w:color w:val="auto"/>
                <w:sz w:val="21"/>
                <w:szCs w:val="21"/>
              </w:rPr>
              <w:t>标准名称</w:t>
            </w:r>
          </w:p>
        </w:tc>
        <w:tc>
          <w:tcPr>
            <w:tcW w:w="528" w:type="pct"/>
            <w:vMerge w:val="restart"/>
            <w:tcMar>
              <w:top w:w="0" w:type="dxa"/>
              <w:left w:w="0" w:type="dxa"/>
              <w:bottom w:w="0" w:type="dxa"/>
              <w:right w:w="0" w:type="dxa"/>
            </w:tcMar>
            <w:vAlign w:val="center"/>
          </w:tcPr>
          <w:p>
            <w:pPr>
              <w:spacing w:line="320" w:lineRule="exact"/>
              <w:ind w:firstLine="0" w:firstLineChars="0"/>
              <w:jc w:val="center"/>
              <w:rPr>
                <w:rFonts w:cs="Times New Roman"/>
                <w:b/>
                <w:color w:val="auto"/>
                <w:sz w:val="21"/>
                <w:szCs w:val="21"/>
              </w:rPr>
            </w:pPr>
            <w:r>
              <w:rPr>
                <w:rFonts w:cs="Times New Roman"/>
                <w:b/>
                <w:color w:val="auto"/>
                <w:sz w:val="21"/>
                <w:szCs w:val="21"/>
              </w:rPr>
              <w:t>级别</w:t>
            </w:r>
          </w:p>
        </w:tc>
        <w:tc>
          <w:tcPr>
            <w:tcW w:w="876" w:type="pct"/>
            <w:vMerge w:val="restart"/>
            <w:tcMar>
              <w:top w:w="0" w:type="dxa"/>
              <w:left w:w="0" w:type="dxa"/>
              <w:bottom w:w="0" w:type="dxa"/>
              <w:right w:w="0" w:type="dxa"/>
            </w:tcMar>
            <w:vAlign w:val="center"/>
          </w:tcPr>
          <w:p>
            <w:pPr>
              <w:spacing w:line="320" w:lineRule="exact"/>
              <w:ind w:firstLine="0" w:firstLineChars="0"/>
              <w:jc w:val="center"/>
              <w:rPr>
                <w:rFonts w:cs="Times New Roman"/>
                <w:b/>
                <w:color w:val="auto"/>
                <w:sz w:val="21"/>
                <w:szCs w:val="21"/>
              </w:rPr>
            </w:pPr>
            <w:r>
              <w:rPr>
                <w:rFonts w:cs="Times New Roman"/>
                <w:b/>
                <w:color w:val="auto"/>
                <w:sz w:val="21"/>
                <w:szCs w:val="21"/>
              </w:rPr>
              <w:t>评价因子</w:t>
            </w:r>
          </w:p>
        </w:tc>
        <w:tc>
          <w:tcPr>
            <w:tcW w:w="1324" w:type="pct"/>
            <w:gridSpan w:val="2"/>
            <w:tcMar>
              <w:top w:w="0" w:type="dxa"/>
              <w:left w:w="0" w:type="dxa"/>
              <w:bottom w:w="0" w:type="dxa"/>
              <w:right w:w="0" w:type="dxa"/>
            </w:tcMar>
            <w:vAlign w:val="center"/>
          </w:tcPr>
          <w:p>
            <w:pPr>
              <w:spacing w:line="320" w:lineRule="exact"/>
              <w:ind w:firstLine="0" w:firstLineChars="0"/>
              <w:jc w:val="center"/>
              <w:rPr>
                <w:rFonts w:cs="Times New Roman"/>
                <w:b/>
                <w:color w:val="auto"/>
                <w:sz w:val="21"/>
                <w:szCs w:val="21"/>
              </w:rPr>
            </w:pPr>
            <w:r>
              <w:rPr>
                <w:rFonts w:cs="Times New Roman"/>
                <w:b/>
                <w:color w:val="auto"/>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5" w:hRule="exact"/>
          <w:jc w:val="center"/>
        </w:trPr>
        <w:tc>
          <w:tcPr>
            <w:tcW w:w="2270" w:type="pct"/>
            <w:vMerge w:val="continue"/>
            <w:tcBorders>
              <w:bottom w:val="single" w:color="auto" w:sz="12" w:space="0"/>
            </w:tcBorders>
            <w:vAlign w:val="center"/>
          </w:tcPr>
          <w:p>
            <w:pPr>
              <w:widowControl/>
              <w:spacing w:line="320" w:lineRule="exact"/>
              <w:ind w:firstLine="0" w:firstLineChars="0"/>
              <w:jc w:val="left"/>
              <w:rPr>
                <w:rFonts w:cs="Times New Roman"/>
                <w:b/>
                <w:color w:val="auto"/>
                <w:sz w:val="21"/>
                <w:szCs w:val="21"/>
              </w:rPr>
            </w:pPr>
          </w:p>
        </w:tc>
        <w:tc>
          <w:tcPr>
            <w:tcW w:w="528" w:type="pct"/>
            <w:vMerge w:val="continue"/>
            <w:tcBorders>
              <w:bottom w:val="single" w:color="auto" w:sz="12" w:space="0"/>
            </w:tcBorders>
            <w:vAlign w:val="center"/>
          </w:tcPr>
          <w:p>
            <w:pPr>
              <w:widowControl/>
              <w:spacing w:line="320" w:lineRule="exact"/>
              <w:ind w:firstLine="0" w:firstLineChars="0"/>
              <w:jc w:val="left"/>
              <w:rPr>
                <w:rFonts w:cs="Times New Roman"/>
                <w:b/>
                <w:color w:val="auto"/>
                <w:sz w:val="21"/>
                <w:szCs w:val="21"/>
              </w:rPr>
            </w:pPr>
          </w:p>
        </w:tc>
        <w:tc>
          <w:tcPr>
            <w:tcW w:w="876" w:type="pct"/>
            <w:vMerge w:val="continue"/>
            <w:tcBorders>
              <w:bottom w:val="single" w:color="auto" w:sz="12" w:space="0"/>
            </w:tcBorders>
            <w:vAlign w:val="center"/>
          </w:tcPr>
          <w:p>
            <w:pPr>
              <w:widowControl/>
              <w:spacing w:line="320" w:lineRule="exact"/>
              <w:ind w:firstLine="0" w:firstLineChars="0"/>
              <w:jc w:val="left"/>
              <w:rPr>
                <w:rFonts w:cs="Times New Roman"/>
                <w:b/>
                <w:color w:val="auto"/>
                <w:sz w:val="21"/>
                <w:szCs w:val="21"/>
              </w:rPr>
            </w:pPr>
          </w:p>
        </w:tc>
        <w:tc>
          <w:tcPr>
            <w:tcW w:w="705" w:type="pct"/>
            <w:tcBorders>
              <w:bottom w:val="single" w:color="auto" w:sz="12" w:space="0"/>
            </w:tcBorders>
            <w:tcMar>
              <w:top w:w="0" w:type="dxa"/>
              <w:left w:w="0" w:type="dxa"/>
              <w:bottom w:w="0" w:type="dxa"/>
              <w:right w:w="0" w:type="dxa"/>
            </w:tcMar>
            <w:vAlign w:val="center"/>
          </w:tcPr>
          <w:p>
            <w:pPr>
              <w:spacing w:line="320" w:lineRule="exact"/>
              <w:ind w:firstLine="0" w:firstLineChars="0"/>
              <w:jc w:val="center"/>
              <w:rPr>
                <w:rFonts w:cs="Times New Roman"/>
                <w:b/>
                <w:color w:val="auto"/>
                <w:sz w:val="21"/>
                <w:szCs w:val="21"/>
              </w:rPr>
            </w:pPr>
            <w:r>
              <w:rPr>
                <w:rFonts w:cs="Times New Roman"/>
                <w:b/>
                <w:color w:val="auto"/>
                <w:sz w:val="21"/>
                <w:szCs w:val="21"/>
              </w:rPr>
              <w:t>昼间</w:t>
            </w:r>
          </w:p>
        </w:tc>
        <w:tc>
          <w:tcPr>
            <w:tcW w:w="619" w:type="pct"/>
            <w:tcBorders>
              <w:bottom w:val="single" w:color="auto" w:sz="12" w:space="0"/>
            </w:tcBorders>
            <w:tcMar>
              <w:top w:w="0" w:type="dxa"/>
              <w:left w:w="0" w:type="dxa"/>
              <w:bottom w:w="0" w:type="dxa"/>
              <w:right w:w="0" w:type="dxa"/>
            </w:tcMar>
            <w:vAlign w:val="center"/>
          </w:tcPr>
          <w:p>
            <w:pPr>
              <w:spacing w:line="320" w:lineRule="exact"/>
              <w:ind w:firstLine="0" w:firstLineChars="0"/>
              <w:jc w:val="center"/>
              <w:rPr>
                <w:rFonts w:cs="Times New Roman"/>
                <w:b/>
                <w:color w:val="auto"/>
                <w:sz w:val="21"/>
                <w:szCs w:val="21"/>
              </w:rPr>
            </w:pPr>
            <w:r>
              <w:rPr>
                <w:rFonts w:cs="Times New Roman"/>
                <w:b/>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4" w:hRule="exact"/>
          <w:jc w:val="center"/>
        </w:trPr>
        <w:tc>
          <w:tcPr>
            <w:tcW w:w="2270" w:type="pct"/>
            <w:tcBorders>
              <w:top w:val="single" w:color="auto" w:sz="12" w:space="0"/>
            </w:tcBorders>
            <w:vAlign w:val="center"/>
          </w:tcPr>
          <w:p>
            <w:pPr>
              <w:widowControl/>
              <w:spacing w:line="320" w:lineRule="exact"/>
              <w:ind w:firstLine="0" w:firstLineChars="0"/>
              <w:jc w:val="center"/>
              <w:rPr>
                <w:rFonts w:cs="Times New Roman"/>
                <w:color w:val="auto"/>
                <w:sz w:val="21"/>
                <w:szCs w:val="21"/>
              </w:rPr>
            </w:pPr>
            <w:r>
              <w:rPr>
                <w:rFonts w:cs="Times New Roman"/>
                <w:color w:val="auto"/>
                <w:sz w:val="21"/>
                <w:szCs w:val="21"/>
              </w:rPr>
              <w:t>《建筑施工场界环境噪声排放标准》</w:t>
            </w:r>
          </w:p>
        </w:tc>
        <w:tc>
          <w:tcPr>
            <w:tcW w:w="528" w:type="pct"/>
            <w:tcBorders>
              <w:top w:val="single" w:color="auto" w:sz="12" w:space="0"/>
            </w:tcBorders>
            <w:vAlign w:val="center"/>
          </w:tcPr>
          <w:p>
            <w:pPr>
              <w:widowControl/>
              <w:spacing w:line="320" w:lineRule="exact"/>
              <w:ind w:firstLine="0" w:firstLineChars="0"/>
              <w:jc w:val="center"/>
              <w:rPr>
                <w:rFonts w:cs="Times New Roman"/>
                <w:color w:val="auto"/>
                <w:sz w:val="21"/>
                <w:szCs w:val="21"/>
              </w:rPr>
            </w:pPr>
            <w:r>
              <w:rPr>
                <w:rFonts w:cs="Times New Roman"/>
                <w:color w:val="auto"/>
                <w:sz w:val="21"/>
                <w:szCs w:val="21"/>
              </w:rPr>
              <w:t>/</w:t>
            </w:r>
          </w:p>
        </w:tc>
        <w:tc>
          <w:tcPr>
            <w:tcW w:w="876" w:type="pct"/>
            <w:tcBorders>
              <w:top w:val="single" w:color="auto" w:sz="12" w:space="0"/>
            </w:tcBorders>
            <w:vAlign w:val="center"/>
          </w:tcPr>
          <w:p>
            <w:pPr>
              <w:widowControl/>
              <w:spacing w:line="320" w:lineRule="exact"/>
              <w:ind w:firstLine="0" w:firstLineChars="0"/>
              <w:jc w:val="center"/>
              <w:rPr>
                <w:rFonts w:cs="Times New Roman"/>
                <w:color w:val="auto"/>
                <w:sz w:val="21"/>
                <w:szCs w:val="21"/>
              </w:rPr>
            </w:pPr>
            <w:r>
              <w:rPr>
                <w:rFonts w:cs="Times New Roman"/>
                <w:color w:val="auto"/>
                <w:sz w:val="21"/>
                <w:szCs w:val="21"/>
              </w:rPr>
              <w:t>等效声级L</w:t>
            </w:r>
            <w:r>
              <w:rPr>
                <w:rFonts w:cs="Times New Roman"/>
                <w:color w:val="auto"/>
                <w:sz w:val="21"/>
                <w:szCs w:val="21"/>
                <w:vertAlign w:val="subscript"/>
              </w:rPr>
              <w:t>eq</w:t>
            </w:r>
          </w:p>
        </w:tc>
        <w:tc>
          <w:tcPr>
            <w:tcW w:w="705" w:type="pct"/>
            <w:tcBorders>
              <w:top w:val="single" w:color="auto" w:sz="12" w:space="0"/>
            </w:tcBorders>
            <w:tcMar>
              <w:top w:w="0" w:type="dxa"/>
              <w:left w:w="0" w:type="dxa"/>
              <w:bottom w:w="0" w:type="dxa"/>
              <w:right w:w="0" w:type="dxa"/>
            </w:tcMar>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70</w:t>
            </w:r>
          </w:p>
        </w:tc>
        <w:tc>
          <w:tcPr>
            <w:tcW w:w="619" w:type="pct"/>
            <w:tcBorders>
              <w:top w:val="single" w:color="auto" w:sz="12" w:space="0"/>
            </w:tcBorders>
            <w:tcMar>
              <w:top w:w="0" w:type="dxa"/>
              <w:left w:w="0" w:type="dxa"/>
              <w:bottom w:w="0" w:type="dxa"/>
              <w:right w:w="0" w:type="dxa"/>
            </w:tcMar>
            <w:vAlign w:val="center"/>
          </w:tcPr>
          <w:p>
            <w:pPr>
              <w:spacing w:line="320" w:lineRule="exact"/>
              <w:ind w:firstLine="0" w:firstLineChars="0"/>
              <w:jc w:val="center"/>
              <w:rPr>
                <w:rFonts w:cs="Times New Roman"/>
                <w:color w:val="auto"/>
                <w:sz w:val="21"/>
                <w:szCs w:val="21"/>
              </w:rPr>
            </w:pPr>
            <w:r>
              <w:rPr>
                <w:rFonts w:cs="Times New Roman"/>
                <w:color w:val="auto"/>
                <w:sz w:val="21"/>
                <w:szCs w:val="21"/>
              </w:rPr>
              <w:t>55</w:t>
            </w:r>
          </w:p>
        </w:tc>
      </w:tr>
    </w:tbl>
    <w:p>
      <w:pPr>
        <w:snapToGrid w:val="0"/>
        <w:spacing w:before="200" w:beforeLines="50"/>
        <w:ind w:firstLine="480"/>
        <w:rPr>
          <w:rFonts w:cs="Times New Roman"/>
          <w:color w:val="auto"/>
        </w:rPr>
      </w:pPr>
      <w:r>
        <w:rPr>
          <w:rFonts w:cs="Times New Roman"/>
          <w:color w:val="auto"/>
        </w:rPr>
        <w:t>（3）施工期废水</w:t>
      </w:r>
    </w:p>
    <w:p>
      <w:pPr>
        <w:snapToGrid w:val="0"/>
        <w:ind w:firstLine="480"/>
        <w:rPr>
          <w:rFonts w:cs="Times New Roman"/>
          <w:color w:val="auto"/>
        </w:rPr>
      </w:pPr>
      <w:r>
        <w:rPr>
          <w:rFonts w:cs="Times New Roman"/>
          <w:color w:val="auto"/>
        </w:rPr>
        <w:t>项目施工生产废水需设沉淀</w:t>
      </w:r>
      <w:r>
        <w:rPr>
          <w:rFonts w:hint="eastAsia" w:cs="Times New Roman"/>
          <w:color w:val="auto"/>
        </w:rPr>
        <w:t>、隔油处理后</w:t>
      </w:r>
      <w:r>
        <w:rPr>
          <w:rFonts w:cs="Times New Roman"/>
          <w:color w:val="auto"/>
        </w:rPr>
        <w:t>回用；生活污水依托</w:t>
      </w:r>
      <w:r>
        <w:rPr>
          <w:rFonts w:hint="eastAsia" w:cs="Times New Roman"/>
          <w:color w:val="auto"/>
        </w:rPr>
        <w:t>租用民房</w:t>
      </w:r>
      <w:r>
        <w:rPr>
          <w:rFonts w:cs="Times New Roman"/>
          <w:color w:val="auto"/>
        </w:rPr>
        <w:t>内现有的化粪池收集处理，定期清运作为农田农肥施用，不外排。</w:t>
      </w:r>
    </w:p>
    <w:p>
      <w:pPr>
        <w:snapToGrid w:val="0"/>
        <w:ind w:firstLine="480"/>
        <w:rPr>
          <w:rFonts w:cs="Times New Roman"/>
          <w:color w:val="auto"/>
        </w:rPr>
      </w:pPr>
      <w:r>
        <w:rPr>
          <w:rFonts w:cs="Times New Roman"/>
          <w:color w:val="auto"/>
        </w:rPr>
        <w:t>（4）施工期固废</w:t>
      </w:r>
    </w:p>
    <w:p>
      <w:pPr>
        <w:snapToGrid w:val="0"/>
        <w:ind w:firstLine="480"/>
        <w:rPr>
          <w:rFonts w:cs="Times New Roman"/>
          <w:color w:val="auto"/>
        </w:rPr>
      </w:pPr>
      <w:r>
        <w:rPr>
          <w:rFonts w:cs="Times New Roman"/>
          <w:color w:val="auto"/>
        </w:rPr>
        <w:t>项目施工期工业固体废物处置执行《一般工业固体废物贮存和填埋污染控制标准》</w:t>
      </w:r>
      <w:r>
        <w:rPr>
          <w:rFonts w:hint="eastAsia" w:cs="Times New Roman"/>
          <w:color w:val="auto"/>
        </w:rPr>
        <w:t>（</w:t>
      </w:r>
      <w:r>
        <w:rPr>
          <w:rFonts w:cs="Times New Roman"/>
          <w:color w:val="auto"/>
        </w:rPr>
        <w:t>GB18599-2020</w:t>
      </w:r>
      <w:r>
        <w:rPr>
          <w:rFonts w:hint="eastAsia" w:cs="Times New Roman"/>
          <w:color w:val="auto"/>
        </w:rPr>
        <w:t>）</w:t>
      </w:r>
      <w:r>
        <w:rPr>
          <w:rFonts w:cs="Times New Roman"/>
          <w:color w:val="auto"/>
        </w:rPr>
        <w:t>。</w:t>
      </w:r>
    </w:p>
    <w:p>
      <w:pPr>
        <w:ind w:firstLine="480"/>
        <w:rPr>
          <w:rFonts w:cs="Times New Roman"/>
          <w:color w:val="auto"/>
        </w:rPr>
      </w:pPr>
    </w:p>
    <w:p>
      <w:pPr>
        <w:ind w:firstLine="480"/>
        <w:rPr>
          <w:rFonts w:cs="Times New Roman"/>
          <w:color w:val="auto"/>
        </w:rPr>
      </w:pPr>
      <w:r>
        <w:rPr>
          <w:rFonts w:cs="Times New Roman"/>
          <w:color w:val="auto"/>
        </w:rPr>
        <w:br w:type="page"/>
      </w:r>
    </w:p>
    <w:p>
      <w:pPr>
        <w:pStyle w:val="2"/>
        <w:numPr>
          <w:ilvl w:val="0"/>
          <w:numId w:val="0"/>
        </w:numPr>
        <w:ind w:left="432"/>
        <w:rPr>
          <w:rFonts w:cs="Times New Roman"/>
          <w:b w:val="0"/>
          <w:color w:val="auto"/>
        </w:rPr>
      </w:pPr>
      <w:bookmarkStart w:id="29" w:name="_Toc142388367"/>
      <w:bookmarkStart w:id="30" w:name="_Toc120"/>
      <w:r>
        <w:rPr>
          <w:rFonts w:cs="Times New Roman"/>
          <w:b w:val="0"/>
          <w:color w:val="auto"/>
        </w:rPr>
        <w:t>3工程概况与工程分析</w:t>
      </w:r>
      <w:bookmarkEnd w:id="29"/>
    </w:p>
    <w:p>
      <w:pPr>
        <w:keepNext/>
        <w:keepLines/>
        <w:pageBreakBefore w:val="0"/>
        <w:widowControl w:val="0"/>
        <w:kinsoku/>
        <w:wordWrap/>
        <w:overflowPunct/>
        <w:topLinePunct w:val="0"/>
        <w:autoSpaceDE/>
        <w:autoSpaceDN/>
        <w:bidi w:val="0"/>
        <w:adjustRightInd w:val="0"/>
        <w:snapToGrid w:val="0"/>
        <w:ind w:left="0" w:leftChars="0" w:firstLine="560" w:firstLineChars="200"/>
        <w:textAlignment w:val="auto"/>
        <w:outlineLvl w:val="1"/>
        <w:rPr>
          <w:rFonts w:eastAsia="黑体" w:cs="Times New Roman"/>
          <w:color w:val="auto"/>
          <w:sz w:val="28"/>
        </w:rPr>
      </w:pPr>
      <w:bookmarkStart w:id="31" w:name="_Toc142388368"/>
      <w:r>
        <w:rPr>
          <w:rFonts w:eastAsia="黑体" w:cs="Times New Roman"/>
          <w:color w:val="auto"/>
          <w:sz w:val="28"/>
        </w:rPr>
        <w:t>3.1</w:t>
      </w:r>
      <w:bookmarkEnd w:id="31"/>
      <w:r>
        <w:rPr>
          <w:rFonts w:eastAsia="黑体" w:cs="Times New Roman"/>
          <w:color w:val="auto"/>
          <w:sz w:val="28"/>
        </w:rPr>
        <w:t>项目区域现状及存在问题</w:t>
      </w:r>
    </w:p>
    <w:p>
      <w:pPr>
        <w:snapToGrid w:val="0"/>
        <w:ind w:firstLine="480"/>
        <w:rPr>
          <w:rFonts w:hint="default" w:cs="Times New Roman"/>
          <w:color w:val="auto"/>
          <w:lang w:val="en-US" w:eastAsia="zh-CN"/>
        </w:rPr>
      </w:pPr>
      <w:r>
        <w:rPr>
          <w:rFonts w:hint="eastAsia" w:cs="Times New Roman"/>
          <w:b/>
          <w:bCs/>
          <w:color w:val="auto"/>
          <w:lang w:val="en-US" w:eastAsia="zh-CN"/>
        </w:rPr>
        <w:t>1、岚河流域水功能区划及水质要</w:t>
      </w:r>
      <w:r>
        <w:rPr>
          <w:rFonts w:hint="eastAsia" w:cs="Times New Roman"/>
          <w:color w:val="auto"/>
          <w:lang w:val="en-US" w:eastAsia="zh-CN"/>
        </w:rPr>
        <w:t>求</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lang w:val="en-US" w:eastAsia="zh-CN"/>
        </w:rPr>
      </w:pPr>
      <w:r>
        <w:rPr>
          <w:rFonts w:hint="eastAsia" w:cs="Times New Roman"/>
          <w:color w:val="auto"/>
          <w:lang w:val="en-US" w:eastAsia="zh-CN"/>
        </w:rPr>
        <w:t>按照《陕西省水功能区划》和《岚皋县水资源开发利用现状分析评价》为依据，结合岚皋地理、气候自然条件的差异，以及岚河流域的水文特征，各部门水资源利用现状，近期和远景的合理发展规划，同时考虑行政区域的完整性，将岚皋县岚河流域内划分为两个功能区，分别为岚河岚皋县源头水保护区、岚河岚皋县保留区。</w:t>
      </w:r>
    </w:p>
    <w:p>
      <w:pPr>
        <w:snapToGrid w:val="0"/>
        <w:ind w:firstLine="480"/>
        <w:rPr>
          <w:rFonts w:hint="default" w:cs="Times New Roman"/>
          <w:color w:val="auto"/>
          <w:lang w:val="en-US" w:eastAsia="zh-CN"/>
        </w:rPr>
      </w:pPr>
      <w:r>
        <w:rPr>
          <w:rFonts w:hint="eastAsia" w:cs="Times New Roman"/>
          <w:b/>
          <w:bCs/>
          <w:color w:val="auto"/>
          <w:lang w:val="en-US" w:eastAsia="zh-CN"/>
        </w:rPr>
        <w:t>2、水质及水污染现状</w:t>
      </w:r>
    </w:p>
    <w:p>
      <w:pPr>
        <w:snapToGrid w:val="0"/>
        <w:ind w:firstLine="480"/>
        <w:rPr>
          <w:rFonts w:hint="eastAsia" w:cs="Times New Roman"/>
          <w:color w:val="auto"/>
          <w:lang w:val="en-US" w:eastAsia="zh-CN"/>
        </w:rPr>
      </w:pPr>
      <w:r>
        <w:rPr>
          <w:rFonts w:hint="eastAsia" w:cs="Times New Roman"/>
          <w:color w:val="auto"/>
          <w:lang w:val="en-US" w:eastAsia="zh-CN"/>
        </w:rPr>
        <w:t>根据现场踏勘和与主管部门相关负责人沟通了解，本次设计项目区域内污水排口和雨污河流排口均已得到整治，岚河沿线中主要外部污染源有三个，一个是农田面源污染，一个是农村生活污染，一个是污水站尾水直排入岚河。</w:t>
      </w:r>
    </w:p>
    <w:p>
      <w:pPr>
        <w:snapToGrid w:val="0"/>
        <w:ind w:firstLine="480"/>
        <w:rPr>
          <w:rFonts w:hint="eastAsia" w:cs="Times New Roman"/>
          <w:color w:val="auto"/>
          <w:lang w:val="en-US" w:eastAsia="zh-CN"/>
        </w:rPr>
      </w:pPr>
      <w:r>
        <w:rPr>
          <w:rFonts w:hint="eastAsia" w:cs="Times New Roman"/>
          <w:color w:val="auto"/>
          <w:lang w:val="en-US" w:eastAsia="zh-CN"/>
        </w:rPr>
        <w:t>（1）农业面源污染分析</w:t>
      </w:r>
    </w:p>
    <w:p>
      <w:pPr>
        <w:snapToGrid w:val="0"/>
        <w:ind w:firstLine="480"/>
        <w:rPr>
          <w:rFonts w:hint="eastAsia" w:cs="Times New Roman"/>
          <w:color w:val="auto"/>
          <w:lang w:val="en-US" w:eastAsia="zh-CN"/>
        </w:rPr>
      </w:pPr>
      <w:r>
        <w:rPr>
          <w:rFonts w:hint="eastAsia" w:cs="Times New Roman"/>
          <w:color w:val="auto"/>
          <w:lang w:val="en-US" w:eastAsia="zh-CN"/>
        </w:rPr>
        <w:t>参照《全国水环境容量核定技术指南》中推荐的“标准农田法”进行估算。其中，标准农田的定义为：地处平原、土地利用类型为早地、土壤类型为壤土.化肥施用量在25~35kg/(亩·年)，降雨量在400mm~800mm的农田。</w:t>
      </w:r>
    </w:p>
    <w:p>
      <w:pPr>
        <w:snapToGrid w:val="0"/>
        <w:ind w:firstLine="480"/>
        <w:rPr>
          <w:rFonts w:hint="eastAsia" w:cs="Times New Roman"/>
          <w:color w:val="auto"/>
          <w:lang w:val="en-US" w:eastAsia="zh-CN"/>
        </w:rPr>
      </w:pPr>
      <w:r>
        <w:rPr>
          <w:rFonts w:hint="eastAsia" w:cs="Times New Roman"/>
          <w:color w:val="auto"/>
          <w:lang w:val="en-US" w:eastAsia="zh-CN"/>
        </w:rPr>
        <w:t>对于非标准农田，对应的源强系数需要进行修正，按照《全国水环境容量核定技术指南》中推荐的标准农田系数修正法进行估算，修正后系数见下表。岚河流域多年平均降雨量为1000.9mm，耕地类型主要是早地，多为坡地，土壤类型以壤士为主，化肥施用量为25~35kg/亩。综合以上地理、气候条件等因素，岚河流域的非标准农田产污修正系数取值见右表。污染物入河系数按照0.3计算，采用上述系数估算得到非标准农田产污修正系数取值如下:坡度1.1，农作物类型1.2，土壤类型1.0，化肥施用量1.0，降雨量1.2。</w:t>
      </w:r>
    </w:p>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eastAsia" w:cs="Times New Roman"/>
          <w:color w:val="auto"/>
          <w:lang w:val="en-US" w:eastAsia="zh-CN"/>
        </w:rPr>
      </w:pPr>
      <w:r>
        <w:rPr>
          <w:rFonts w:cs="Times New Roman"/>
          <w:b/>
          <w:color w:val="auto"/>
          <w:kern w:val="44"/>
        </w:rPr>
        <w:t>表3.1-1   非标准农田产污系数修正值</w:t>
      </w:r>
    </w:p>
    <w:tbl>
      <w:tblPr>
        <w:tblStyle w:val="188"/>
        <w:tblW w:w="7988" w:type="dxa"/>
        <w:tblInd w:w="181"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506"/>
        <w:gridCol w:w="1742"/>
        <w:gridCol w:w="1744"/>
        <w:gridCol w:w="1237"/>
        <w:gridCol w:w="17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主要因素</w:t>
            </w:r>
          </w:p>
        </w:tc>
        <w:tc>
          <w:tcPr>
            <w:tcW w:w="1742" w:type="dxa"/>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修正类别分类</w:t>
            </w:r>
          </w:p>
        </w:tc>
        <w:tc>
          <w:tcPr>
            <w:tcW w:w="1744" w:type="dxa"/>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断面修正类别</w:t>
            </w:r>
          </w:p>
        </w:tc>
        <w:tc>
          <w:tcPr>
            <w:tcW w:w="1237" w:type="dxa"/>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修正系数</w:t>
            </w:r>
          </w:p>
        </w:tc>
        <w:tc>
          <w:tcPr>
            <w:tcW w:w="1759" w:type="dxa"/>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断面修正系数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restart"/>
            <w:tcBorders>
              <w:top w:val="single" w:color="auto" w:sz="12" w:space="0"/>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坡度</w:t>
            </w:r>
          </w:p>
        </w:tc>
        <w:tc>
          <w:tcPr>
            <w:tcW w:w="1742" w:type="dxa"/>
            <w:tcBorders>
              <w:top w:val="single" w:color="auto" w:sz="12" w:space="0"/>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5"/>
                <w:sz w:val="21"/>
                <w:szCs w:val="21"/>
              </w:rPr>
              <w:t>＜20°</w:t>
            </w:r>
          </w:p>
        </w:tc>
        <w:tc>
          <w:tcPr>
            <w:tcW w:w="1744" w:type="dxa"/>
            <w:vMerge w:val="restart"/>
            <w:tcBorders>
              <w:top w:val="single" w:color="auto" w:sz="12" w:space="0"/>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1"/>
                <w:w w:val="121"/>
                <w:sz w:val="21"/>
                <w:szCs w:val="21"/>
              </w:rPr>
              <w:t>&gt;25°</w:t>
            </w:r>
          </w:p>
        </w:tc>
        <w:tc>
          <w:tcPr>
            <w:tcW w:w="1237"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1.0</w:t>
            </w:r>
          </w:p>
        </w:tc>
        <w:tc>
          <w:tcPr>
            <w:tcW w:w="1759" w:type="dxa"/>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742" w:type="dxa"/>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1"/>
                <w:w w:val="121"/>
                <w:sz w:val="21"/>
                <w:szCs w:val="21"/>
              </w:rPr>
              <w:t>&gt;25°</w:t>
            </w:r>
          </w:p>
        </w:tc>
        <w:tc>
          <w:tcPr>
            <w:tcW w:w="1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1.2~1.5</w:t>
            </w:r>
          </w:p>
        </w:tc>
        <w:tc>
          <w:tcPr>
            <w:tcW w:w="1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农作物类型</w:t>
            </w:r>
          </w:p>
        </w:tc>
        <w:tc>
          <w:tcPr>
            <w:tcW w:w="1742" w:type="dxa"/>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旱地</w:t>
            </w:r>
          </w:p>
        </w:tc>
        <w:tc>
          <w:tcPr>
            <w:tcW w:w="17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旱地</w:t>
            </w: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1.0</w:t>
            </w:r>
          </w:p>
        </w:tc>
        <w:tc>
          <w:tcPr>
            <w:tcW w:w="17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742" w:type="dxa"/>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水田</w:t>
            </w:r>
          </w:p>
        </w:tc>
        <w:tc>
          <w:tcPr>
            <w:tcW w:w="1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1.5</w:t>
            </w:r>
          </w:p>
        </w:tc>
        <w:tc>
          <w:tcPr>
            <w:tcW w:w="1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742" w:type="dxa"/>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其它</w:t>
            </w:r>
          </w:p>
        </w:tc>
        <w:tc>
          <w:tcPr>
            <w:tcW w:w="1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0.7</w:t>
            </w:r>
          </w:p>
        </w:tc>
        <w:tc>
          <w:tcPr>
            <w:tcW w:w="1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土壤类型</w:t>
            </w:r>
          </w:p>
        </w:tc>
        <w:tc>
          <w:tcPr>
            <w:tcW w:w="1742" w:type="dxa"/>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砂土</w:t>
            </w:r>
          </w:p>
        </w:tc>
        <w:tc>
          <w:tcPr>
            <w:tcW w:w="17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壤土</w:t>
            </w: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1.0~0.8</w:t>
            </w:r>
          </w:p>
        </w:tc>
        <w:tc>
          <w:tcPr>
            <w:tcW w:w="17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742" w:type="dxa"/>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壤土</w:t>
            </w:r>
          </w:p>
        </w:tc>
        <w:tc>
          <w:tcPr>
            <w:tcW w:w="1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1.0</w:t>
            </w:r>
          </w:p>
        </w:tc>
        <w:tc>
          <w:tcPr>
            <w:tcW w:w="1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742" w:type="dxa"/>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粘土</w:t>
            </w:r>
          </w:p>
        </w:tc>
        <w:tc>
          <w:tcPr>
            <w:tcW w:w="1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0.8~0.6</w:t>
            </w:r>
          </w:p>
        </w:tc>
        <w:tc>
          <w:tcPr>
            <w:tcW w:w="1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化肥施用量</w:t>
            </w:r>
          </w:p>
        </w:tc>
        <w:tc>
          <w:tcPr>
            <w:tcW w:w="1742" w:type="dxa"/>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＜25kg</w:t>
            </w:r>
          </w:p>
        </w:tc>
        <w:tc>
          <w:tcPr>
            <w:tcW w:w="17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25~35kg</w:t>
            </w: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0.8~1.0</w:t>
            </w:r>
          </w:p>
        </w:tc>
        <w:tc>
          <w:tcPr>
            <w:tcW w:w="17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7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25~35kg</w:t>
            </w:r>
          </w:p>
        </w:tc>
        <w:tc>
          <w:tcPr>
            <w:tcW w:w="1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1.0~1.2</w:t>
            </w:r>
          </w:p>
        </w:tc>
        <w:tc>
          <w:tcPr>
            <w:tcW w:w="1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742" w:type="dxa"/>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9"/>
                <w:sz w:val="21"/>
                <w:szCs w:val="21"/>
              </w:rPr>
              <w:t>&gt;35</w:t>
            </w:r>
            <w:r>
              <w:rPr>
                <w:rFonts w:hint="default" w:ascii="Times New Roman" w:hAnsi="Times New Roman" w:eastAsia="宋体" w:cs="Times New Roman"/>
                <w:color w:val="auto"/>
                <w:sz w:val="21"/>
                <w:szCs w:val="21"/>
              </w:rPr>
              <w:t>kg</w:t>
            </w:r>
          </w:p>
        </w:tc>
        <w:tc>
          <w:tcPr>
            <w:tcW w:w="1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1.2~1.5</w:t>
            </w:r>
          </w:p>
        </w:tc>
        <w:tc>
          <w:tcPr>
            <w:tcW w:w="1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降雨量</w:t>
            </w:r>
          </w:p>
        </w:tc>
        <w:tc>
          <w:tcPr>
            <w:tcW w:w="1742" w:type="dxa"/>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＜400mm</w:t>
            </w:r>
          </w:p>
        </w:tc>
        <w:tc>
          <w:tcPr>
            <w:tcW w:w="17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2"/>
                <w:sz w:val="21"/>
                <w:szCs w:val="21"/>
              </w:rPr>
              <w:t>&gt;800</w:t>
            </w:r>
            <w:r>
              <w:rPr>
                <w:rFonts w:hint="default" w:ascii="Times New Roman" w:hAnsi="Times New Roman" w:eastAsia="宋体" w:cs="Times New Roman"/>
                <w:color w:val="auto"/>
                <w:sz w:val="21"/>
                <w:szCs w:val="21"/>
              </w:rPr>
              <w:t>mm</w:t>
            </w: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0.6~1.0</w:t>
            </w:r>
          </w:p>
        </w:tc>
        <w:tc>
          <w:tcPr>
            <w:tcW w:w="17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7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400~800mm</w:t>
            </w:r>
          </w:p>
        </w:tc>
        <w:tc>
          <w:tcPr>
            <w:tcW w:w="1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1.0~1.2</w:t>
            </w:r>
          </w:p>
        </w:tc>
        <w:tc>
          <w:tcPr>
            <w:tcW w:w="1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742" w:type="dxa"/>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2"/>
                <w:sz w:val="21"/>
                <w:szCs w:val="21"/>
              </w:rPr>
              <w:t>&gt;800</w:t>
            </w:r>
            <w:r>
              <w:rPr>
                <w:rFonts w:hint="default" w:ascii="Times New Roman" w:hAnsi="Times New Roman" w:eastAsia="宋体" w:cs="Times New Roman"/>
                <w:color w:val="auto"/>
                <w:sz w:val="21"/>
                <w:szCs w:val="21"/>
              </w:rPr>
              <w:t>mm</w:t>
            </w:r>
          </w:p>
        </w:tc>
        <w:tc>
          <w:tcPr>
            <w:tcW w:w="1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1.2~1.5</w:t>
            </w:r>
          </w:p>
        </w:tc>
        <w:tc>
          <w:tcPr>
            <w:tcW w:w="17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r>
    </w:tbl>
    <w:p>
      <w:pPr>
        <w:snapToGrid w:val="0"/>
        <w:ind w:firstLine="480"/>
        <w:rPr>
          <w:rFonts w:hint="eastAsia" w:cs="Times New Roman"/>
          <w:color w:val="auto"/>
          <w:lang w:val="en-US" w:eastAsia="zh-CN"/>
        </w:rPr>
      </w:pPr>
      <w:r>
        <w:rPr>
          <w:rFonts w:hint="eastAsia" w:cs="Times New Roman"/>
          <w:color w:val="auto"/>
          <w:lang w:val="en-US" w:eastAsia="zh-CN"/>
        </w:rPr>
        <w:t>根据以上数据，最终确定修正系数为1.44，污染物入河系数按照0.3计算，结合项目实施区域涉及岚皋县城关镇、蔺河镇、孟石岭镇、南宫山镇、佐龙镇五个镇办，测得沿河可种植面源污染隔离带等农田面积，得到污染物排放量结果见下表。</w:t>
      </w:r>
    </w:p>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eastAsia" w:cs="Times New Roman"/>
          <w:color w:val="auto"/>
          <w:lang w:val="en-US" w:eastAsia="zh-CN"/>
        </w:rPr>
      </w:pPr>
      <w:r>
        <w:rPr>
          <w:rFonts w:cs="Times New Roman"/>
          <w:b/>
          <w:color w:val="auto"/>
          <w:kern w:val="44"/>
        </w:rPr>
        <w:t>表3.1-</w:t>
      </w:r>
      <w:r>
        <w:rPr>
          <w:rFonts w:hint="eastAsia" w:cs="Times New Roman"/>
          <w:b/>
          <w:color w:val="auto"/>
          <w:kern w:val="44"/>
          <w:lang w:val="en-US" w:eastAsia="zh-CN"/>
        </w:rPr>
        <w:t>2</w:t>
      </w:r>
      <w:r>
        <w:rPr>
          <w:rFonts w:cs="Times New Roman"/>
          <w:b/>
          <w:color w:val="auto"/>
          <w:kern w:val="44"/>
        </w:rPr>
        <w:t xml:space="preserve">    农田径流污染物排放量</w:t>
      </w:r>
    </w:p>
    <w:tbl>
      <w:tblPr>
        <w:tblStyle w:val="188"/>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298"/>
        <w:gridCol w:w="1677"/>
        <w:gridCol w:w="1831"/>
        <w:gridCol w:w="1675"/>
        <w:gridCol w:w="14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283" w:type="pct"/>
            <w:vMerge w:val="restar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b/>
                <w:bCs/>
                <w:color w:val="auto"/>
                <w:spacing w:val="22"/>
                <w:sz w:val="21"/>
                <w:szCs w:val="21"/>
              </w:rPr>
            </w:pPr>
            <w:r>
              <w:rPr>
                <w:rFonts w:hint="default" w:ascii="Times New Roman" w:hAnsi="Times New Roman" w:eastAsia="宋体" w:cs="Times New Roman"/>
                <w:b/>
                <w:bCs/>
                <w:color w:val="auto"/>
                <w:spacing w:val="22"/>
                <w:sz w:val="21"/>
                <w:szCs w:val="21"/>
              </w:rPr>
              <w:t>农田（亩）</w:t>
            </w:r>
          </w:p>
        </w:tc>
        <w:tc>
          <w:tcPr>
            <w:tcW w:w="3716" w:type="pct"/>
            <w:gridSpan w:val="4"/>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b/>
                <w:bCs/>
                <w:color w:val="auto"/>
                <w:spacing w:val="22"/>
                <w:sz w:val="21"/>
                <w:szCs w:val="21"/>
              </w:rPr>
            </w:pPr>
            <w:r>
              <w:rPr>
                <w:rFonts w:hint="default" w:ascii="Times New Roman" w:hAnsi="Times New Roman" w:eastAsia="宋体" w:cs="Times New Roman"/>
                <w:b/>
                <w:bCs/>
                <w:color w:val="auto"/>
                <w:spacing w:val="22"/>
                <w:sz w:val="21"/>
                <w:szCs w:val="21"/>
              </w:rPr>
              <w:t>污染物排放量（t/a）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283" w:type="pct"/>
            <w:vMerge w:val="continue"/>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b/>
                <w:bCs/>
                <w:color w:val="auto"/>
                <w:spacing w:val="22"/>
                <w:sz w:val="21"/>
                <w:szCs w:val="21"/>
              </w:rPr>
            </w:pPr>
          </w:p>
        </w:tc>
        <w:tc>
          <w:tcPr>
            <w:tcW w:w="93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b/>
                <w:bCs/>
                <w:color w:val="auto"/>
                <w:spacing w:val="22"/>
                <w:sz w:val="21"/>
                <w:szCs w:val="21"/>
              </w:rPr>
            </w:pPr>
            <w:r>
              <w:rPr>
                <w:rFonts w:hint="default" w:ascii="Times New Roman" w:hAnsi="Times New Roman" w:eastAsia="宋体" w:cs="Times New Roman"/>
                <w:b/>
                <w:bCs/>
                <w:color w:val="auto"/>
                <w:spacing w:val="22"/>
                <w:sz w:val="21"/>
                <w:szCs w:val="21"/>
              </w:rPr>
              <w:t>COD</w:t>
            </w:r>
          </w:p>
        </w:tc>
        <w:tc>
          <w:tcPr>
            <w:tcW w:w="1022"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b/>
                <w:bCs/>
                <w:color w:val="auto"/>
                <w:spacing w:val="22"/>
                <w:sz w:val="21"/>
                <w:szCs w:val="21"/>
              </w:rPr>
            </w:pPr>
            <w:r>
              <w:rPr>
                <w:rFonts w:hint="default" w:ascii="Times New Roman" w:hAnsi="Times New Roman" w:eastAsia="宋体" w:cs="Times New Roman"/>
                <w:b/>
                <w:bCs/>
                <w:color w:val="auto"/>
                <w:spacing w:val="22"/>
                <w:sz w:val="21"/>
                <w:szCs w:val="21"/>
              </w:rPr>
              <w:t>NH3-N</w:t>
            </w:r>
          </w:p>
        </w:tc>
        <w:tc>
          <w:tcPr>
            <w:tcW w:w="935"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b/>
                <w:bCs/>
                <w:color w:val="auto"/>
                <w:spacing w:val="22"/>
                <w:sz w:val="21"/>
                <w:szCs w:val="21"/>
              </w:rPr>
            </w:pPr>
            <w:r>
              <w:rPr>
                <w:rFonts w:hint="default" w:ascii="Times New Roman" w:hAnsi="Times New Roman" w:eastAsia="宋体" w:cs="Times New Roman"/>
                <w:b/>
                <w:bCs/>
                <w:color w:val="auto"/>
                <w:spacing w:val="22"/>
                <w:sz w:val="21"/>
                <w:szCs w:val="21"/>
              </w:rPr>
              <w:t>TP</w:t>
            </w:r>
          </w:p>
        </w:tc>
        <w:tc>
          <w:tcPr>
            <w:tcW w:w="821"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b/>
                <w:bCs/>
                <w:color w:val="auto"/>
                <w:spacing w:val="22"/>
                <w:sz w:val="21"/>
                <w:szCs w:val="21"/>
              </w:rPr>
            </w:pPr>
            <w:r>
              <w:rPr>
                <w:rFonts w:hint="default" w:ascii="Times New Roman" w:hAnsi="Times New Roman" w:eastAsia="宋体" w:cs="Times New Roman"/>
                <w:b/>
                <w:bCs/>
                <w:color w:val="auto"/>
                <w:spacing w:val="22"/>
                <w:sz w:val="21"/>
                <w:szCs w:val="21"/>
              </w:rPr>
              <w:t>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283"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22"/>
                <w:sz w:val="21"/>
                <w:szCs w:val="21"/>
              </w:rPr>
            </w:pPr>
            <w:r>
              <w:rPr>
                <w:rFonts w:hint="default" w:ascii="Times New Roman" w:hAnsi="Times New Roman" w:eastAsia="宋体" w:cs="Times New Roman"/>
                <w:color w:val="auto"/>
                <w:spacing w:val="22"/>
                <w:sz w:val="21"/>
                <w:szCs w:val="21"/>
              </w:rPr>
              <w:t>1344.34</w:t>
            </w:r>
          </w:p>
        </w:tc>
        <w:tc>
          <w:tcPr>
            <w:tcW w:w="93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22"/>
                <w:sz w:val="21"/>
                <w:szCs w:val="21"/>
              </w:rPr>
            </w:pPr>
            <w:r>
              <w:rPr>
                <w:rFonts w:hint="default" w:ascii="Times New Roman" w:hAnsi="Times New Roman" w:eastAsia="宋体" w:cs="Times New Roman"/>
                <w:color w:val="auto"/>
                <w:spacing w:val="22"/>
                <w:sz w:val="21"/>
                <w:szCs w:val="21"/>
              </w:rPr>
              <w:t>5.81</w:t>
            </w:r>
          </w:p>
        </w:tc>
        <w:tc>
          <w:tcPr>
            <w:tcW w:w="1022"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22"/>
                <w:sz w:val="21"/>
                <w:szCs w:val="21"/>
              </w:rPr>
            </w:pPr>
            <w:r>
              <w:rPr>
                <w:rFonts w:hint="default" w:ascii="Times New Roman" w:hAnsi="Times New Roman" w:eastAsia="宋体" w:cs="Times New Roman"/>
                <w:color w:val="auto"/>
                <w:spacing w:val="22"/>
                <w:sz w:val="21"/>
                <w:szCs w:val="21"/>
              </w:rPr>
              <w:t>1.16</w:t>
            </w:r>
          </w:p>
        </w:tc>
        <w:tc>
          <w:tcPr>
            <w:tcW w:w="935"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22"/>
                <w:sz w:val="21"/>
                <w:szCs w:val="21"/>
              </w:rPr>
            </w:pPr>
            <w:r>
              <w:rPr>
                <w:rFonts w:hint="default" w:ascii="Times New Roman" w:hAnsi="Times New Roman" w:eastAsia="宋体" w:cs="Times New Roman"/>
                <w:color w:val="auto"/>
                <w:spacing w:val="22"/>
                <w:sz w:val="21"/>
                <w:szCs w:val="21"/>
              </w:rPr>
              <w:t>0.07</w:t>
            </w:r>
          </w:p>
        </w:tc>
        <w:tc>
          <w:tcPr>
            <w:tcW w:w="821"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22"/>
                <w:sz w:val="21"/>
                <w:szCs w:val="21"/>
              </w:rPr>
            </w:pPr>
            <w:r>
              <w:rPr>
                <w:rFonts w:hint="default" w:ascii="Times New Roman" w:hAnsi="Times New Roman" w:eastAsia="宋体" w:cs="Times New Roman"/>
                <w:color w:val="auto"/>
                <w:spacing w:val="22"/>
                <w:sz w:val="21"/>
                <w:szCs w:val="21"/>
              </w:rPr>
              <w:t>1.34</w:t>
            </w:r>
          </w:p>
        </w:tc>
      </w:tr>
    </w:tbl>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lang w:val="en-US" w:eastAsia="zh-CN"/>
        </w:rPr>
      </w:pPr>
      <w:r>
        <w:rPr>
          <w:rFonts w:hint="eastAsia" w:cs="Times New Roman"/>
          <w:color w:val="auto"/>
          <w:lang w:val="en-US" w:eastAsia="zh-CN"/>
        </w:rPr>
        <w:t>2）污水处理站尾水污染物分析</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lang w:val="en-US" w:eastAsia="zh-CN"/>
        </w:rPr>
      </w:pPr>
      <w:r>
        <w:rPr>
          <w:rFonts w:hint="eastAsia" w:cs="Times New Roman"/>
          <w:color w:val="auto"/>
          <w:lang w:val="en-US" w:eastAsia="zh-CN"/>
        </w:rPr>
        <w:t>目前岚河沿线污水站处理后尾水直排岚河的共有19处，总设计处理规模为12525m³/d。</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lang w:val="en-US" w:eastAsia="zh-CN"/>
        </w:rPr>
      </w:pPr>
      <w:r>
        <w:rPr>
          <w:rFonts w:hint="eastAsia" w:cs="Times New Roman"/>
          <w:color w:val="auto"/>
          <w:lang w:val="en-US" w:eastAsia="zh-CN"/>
        </w:rPr>
        <w:t>其中，沿河已建成城镇污水处理厂6座，出水均执行《城镇污水处理厂污染物排放标准》（GB18918-2002）中的一级A标准，设计处理规模合计11950m³/d，实际处理水量合计8716.03m³/d，实际处理量占设计处理量的72.94%。</w:t>
      </w:r>
    </w:p>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eastAsia" w:cs="Times New Roman"/>
          <w:color w:val="auto"/>
          <w:lang w:val="en-US" w:eastAsia="zh-CN"/>
        </w:rPr>
      </w:pPr>
      <w:r>
        <w:rPr>
          <w:rFonts w:cs="Times New Roman"/>
          <w:b/>
          <w:color w:val="auto"/>
          <w:kern w:val="44"/>
        </w:rPr>
        <w:t>表3.1-</w:t>
      </w:r>
      <w:r>
        <w:rPr>
          <w:rFonts w:hint="eastAsia" w:cs="Times New Roman"/>
          <w:b/>
          <w:color w:val="auto"/>
          <w:kern w:val="44"/>
          <w:lang w:val="en-US" w:eastAsia="zh-CN"/>
        </w:rPr>
        <w:t>3</w:t>
      </w:r>
      <w:r>
        <w:rPr>
          <w:rFonts w:cs="Times New Roman"/>
          <w:b/>
          <w:color w:val="auto"/>
          <w:kern w:val="44"/>
        </w:rPr>
        <w:t xml:space="preserve">    岚河流域已建污水处理厂概况表</w:t>
      </w:r>
    </w:p>
    <w:tbl>
      <w:tblPr>
        <w:tblStyle w:val="18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64"/>
        <w:gridCol w:w="892"/>
        <w:gridCol w:w="1641"/>
        <w:gridCol w:w="1249"/>
        <w:gridCol w:w="3697"/>
        <w:gridCol w:w="9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bottom w:val="single" w:color="auto" w:sz="12" w:space="0"/>
            </w:tcBorders>
            <w:textDirection w:val="tbRlV"/>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4"/>
                <w:sz w:val="21"/>
                <w:szCs w:val="21"/>
              </w:rPr>
              <w:t>序号</w:t>
            </w:r>
          </w:p>
        </w:tc>
        <w:tc>
          <w:tcPr>
            <w:tcW w:w="498" w:type="pct"/>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镇</w:t>
            </w:r>
          </w:p>
        </w:tc>
        <w:tc>
          <w:tcPr>
            <w:tcW w:w="916" w:type="pct"/>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项目名称</w:t>
            </w:r>
          </w:p>
        </w:tc>
        <w:tc>
          <w:tcPr>
            <w:tcW w:w="697" w:type="pct"/>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设计规模</w:t>
            </w:r>
          </w:p>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mc:AlternateContent>
                <mc:Choice Requires="wps">
                  <w:drawing>
                    <wp:anchor distT="0" distB="0" distL="114300" distR="114300" simplePos="0" relativeHeight="251665408" behindDoc="0" locked="0" layoutInCell="1" allowOverlap="1">
                      <wp:simplePos x="0" y="0"/>
                      <wp:positionH relativeFrom="column">
                        <wp:posOffset>368300</wp:posOffset>
                      </wp:positionH>
                      <wp:positionV relativeFrom="paragraph">
                        <wp:posOffset>-1905</wp:posOffset>
                      </wp:positionV>
                      <wp:extent cx="72390" cy="9588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72390" cy="95885"/>
                              </a:xfrm>
                              <a:prstGeom prst="rect">
                                <a:avLst/>
                              </a:prstGeom>
                              <a:noFill/>
                              <a:ln>
                                <a:noFill/>
                              </a:ln>
                            </wps:spPr>
                            <wps:txbx>
                              <w:txbxContent>
                                <w:p>
                                  <w:pPr>
                                    <w:spacing w:before="20" w:line="110" w:lineRule="exact"/>
                                    <w:ind w:left="20"/>
                                    <w:rPr>
                                      <w:rFonts w:ascii="Times New Roman" w:hAnsi="Times New Roman" w:eastAsia="Times New Roman" w:cs="Times New Roman"/>
                                      <w:sz w:val="16"/>
                                      <w:szCs w:val="16"/>
                                    </w:rPr>
                                  </w:pPr>
                                  <w:r>
                                    <w:rPr>
                                      <w:rFonts w:ascii="Times New Roman" w:hAnsi="Times New Roman" w:eastAsia="Times New Roman" w:cs="Times New Roman"/>
                                      <w:position w:val="-2"/>
                                      <w:sz w:val="16"/>
                                      <w:szCs w:val="16"/>
                                    </w:rPr>
                                    <w:t>3</w:t>
                                  </w:r>
                                </w:p>
                              </w:txbxContent>
                            </wps:txbx>
                            <wps:bodyPr lIns="0" tIns="0" rIns="0" bIns="0" upright="1"/>
                          </wps:wsp>
                        </a:graphicData>
                      </a:graphic>
                    </wp:anchor>
                  </w:drawing>
                </mc:Choice>
                <mc:Fallback>
                  <w:pict>
                    <v:shape id="_x0000_s1026" o:spid="_x0000_s1026" o:spt="202" type="#_x0000_t202" style="position:absolute;left:0pt;margin-left:29pt;margin-top:-0.15pt;height:7.55pt;width:5.7pt;z-index:251665408;mso-width-relative:page;mso-height-relative:page;" filled="f" stroked="f" coordsize="21600,21600" o:gfxdata="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GswgF1gAAAAYBAAAPAAAAAAAAAAEAIAAAACIAAABkcnMvZG93bnJldi54bWxQSwECFAAU&#10;AAAACACHTuJARCTo77oBAABxAwAADgAAAAAAAAABACAAAAAlAQAAZHJzL2Uyb0RvYy54bWxQSwUG&#10;AAAAAAYABgBZAQAAUQUAAAAA&#10;">
                      <v:fill on="f" focussize="0,0"/>
                      <v:stroke on="f"/>
                      <v:imagedata o:title=""/>
                      <o:lock v:ext="edit" aspectratio="f"/>
                      <v:textbox inset="0mm,0mm,0mm,0mm">
                        <w:txbxContent>
                          <w:p>
                            <w:pPr>
                              <w:spacing w:before="20" w:line="110" w:lineRule="exact"/>
                              <w:ind w:left="20"/>
                              <w:rPr>
                                <w:rFonts w:ascii="Times New Roman" w:hAnsi="Times New Roman" w:eastAsia="Times New Roman" w:cs="Times New Roman"/>
                                <w:sz w:val="16"/>
                                <w:szCs w:val="16"/>
                              </w:rPr>
                            </w:pPr>
                            <w:r>
                              <w:rPr>
                                <w:rFonts w:ascii="Times New Roman" w:hAnsi="Times New Roman" w:eastAsia="Times New Roman" w:cs="Times New Roman"/>
                                <w:position w:val="-2"/>
                                <w:sz w:val="16"/>
                                <w:szCs w:val="16"/>
                              </w:rPr>
                              <w:t>3</w:t>
                            </w:r>
                          </w:p>
                        </w:txbxContent>
                      </v:textbox>
                    </v:shape>
                  </w:pict>
                </mc:Fallback>
              </mc:AlternateContent>
            </w:r>
            <w:r>
              <w:rPr>
                <w:rFonts w:hint="default" w:ascii="Times New Roman" w:hAnsi="Times New Roman" w:eastAsia="宋体" w:cs="Times New Roman"/>
                <w:color w:val="auto"/>
                <w:spacing w:val="-4"/>
                <w:sz w:val="21"/>
                <w:szCs w:val="21"/>
              </w:rPr>
              <w:t>（m</w:t>
            </w:r>
            <w:r>
              <w:rPr>
                <w:rFonts w:hint="eastAsia" w:ascii="Times New Roman" w:hAnsi="Times New Roman" w:cs="Times New Roman"/>
                <w:color w:val="auto"/>
                <w:spacing w:val="26"/>
                <w:sz w:val="21"/>
                <w:szCs w:val="21"/>
                <w:vertAlign w:val="superscript"/>
                <w:lang w:val="en-US" w:eastAsia="zh-CN"/>
              </w:rPr>
              <w:t>3</w:t>
            </w:r>
            <w:r>
              <w:rPr>
                <w:rFonts w:hint="default" w:ascii="Times New Roman" w:hAnsi="Times New Roman" w:eastAsia="宋体" w:cs="Times New Roman"/>
                <w:color w:val="auto"/>
                <w:spacing w:val="-4"/>
                <w:sz w:val="21"/>
                <w:szCs w:val="21"/>
              </w:rPr>
              <w:t>/d）</w:t>
            </w:r>
          </w:p>
        </w:tc>
        <w:tc>
          <w:tcPr>
            <w:tcW w:w="2064" w:type="pct"/>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出水排放标准</w:t>
            </w:r>
          </w:p>
        </w:tc>
        <w:tc>
          <w:tcPr>
            <w:tcW w:w="508" w:type="pct"/>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5"/>
                <w:sz w:val="21"/>
                <w:szCs w:val="21"/>
              </w:rPr>
              <w:t>出水</w:t>
            </w:r>
            <w:r>
              <w:rPr>
                <w:rFonts w:hint="default" w:ascii="Times New Roman" w:hAnsi="Times New Roman" w:eastAsia="宋体" w:cs="Times New Roman"/>
                <w:color w:val="auto"/>
                <w:spacing w:val="-5"/>
                <w:sz w:val="21"/>
                <w:szCs w:val="21"/>
              </w:rPr>
              <w:t>排放</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5"/>
                <w:sz w:val="21"/>
                <w:szCs w:val="21"/>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98" w:type="pct"/>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南宫</w:t>
            </w:r>
            <w:r>
              <w:rPr>
                <w:rFonts w:hint="default" w:ascii="Times New Roman" w:hAnsi="Times New Roman" w:eastAsia="宋体" w:cs="Times New Roman"/>
                <w:color w:val="auto"/>
                <w:spacing w:val="-16"/>
                <w:sz w:val="21"/>
                <w:szCs w:val="21"/>
              </w:rPr>
              <w:t>山镇</w:t>
            </w:r>
          </w:p>
        </w:tc>
        <w:tc>
          <w:tcPr>
            <w:tcW w:w="916" w:type="pct"/>
            <w:tcBorders>
              <w:top w:val="single" w:color="auto" w:sz="12" w:space="0"/>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集镇污水</w:t>
            </w:r>
            <w:r>
              <w:rPr>
                <w:rFonts w:hint="default" w:ascii="Times New Roman" w:hAnsi="Times New Roman" w:eastAsia="宋体" w:cs="Times New Roman"/>
                <w:color w:val="auto"/>
                <w:spacing w:val="-4"/>
                <w:sz w:val="21"/>
                <w:szCs w:val="21"/>
              </w:rPr>
              <w:t>处理站</w:t>
            </w:r>
          </w:p>
        </w:tc>
        <w:tc>
          <w:tcPr>
            <w:tcW w:w="697" w:type="pc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400</w:t>
            </w:r>
          </w:p>
        </w:tc>
        <w:tc>
          <w:tcPr>
            <w:tcW w:w="2064" w:type="pct"/>
            <w:tcBorders>
              <w:top w:val="single" w:color="auto" w:sz="12" w:space="0"/>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《城镇污水处理厂污染物综合排放标准》（GB18918-</w:t>
            </w:r>
            <w:r>
              <w:rPr>
                <w:rFonts w:hint="default" w:ascii="Times New Roman" w:hAnsi="Times New Roman" w:eastAsia="宋体" w:cs="Times New Roman"/>
                <w:color w:val="auto"/>
                <w:spacing w:val="5"/>
                <w:sz w:val="21"/>
                <w:szCs w:val="21"/>
              </w:rPr>
              <w:t>2002）中的一级A 标准</w:t>
            </w:r>
          </w:p>
        </w:tc>
        <w:tc>
          <w:tcPr>
            <w:tcW w:w="508" w:type="pct"/>
            <w:tcBorders>
              <w:top w:val="single" w:color="auto" w:sz="12" w:space="0"/>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龙安新村污水站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30</w:t>
            </w:r>
          </w:p>
        </w:tc>
        <w:tc>
          <w:tcPr>
            <w:tcW w:w="2064"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《城镇污水处理厂污染物综合排放标准》（GB18918-</w:t>
            </w:r>
            <w:r>
              <w:rPr>
                <w:rFonts w:hint="default" w:ascii="Times New Roman" w:hAnsi="Times New Roman" w:eastAsia="宋体" w:cs="Times New Roman"/>
                <w:color w:val="auto"/>
                <w:spacing w:val="8"/>
                <w:sz w:val="21"/>
                <w:szCs w:val="21"/>
              </w:rPr>
              <w:t>2002）中的一级</w:t>
            </w:r>
            <w:r>
              <w:rPr>
                <w:rFonts w:hint="default" w:ascii="Times New Roman" w:hAnsi="Times New Roman" w:eastAsia="宋体" w:cs="Times New Roman"/>
                <w:color w:val="auto"/>
                <w:spacing w:val="-45"/>
                <w:sz w:val="21"/>
                <w:szCs w:val="21"/>
              </w:rPr>
              <w:t xml:space="preserve"> </w:t>
            </w:r>
            <w:r>
              <w:rPr>
                <w:rFonts w:hint="default" w:ascii="Times New Roman" w:hAnsi="Times New Roman" w:eastAsia="宋体" w:cs="Times New Roman"/>
                <w:color w:val="auto"/>
                <w:spacing w:val="8"/>
                <w:sz w:val="21"/>
                <w:szCs w:val="21"/>
              </w:rPr>
              <w:t>B标准</w:t>
            </w:r>
          </w:p>
        </w:tc>
        <w:tc>
          <w:tcPr>
            <w:tcW w:w="50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花里村污</w:t>
            </w:r>
            <w:r>
              <w:rPr>
                <w:rFonts w:hint="default" w:ascii="Times New Roman" w:hAnsi="Times New Roman" w:eastAsia="宋体" w:cs="Times New Roman"/>
                <w:color w:val="auto"/>
                <w:spacing w:val="-4"/>
                <w:sz w:val="21"/>
                <w:szCs w:val="21"/>
              </w:rPr>
              <w:t>水站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50</w:t>
            </w:r>
          </w:p>
        </w:tc>
        <w:tc>
          <w:tcPr>
            <w:tcW w:w="2064"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2"/>
                <w:sz w:val="21"/>
                <w:szCs w:val="21"/>
              </w:rPr>
              <w:t>合排放标准》（GB18918-</w:t>
            </w:r>
            <w:r>
              <w:rPr>
                <w:rFonts w:hint="default" w:ascii="Times New Roman" w:hAnsi="Times New Roman" w:eastAsia="宋体" w:cs="Times New Roman"/>
                <w:color w:val="auto"/>
                <w:spacing w:val="8"/>
                <w:sz w:val="21"/>
                <w:szCs w:val="21"/>
              </w:rPr>
              <w:t>2002）中的一级</w:t>
            </w:r>
            <w:r>
              <w:rPr>
                <w:rFonts w:hint="default" w:ascii="Times New Roman" w:hAnsi="Times New Roman" w:eastAsia="宋体" w:cs="Times New Roman"/>
                <w:color w:val="auto"/>
                <w:spacing w:val="-45"/>
                <w:sz w:val="21"/>
                <w:szCs w:val="21"/>
              </w:rPr>
              <w:t xml:space="preserve"> </w:t>
            </w:r>
            <w:r>
              <w:rPr>
                <w:rFonts w:hint="default" w:ascii="Times New Roman" w:hAnsi="Times New Roman" w:eastAsia="宋体" w:cs="Times New Roman"/>
                <w:color w:val="auto"/>
                <w:spacing w:val="8"/>
                <w:sz w:val="21"/>
                <w:szCs w:val="21"/>
              </w:rPr>
              <w:t>B标准</w:t>
            </w:r>
          </w:p>
        </w:tc>
        <w:tc>
          <w:tcPr>
            <w:tcW w:w="50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 w:val="21"/>
                <w:szCs w:val="21"/>
              </w:rPr>
              <w:t>界梁村污</w:t>
            </w:r>
            <w:r>
              <w:rPr>
                <w:rFonts w:hint="default" w:ascii="Times New Roman" w:hAnsi="Times New Roman" w:eastAsia="宋体" w:cs="Times New Roman"/>
                <w:color w:val="auto"/>
                <w:spacing w:val="-5"/>
                <w:sz w:val="21"/>
                <w:szCs w:val="21"/>
              </w:rPr>
              <w:t>水站</w:t>
            </w:r>
            <w:r>
              <w:rPr>
                <w:rFonts w:hint="eastAsia" w:ascii="Times New Roman" w:hAnsi="Times New Roman" w:cs="Times New Roman"/>
                <w:color w:val="auto"/>
                <w:spacing w:val="-5"/>
                <w:sz w:val="21"/>
                <w:szCs w:val="21"/>
                <w:lang w:val="en-US" w:eastAsia="zh-CN"/>
              </w:rPr>
              <w:t>1</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064"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2"/>
                <w:sz w:val="21"/>
                <w:szCs w:val="21"/>
              </w:rPr>
              <w:t>合排放标准》（GB18918-</w:t>
            </w:r>
            <w:r>
              <w:rPr>
                <w:rFonts w:hint="default" w:ascii="Times New Roman" w:hAnsi="Times New Roman" w:eastAsia="宋体" w:cs="Times New Roman"/>
                <w:color w:val="auto"/>
                <w:spacing w:val="8"/>
                <w:sz w:val="21"/>
                <w:szCs w:val="21"/>
              </w:rPr>
              <w:t>2002）中的一级</w:t>
            </w:r>
            <w:r>
              <w:rPr>
                <w:rFonts w:hint="default" w:ascii="Times New Roman" w:hAnsi="Times New Roman" w:eastAsia="宋体" w:cs="Times New Roman"/>
                <w:color w:val="auto"/>
                <w:spacing w:val="-45"/>
                <w:sz w:val="21"/>
                <w:szCs w:val="21"/>
              </w:rPr>
              <w:t xml:space="preserve"> </w:t>
            </w:r>
            <w:r>
              <w:rPr>
                <w:rFonts w:hint="default" w:ascii="Times New Roman" w:hAnsi="Times New Roman" w:eastAsia="宋体" w:cs="Times New Roman"/>
                <w:color w:val="auto"/>
                <w:spacing w:val="8"/>
                <w:sz w:val="21"/>
                <w:szCs w:val="21"/>
              </w:rPr>
              <w:t>B标准</w:t>
            </w:r>
          </w:p>
        </w:tc>
        <w:tc>
          <w:tcPr>
            <w:tcW w:w="50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界梁村污</w:t>
            </w:r>
            <w:r>
              <w:rPr>
                <w:rFonts w:hint="default" w:ascii="Times New Roman" w:hAnsi="Times New Roman" w:eastAsia="宋体" w:cs="Times New Roman"/>
                <w:color w:val="auto"/>
                <w:spacing w:val="-5"/>
                <w:sz w:val="21"/>
                <w:szCs w:val="21"/>
              </w:rPr>
              <w:t>水站</w:t>
            </w:r>
            <w:r>
              <w:rPr>
                <w:rFonts w:hint="default" w:ascii="Times New Roman" w:hAnsi="Times New Roman" w:eastAsia="宋体" w:cs="Times New Roman"/>
                <w:color w:val="auto"/>
                <w:spacing w:val="-53"/>
                <w:sz w:val="21"/>
                <w:szCs w:val="21"/>
              </w:rPr>
              <w:t xml:space="preserve"> </w:t>
            </w:r>
            <w:r>
              <w:rPr>
                <w:rFonts w:hint="default" w:ascii="Times New Roman" w:hAnsi="Times New Roman" w:eastAsia="宋体" w:cs="Times New Roman"/>
                <w:color w:val="auto"/>
                <w:spacing w:val="-5"/>
                <w:sz w:val="21"/>
                <w:szCs w:val="21"/>
              </w:rPr>
              <w:t>2</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w:t>
            </w:r>
          </w:p>
        </w:tc>
        <w:tc>
          <w:tcPr>
            <w:tcW w:w="2064"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2"/>
                <w:sz w:val="21"/>
                <w:szCs w:val="21"/>
              </w:rPr>
              <w:t>合排放标准》（GB18918-</w:t>
            </w:r>
            <w:r>
              <w:rPr>
                <w:rFonts w:hint="default" w:ascii="Times New Roman" w:hAnsi="Times New Roman" w:eastAsia="宋体" w:cs="Times New Roman"/>
                <w:color w:val="auto"/>
                <w:spacing w:val="8"/>
                <w:sz w:val="21"/>
                <w:szCs w:val="21"/>
              </w:rPr>
              <w:t>2002）中的一级</w:t>
            </w:r>
            <w:r>
              <w:rPr>
                <w:rFonts w:hint="default" w:ascii="Times New Roman" w:hAnsi="Times New Roman" w:eastAsia="宋体" w:cs="Times New Roman"/>
                <w:color w:val="auto"/>
                <w:spacing w:val="-45"/>
                <w:sz w:val="21"/>
                <w:szCs w:val="21"/>
              </w:rPr>
              <w:t xml:space="preserve"> </w:t>
            </w:r>
            <w:r>
              <w:rPr>
                <w:rFonts w:hint="default" w:ascii="Times New Roman" w:hAnsi="Times New Roman" w:eastAsia="宋体" w:cs="Times New Roman"/>
                <w:color w:val="auto"/>
                <w:spacing w:val="8"/>
                <w:sz w:val="21"/>
                <w:szCs w:val="21"/>
              </w:rPr>
              <w:t>B标准</w:t>
            </w:r>
          </w:p>
        </w:tc>
        <w:tc>
          <w:tcPr>
            <w:tcW w:w="50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双岭村污</w:t>
            </w:r>
            <w:r>
              <w:rPr>
                <w:rFonts w:hint="default" w:ascii="Times New Roman" w:hAnsi="Times New Roman" w:eastAsia="宋体" w:cs="Times New Roman"/>
                <w:color w:val="auto"/>
                <w:spacing w:val="-4"/>
                <w:sz w:val="21"/>
                <w:szCs w:val="21"/>
              </w:rPr>
              <w:t>水站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064"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2"/>
                <w:sz w:val="21"/>
                <w:szCs w:val="21"/>
              </w:rPr>
              <w:t>合排放标准》（GB18918-</w:t>
            </w:r>
            <w:r>
              <w:rPr>
                <w:rFonts w:hint="default" w:ascii="Times New Roman" w:hAnsi="Times New Roman" w:eastAsia="宋体" w:cs="Times New Roman"/>
                <w:color w:val="auto"/>
                <w:spacing w:val="8"/>
                <w:sz w:val="21"/>
                <w:szCs w:val="21"/>
              </w:rPr>
              <w:t>2002）中的一级</w:t>
            </w:r>
            <w:r>
              <w:rPr>
                <w:rFonts w:hint="default" w:ascii="Times New Roman" w:hAnsi="Times New Roman" w:eastAsia="宋体" w:cs="Times New Roman"/>
                <w:color w:val="auto"/>
                <w:spacing w:val="-45"/>
                <w:sz w:val="21"/>
                <w:szCs w:val="21"/>
              </w:rPr>
              <w:t xml:space="preserve"> </w:t>
            </w:r>
            <w:r>
              <w:rPr>
                <w:rFonts w:hint="default" w:ascii="Times New Roman" w:hAnsi="Times New Roman" w:eastAsia="宋体" w:cs="Times New Roman"/>
                <w:color w:val="auto"/>
                <w:spacing w:val="8"/>
                <w:sz w:val="21"/>
                <w:szCs w:val="21"/>
              </w:rPr>
              <w:t>B标准</w:t>
            </w:r>
          </w:p>
        </w:tc>
        <w:tc>
          <w:tcPr>
            <w:tcW w:w="50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溢河村集</w:t>
            </w:r>
          </w:p>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镇污水处</w:t>
            </w:r>
          </w:p>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理站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25</w:t>
            </w:r>
          </w:p>
        </w:tc>
        <w:tc>
          <w:tcPr>
            <w:tcW w:w="2064"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2"/>
                <w:sz w:val="21"/>
                <w:szCs w:val="21"/>
              </w:rPr>
              <w:t>合排放标准》（GB18918-</w:t>
            </w:r>
            <w:r>
              <w:rPr>
                <w:rFonts w:hint="default" w:ascii="Times New Roman" w:hAnsi="Times New Roman" w:eastAsia="宋体" w:cs="Times New Roman"/>
                <w:color w:val="auto"/>
                <w:spacing w:val="8"/>
                <w:sz w:val="21"/>
                <w:szCs w:val="21"/>
              </w:rPr>
              <w:t>2002）中的一级</w:t>
            </w:r>
            <w:r>
              <w:rPr>
                <w:rFonts w:hint="default" w:ascii="Times New Roman" w:hAnsi="Times New Roman" w:eastAsia="宋体" w:cs="Times New Roman"/>
                <w:color w:val="auto"/>
                <w:spacing w:val="-45"/>
                <w:sz w:val="21"/>
                <w:szCs w:val="21"/>
              </w:rPr>
              <w:t xml:space="preserve"> </w:t>
            </w:r>
            <w:r>
              <w:rPr>
                <w:rFonts w:hint="default" w:ascii="Times New Roman" w:hAnsi="Times New Roman" w:eastAsia="宋体" w:cs="Times New Roman"/>
                <w:color w:val="auto"/>
                <w:spacing w:val="8"/>
                <w:sz w:val="21"/>
                <w:szCs w:val="21"/>
              </w:rPr>
              <w:t>B标准</w:t>
            </w:r>
          </w:p>
        </w:tc>
        <w:tc>
          <w:tcPr>
            <w:tcW w:w="50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溢河村庙</w:t>
            </w:r>
          </w:p>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儿梁污水</w:t>
            </w:r>
          </w:p>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处理站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w:t>
            </w:r>
          </w:p>
        </w:tc>
        <w:tc>
          <w:tcPr>
            <w:tcW w:w="2064"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2"/>
                <w:sz w:val="21"/>
                <w:szCs w:val="21"/>
              </w:rPr>
              <w:t>合排放标准》（GB18918-</w:t>
            </w:r>
            <w:r>
              <w:rPr>
                <w:rFonts w:hint="default" w:ascii="Times New Roman" w:hAnsi="Times New Roman" w:eastAsia="宋体" w:cs="Times New Roman"/>
                <w:color w:val="auto"/>
                <w:spacing w:val="8"/>
                <w:sz w:val="21"/>
                <w:szCs w:val="21"/>
              </w:rPr>
              <w:t>2002）中的一级</w:t>
            </w:r>
            <w:r>
              <w:rPr>
                <w:rFonts w:hint="default" w:ascii="Times New Roman" w:hAnsi="Times New Roman" w:eastAsia="宋体" w:cs="Times New Roman"/>
                <w:color w:val="auto"/>
                <w:spacing w:val="-45"/>
                <w:sz w:val="21"/>
                <w:szCs w:val="21"/>
              </w:rPr>
              <w:t xml:space="preserve"> </w:t>
            </w:r>
            <w:r>
              <w:rPr>
                <w:rFonts w:hint="default" w:ascii="Times New Roman" w:hAnsi="Times New Roman" w:eastAsia="宋体" w:cs="Times New Roman"/>
                <w:color w:val="auto"/>
                <w:spacing w:val="8"/>
                <w:sz w:val="21"/>
                <w:szCs w:val="21"/>
              </w:rPr>
              <w:t>B标准</w:t>
            </w:r>
          </w:p>
        </w:tc>
        <w:tc>
          <w:tcPr>
            <w:tcW w:w="50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集镇污水</w:t>
            </w:r>
            <w:r>
              <w:rPr>
                <w:rFonts w:hint="default" w:ascii="Times New Roman" w:hAnsi="Times New Roman" w:eastAsia="宋体" w:cs="Times New Roman"/>
                <w:color w:val="auto"/>
                <w:spacing w:val="-4"/>
                <w:sz w:val="21"/>
                <w:szCs w:val="21"/>
              </w:rPr>
              <w:t>处理站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150</w:t>
            </w:r>
          </w:p>
        </w:tc>
        <w:tc>
          <w:tcPr>
            <w:tcW w:w="2064"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2"/>
                <w:sz w:val="21"/>
                <w:szCs w:val="21"/>
              </w:rPr>
              <w:t>合排放标准》（GB18918-</w:t>
            </w:r>
            <w:r>
              <w:rPr>
                <w:rFonts w:hint="default" w:ascii="Times New Roman" w:hAnsi="Times New Roman" w:eastAsia="宋体" w:cs="Times New Roman"/>
                <w:color w:val="auto"/>
                <w:spacing w:val="5"/>
                <w:sz w:val="21"/>
                <w:szCs w:val="21"/>
              </w:rPr>
              <w:t>2002）中的一级A标准</w:t>
            </w:r>
          </w:p>
        </w:tc>
        <w:tc>
          <w:tcPr>
            <w:tcW w:w="50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w:t>
            </w:r>
          </w:p>
        </w:tc>
        <w:tc>
          <w:tcPr>
            <w:tcW w:w="49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城关</w:t>
            </w:r>
            <w:r>
              <w:rPr>
                <w:rFonts w:hint="default" w:ascii="Times New Roman" w:hAnsi="Times New Roman" w:eastAsia="宋体" w:cs="Times New Roman"/>
                <w:color w:val="auto"/>
                <w:sz w:val="21"/>
                <w:szCs w:val="21"/>
              </w:rPr>
              <w:t>镇</w:t>
            </w:r>
          </w:p>
        </w:tc>
        <w:tc>
          <w:tcPr>
            <w:tcW w:w="91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永丰村和</w:t>
            </w:r>
            <w:r>
              <w:rPr>
                <w:rFonts w:hint="default" w:ascii="Times New Roman" w:hAnsi="Times New Roman" w:eastAsia="宋体" w:cs="Times New Roman"/>
                <w:color w:val="auto"/>
                <w:spacing w:val="-4"/>
                <w:sz w:val="21"/>
                <w:szCs w:val="21"/>
              </w:rPr>
              <w:t>爱国村污水处理站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100</w:t>
            </w:r>
          </w:p>
        </w:tc>
        <w:tc>
          <w:tcPr>
            <w:tcW w:w="2064"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2"/>
                <w:sz w:val="21"/>
                <w:szCs w:val="21"/>
              </w:rPr>
              <w:t>合排放标准》（GB18918-</w:t>
            </w:r>
            <w:r>
              <w:rPr>
                <w:rFonts w:hint="default" w:ascii="Times New Roman" w:hAnsi="Times New Roman" w:eastAsia="宋体" w:cs="Times New Roman"/>
                <w:color w:val="auto"/>
                <w:spacing w:val="6"/>
                <w:sz w:val="21"/>
                <w:szCs w:val="21"/>
              </w:rPr>
              <w:t>2002）中的一级 B标准</w:t>
            </w:r>
          </w:p>
        </w:tc>
        <w:tc>
          <w:tcPr>
            <w:tcW w:w="50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11</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六口工业</w:t>
            </w:r>
          </w:p>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园区污水</w:t>
            </w:r>
          </w:p>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处理站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400</w:t>
            </w:r>
          </w:p>
        </w:tc>
        <w:tc>
          <w:tcPr>
            <w:tcW w:w="2064"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《城镇污水处理厂污染物综合排放标准》（GB18918-</w:t>
            </w:r>
            <w:r>
              <w:rPr>
                <w:rFonts w:hint="default" w:ascii="Times New Roman" w:hAnsi="Times New Roman" w:eastAsia="宋体" w:cs="Times New Roman"/>
                <w:color w:val="auto"/>
                <w:spacing w:val="5"/>
                <w:sz w:val="21"/>
                <w:szCs w:val="21"/>
              </w:rPr>
              <w:t>2002）中的一级A 标准</w:t>
            </w:r>
          </w:p>
        </w:tc>
        <w:tc>
          <w:tcPr>
            <w:tcW w:w="50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12</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联坪村污</w:t>
            </w:r>
            <w:r>
              <w:rPr>
                <w:rFonts w:hint="default" w:ascii="Times New Roman" w:hAnsi="Times New Roman" w:eastAsia="宋体" w:cs="Times New Roman"/>
                <w:color w:val="auto"/>
                <w:spacing w:val="-4"/>
                <w:sz w:val="21"/>
                <w:szCs w:val="21"/>
              </w:rPr>
              <w:t>水处理站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40</w:t>
            </w:r>
          </w:p>
        </w:tc>
        <w:tc>
          <w:tcPr>
            <w:tcW w:w="2064"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2"/>
                <w:sz w:val="21"/>
                <w:szCs w:val="21"/>
              </w:rPr>
              <w:t>合排放标准》（GB18918-</w:t>
            </w:r>
            <w:r>
              <w:rPr>
                <w:rFonts w:hint="default" w:ascii="Times New Roman" w:hAnsi="Times New Roman" w:eastAsia="宋体" w:cs="Times New Roman"/>
                <w:color w:val="auto"/>
                <w:spacing w:val="5"/>
                <w:sz w:val="21"/>
                <w:szCs w:val="21"/>
              </w:rPr>
              <w:t>2002）中的一级A标准</w:t>
            </w:r>
          </w:p>
        </w:tc>
        <w:tc>
          <w:tcPr>
            <w:tcW w:w="50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13</w:t>
            </w:r>
          </w:p>
        </w:tc>
        <w:tc>
          <w:tcPr>
            <w:tcW w:w="49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孟石</w:t>
            </w:r>
            <w:r>
              <w:rPr>
                <w:rFonts w:hint="default" w:ascii="Times New Roman" w:hAnsi="Times New Roman" w:eastAsia="宋体" w:cs="Times New Roman"/>
                <w:color w:val="auto"/>
                <w:spacing w:val="-8"/>
                <w:sz w:val="21"/>
                <w:szCs w:val="21"/>
              </w:rPr>
              <w:t>岭镇</w:t>
            </w:r>
          </w:p>
        </w:tc>
        <w:tc>
          <w:tcPr>
            <w:tcW w:w="916"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集镇污水</w:t>
            </w:r>
            <w:r>
              <w:rPr>
                <w:rFonts w:hint="default" w:ascii="Times New Roman" w:hAnsi="Times New Roman" w:eastAsia="宋体" w:cs="Times New Roman"/>
                <w:color w:val="auto"/>
                <w:spacing w:val="-4"/>
                <w:sz w:val="21"/>
                <w:szCs w:val="21"/>
              </w:rPr>
              <w:t>处理站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150</w:t>
            </w:r>
          </w:p>
        </w:tc>
        <w:tc>
          <w:tcPr>
            <w:tcW w:w="2064"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《城镇污水处理厂污染物综合排放标准》（GB18918-</w:t>
            </w:r>
            <w:r>
              <w:rPr>
                <w:rFonts w:hint="default" w:ascii="Times New Roman" w:hAnsi="Times New Roman" w:eastAsia="宋体" w:cs="Times New Roman"/>
                <w:color w:val="auto"/>
                <w:spacing w:val="5"/>
                <w:sz w:val="21"/>
                <w:szCs w:val="21"/>
              </w:rPr>
              <w:t>2002）中的一级A 标准</w:t>
            </w:r>
          </w:p>
        </w:tc>
        <w:tc>
          <w:tcPr>
            <w:tcW w:w="508"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49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佐龙镇</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长春村污水处理站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20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《城镇污水处理厂污染物综 合排放标准》（GB18918-2002）中的一级B标准</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佐龙村污水处理站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20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《城镇污水处理厂污染物综 合排放标准》（GB18918-2002）中的一级A标准</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蜡烛村污水处理站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20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陕西省《农村生活污水处理</w:t>
            </w: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设施水污染物排放标准》</w:t>
            </w: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（DB61/1227-2018）的表1中的特别排放限值标准</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马宗村污水处理站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20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陕西省《农村生活污水处理</w:t>
            </w: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设施水污染物排放标准》</w:t>
            </w: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（DB61/1227-2018）的表1中的特别排放限值标准</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4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集镇污水处理站</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20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《城镇污水处理厂污染物综 合排放标准》（GB18918-2002）中的一级A标准</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岚河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4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岚皋县</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岚皋县污水处理厂</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10500</w:t>
            </w:r>
          </w:p>
        </w:tc>
        <w:tc>
          <w:tcPr>
            <w:tcW w:w="20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《城镇污水处理厂污染物综 合排放标准》（GB18918-2002）中的一级A标准</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72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6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12525</w:t>
            </w:r>
          </w:p>
        </w:tc>
        <w:tc>
          <w:tcPr>
            <w:tcW w:w="20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eastAsia" w:cs="Times New Roman"/>
          <w:color w:val="auto"/>
          <w:lang w:val="en-US" w:eastAsia="zh-CN"/>
        </w:rPr>
      </w:pPr>
      <w:r>
        <w:rPr>
          <w:rFonts w:cs="Times New Roman"/>
          <w:b/>
          <w:color w:val="auto"/>
          <w:kern w:val="44"/>
        </w:rPr>
        <w:t>表3.1-</w:t>
      </w:r>
      <w:r>
        <w:rPr>
          <w:rFonts w:hint="eastAsia" w:cs="Times New Roman"/>
          <w:b/>
          <w:color w:val="auto"/>
          <w:kern w:val="44"/>
          <w:lang w:val="en-US" w:eastAsia="zh-CN"/>
        </w:rPr>
        <w:t>4</w:t>
      </w:r>
      <w:r>
        <w:rPr>
          <w:rFonts w:cs="Times New Roman"/>
          <w:b/>
          <w:color w:val="auto"/>
          <w:kern w:val="44"/>
        </w:rPr>
        <w:t xml:space="preserve">    已建成城镇污水处理设施汇总表</w:t>
      </w:r>
    </w:p>
    <w:tbl>
      <w:tblPr>
        <w:tblStyle w:val="18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26"/>
        <w:gridCol w:w="1451"/>
        <w:gridCol w:w="1444"/>
        <w:gridCol w:w="1834"/>
        <w:gridCol w:w="32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17" w:type="pct"/>
            <w:vMerge w:val="restart"/>
            <w:tcBorders>
              <w:top w:val="single" w:color="auto" w:sz="12"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810" w:type="pct"/>
            <w:vMerge w:val="restar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w:t>
            </w: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830" w:type="pct"/>
            <w:gridSpan w:val="2"/>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污水处理量（m³/d）</w:t>
            </w:r>
          </w:p>
        </w:tc>
        <w:tc>
          <w:tcPr>
            <w:tcW w:w="1841" w:type="pct"/>
            <w:vMerge w:val="restart"/>
            <w:tcBorders>
              <w:top w:val="single" w:color="auto" w:sz="12"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污水处理工艺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17" w:type="pct"/>
            <w:vMerge w:val="continue"/>
            <w:tcBorders>
              <w:top w:val="single" w:color="auto" w:sz="6" w:space="0"/>
              <w:left w:val="nil"/>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810" w:type="pct"/>
            <w:vMerge w:val="continue"/>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806"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w:t>
            </w:r>
          </w:p>
        </w:tc>
        <w:tc>
          <w:tcPr>
            <w:tcW w:w="1024"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实际平均</w:t>
            </w:r>
          </w:p>
        </w:tc>
        <w:tc>
          <w:tcPr>
            <w:tcW w:w="1841"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17" w:type="pct"/>
            <w:tcBorders>
              <w:top w:val="single" w:color="auto" w:sz="12"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10" w:type="pc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蔺河镇</w:t>
            </w:r>
          </w:p>
        </w:tc>
        <w:tc>
          <w:tcPr>
            <w:tcW w:w="806" w:type="pc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150m³/d</w:t>
            </w:r>
          </w:p>
        </w:tc>
        <w:tc>
          <w:tcPr>
            <w:tcW w:w="1024" w:type="pc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97.21m³/d</w:t>
            </w:r>
          </w:p>
        </w:tc>
        <w:tc>
          <w:tcPr>
            <w:tcW w:w="1841" w:type="pct"/>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AAO+快渗+人工湿地+植物塘+紫外消毒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17" w:type="pct"/>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1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孟石岭镇</w:t>
            </w:r>
          </w:p>
        </w:tc>
        <w:tc>
          <w:tcPr>
            <w:tcW w:w="8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150m³/d</w:t>
            </w:r>
          </w:p>
        </w:tc>
        <w:tc>
          <w:tcPr>
            <w:tcW w:w="102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96.4m³/d</w:t>
            </w:r>
          </w:p>
        </w:tc>
        <w:tc>
          <w:tcPr>
            <w:tcW w:w="1841" w:type="pct"/>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AAO+快渗+人工湿地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17" w:type="pct"/>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81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南宫山镇</w:t>
            </w:r>
          </w:p>
        </w:tc>
        <w:tc>
          <w:tcPr>
            <w:tcW w:w="8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400m³/d</w:t>
            </w:r>
          </w:p>
        </w:tc>
        <w:tc>
          <w:tcPr>
            <w:tcW w:w="102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161.12m³/d</w:t>
            </w:r>
          </w:p>
        </w:tc>
        <w:tc>
          <w:tcPr>
            <w:tcW w:w="1841" w:type="pct"/>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AAO+人工湿地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17" w:type="pct"/>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1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佐龙镇</w:t>
            </w:r>
          </w:p>
        </w:tc>
        <w:tc>
          <w:tcPr>
            <w:tcW w:w="8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350m³/d</w:t>
            </w:r>
          </w:p>
        </w:tc>
        <w:tc>
          <w:tcPr>
            <w:tcW w:w="102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222.29m³/d</w:t>
            </w:r>
          </w:p>
        </w:tc>
        <w:tc>
          <w:tcPr>
            <w:tcW w:w="1841" w:type="pct"/>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AAO+滤布滤池+紫外消毒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17" w:type="pct"/>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81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水田污水</w:t>
            </w: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处理厂</w:t>
            </w:r>
          </w:p>
        </w:tc>
        <w:tc>
          <w:tcPr>
            <w:tcW w:w="8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400m³/d</w:t>
            </w:r>
          </w:p>
        </w:tc>
        <w:tc>
          <w:tcPr>
            <w:tcW w:w="102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49.01m³/d</w:t>
            </w:r>
          </w:p>
        </w:tc>
        <w:tc>
          <w:tcPr>
            <w:tcW w:w="1841" w:type="pct"/>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AAO+快渗+人工湿地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17" w:type="pct"/>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81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岚皋县污水处理厂</w:t>
            </w:r>
          </w:p>
        </w:tc>
        <w:tc>
          <w:tcPr>
            <w:tcW w:w="8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10500m³/d</w:t>
            </w:r>
          </w:p>
        </w:tc>
        <w:tc>
          <w:tcPr>
            <w:tcW w:w="102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8090m³/d</w:t>
            </w:r>
          </w:p>
        </w:tc>
        <w:tc>
          <w:tcPr>
            <w:tcW w:w="1841" w:type="pct"/>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CAST+A</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/0工艺+高效沉淀、紧密转鼓过滤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27" w:type="pct"/>
            <w:gridSpan w:val="2"/>
            <w:tcBorders>
              <w:top w:val="single" w:color="auto" w:sz="6" w:space="0"/>
              <w:left w:val="nil"/>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总计</w:t>
            </w:r>
          </w:p>
        </w:tc>
        <w:tc>
          <w:tcPr>
            <w:tcW w:w="806"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11950m³/d</w:t>
            </w:r>
          </w:p>
        </w:tc>
        <w:tc>
          <w:tcPr>
            <w:tcW w:w="1024"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8716.03m³/d</w:t>
            </w:r>
          </w:p>
        </w:tc>
        <w:tc>
          <w:tcPr>
            <w:tcW w:w="1841" w:type="pct"/>
            <w:tcBorders>
              <w:top w:val="single" w:color="auto" w:sz="6" w:space="0"/>
              <w:left w:val="single" w:color="auto" w:sz="6" w:space="0"/>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eastAsia" w:cs="Times New Roman"/>
          <w:color w:val="auto"/>
          <w:lang w:val="en-US" w:eastAsia="zh-CN"/>
        </w:rPr>
      </w:pPr>
      <w:r>
        <w:rPr>
          <w:rFonts w:cs="Times New Roman"/>
          <w:b/>
          <w:color w:val="auto"/>
          <w:kern w:val="44"/>
        </w:rPr>
        <w:t>表3.1-</w:t>
      </w:r>
      <w:r>
        <w:rPr>
          <w:rFonts w:hint="eastAsia" w:cs="Times New Roman"/>
          <w:b/>
          <w:color w:val="auto"/>
          <w:kern w:val="44"/>
          <w:lang w:val="en-US" w:eastAsia="zh-CN"/>
        </w:rPr>
        <w:t>5</w:t>
      </w:r>
      <w:r>
        <w:rPr>
          <w:rFonts w:cs="Times New Roman"/>
          <w:b/>
          <w:color w:val="auto"/>
          <w:kern w:val="44"/>
        </w:rPr>
        <w:t xml:space="preserve">    </w:t>
      </w:r>
      <w:r>
        <w:rPr>
          <w:rFonts w:hint="eastAsia" w:cs="Times New Roman"/>
          <w:b/>
          <w:color w:val="auto"/>
          <w:kern w:val="44"/>
        </w:rPr>
        <w:t>佐龙镇、蔺河镇、南宫山镇、县城污水处理厂尾水入河污染物量</w:t>
      </w:r>
    </w:p>
    <w:tbl>
      <w:tblPr>
        <w:tblStyle w:val="188"/>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755"/>
        <w:gridCol w:w="1297"/>
        <w:gridCol w:w="1630"/>
        <w:gridCol w:w="1756"/>
        <w:gridCol w:w="15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1538" w:type="pct"/>
            <w:vMerge w:val="restart"/>
            <w:tcBorders>
              <w:top w:val="single" w:color="auto" w:sz="12"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污水处理厂名称</w:t>
            </w:r>
          </w:p>
        </w:tc>
        <w:tc>
          <w:tcPr>
            <w:tcW w:w="3461" w:type="pct"/>
            <w:gridSpan w:val="4"/>
            <w:tcBorders>
              <w:top w:val="single" w:color="auto" w:sz="12"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尾水入河污染物排放量(t/a)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538" w:type="pct"/>
            <w:vMerge w:val="continue"/>
            <w:tcBorders>
              <w:top w:val="single" w:color="auto" w:sz="6" w:space="0"/>
              <w:left w:val="nil"/>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bCs/>
                <w:color w:val="auto"/>
                <w:sz w:val="21"/>
                <w:szCs w:val="21"/>
              </w:rPr>
            </w:pPr>
          </w:p>
        </w:tc>
        <w:tc>
          <w:tcPr>
            <w:tcW w:w="724"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p>
        </w:tc>
        <w:tc>
          <w:tcPr>
            <w:tcW w:w="910" w:type="pct"/>
            <w:tcBorders>
              <w:top w:val="single" w:color="auto" w:sz="6" w:space="0"/>
              <w:left w:val="single" w:color="auto" w:sz="6" w:space="0"/>
              <w:bottom w:val="single" w:color="auto" w:sz="12"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-N</w:t>
            </w:r>
          </w:p>
        </w:tc>
        <w:tc>
          <w:tcPr>
            <w:tcW w:w="980" w:type="pct"/>
            <w:tcBorders>
              <w:top w:val="single" w:color="auto" w:sz="6" w:space="0"/>
              <w:left w:val="single" w:color="auto" w:sz="6" w:space="0"/>
              <w:bottom w:val="single" w:color="auto" w:sz="12"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TP</w:t>
            </w:r>
          </w:p>
        </w:tc>
        <w:tc>
          <w:tcPr>
            <w:tcW w:w="846" w:type="pct"/>
            <w:tcBorders>
              <w:top w:val="single" w:color="auto" w:sz="6" w:space="0"/>
              <w:left w:val="single" w:color="auto" w:sz="6" w:space="0"/>
              <w:bottom w:val="single" w:color="auto" w:sz="12" w:space="0"/>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538" w:type="pct"/>
            <w:tcBorders>
              <w:top w:val="single" w:color="auto" w:sz="12" w:space="0"/>
              <w:left w:val="nil"/>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南宫山镇污水处理厂</w:t>
            </w:r>
          </w:p>
        </w:tc>
        <w:tc>
          <w:tcPr>
            <w:tcW w:w="724" w:type="pct"/>
            <w:tcBorders>
              <w:top w:val="single" w:color="auto" w:sz="12"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2.94</w:t>
            </w:r>
          </w:p>
        </w:tc>
        <w:tc>
          <w:tcPr>
            <w:tcW w:w="910" w:type="pct"/>
            <w:tcBorders>
              <w:top w:val="single" w:color="auto" w:sz="12"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w:t>
            </w:r>
          </w:p>
        </w:tc>
        <w:tc>
          <w:tcPr>
            <w:tcW w:w="980" w:type="pct"/>
            <w:tcBorders>
              <w:top w:val="single" w:color="auto" w:sz="12"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46" w:type="pct"/>
            <w:tcBorders>
              <w:top w:val="single" w:color="auto" w:sz="12" w:space="0"/>
              <w:left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538" w:type="pct"/>
            <w:tcBorders>
              <w:top w:val="single" w:color="auto" w:sz="6" w:space="0"/>
              <w:left w:val="nil"/>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蔺河镇污水处理厂</w:t>
            </w:r>
          </w:p>
        </w:tc>
        <w:tc>
          <w:tcPr>
            <w:tcW w:w="724" w:type="pct"/>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0.53</w:t>
            </w:r>
          </w:p>
        </w:tc>
        <w:tc>
          <w:tcPr>
            <w:tcW w:w="910" w:type="pct"/>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980" w:type="pct"/>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846" w:type="pct"/>
            <w:tcBorders>
              <w:top w:val="single" w:color="auto" w:sz="6" w:space="0"/>
              <w:left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538" w:type="pct"/>
            <w:tcBorders>
              <w:top w:val="single" w:color="auto" w:sz="6" w:space="0"/>
              <w:left w:val="nil"/>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佐龙镇污水处理厂</w:t>
            </w:r>
          </w:p>
        </w:tc>
        <w:tc>
          <w:tcPr>
            <w:tcW w:w="724" w:type="pct"/>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w:t>
            </w:r>
          </w:p>
        </w:tc>
        <w:tc>
          <w:tcPr>
            <w:tcW w:w="910" w:type="pct"/>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980" w:type="pct"/>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846" w:type="pct"/>
            <w:tcBorders>
              <w:top w:val="single" w:color="auto" w:sz="6" w:space="0"/>
              <w:left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538" w:type="pct"/>
            <w:tcBorders>
              <w:top w:val="single" w:color="auto" w:sz="6" w:space="0"/>
              <w:left w:val="nil"/>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县城污水处理厂</w:t>
            </w:r>
          </w:p>
        </w:tc>
        <w:tc>
          <w:tcPr>
            <w:tcW w:w="724" w:type="pct"/>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147.64</w:t>
            </w:r>
          </w:p>
        </w:tc>
        <w:tc>
          <w:tcPr>
            <w:tcW w:w="910" w:type="pct"/>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14.76</w:t>
            </w:r>
          </w:p>
        </w:tc>
        <w:tc>
          <w:tcPr>
            <w:tcW w:w="980" w:type="pct"/>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1.476</w:t>
            </w:r>
          </w:p>
        </w:tc>
        <w:tc>
          <w:tcPr>
            <w:tcW w:w="846" w:type="pct"/>
            <w:tcBorders>
              <w:top w:val="single" w:color="auto" w:sz="6" w:space="0"/>
              <w:left w:val="single" w:color="auto" w:sz="6" w:space="0"/>
              <w:bottom w:val="single" w:color="auto" w:sz="6" w:space="0"/>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538" w:type="pct"/>
            <w:tcBorders>
              <w:top w:val="single" w:color="auto" w:sz="6" w:space="0"/>
              <w:left w:val="nil"/>
              <w:bottom w:val="single" w:color="auto" w:sz="12"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724" w:type="pct"/>
            <w:tcBorders>
              <w:top w:val="single" w:color="auto" w:sz="6" w:space="0"/>
              <w:left w:val="single" w:color="auto" w:sz="6" w:space="0"/>
              <w:bottom w:val="single" w:color="auto" w:sz="12"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151.35</w:t>
            </w:r>
          </w:p>
        </w:tc>
        <w:tc>
          <w:tcPr>
            <w:tcW w:w="910" w:type="pct"/>
            <w:tcBorders>
              <w:top w:val="single" w:color="auto" w:sz="6" w:space="0"/>
              <w:left w:val="single" w:color="auto" w:sz="6" w:space="0"/>
              <w:bottom w:val="single" w:color="auto" w:sz="12"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15.09</w:t>
            </w:r>
          </w:p>
        </w:tc>
        <w:tc>
          <w:tcPr>
            <w:tcW w:w="980" w:type="pct"/>
            <w:tcBorders>
              <w:top w:val="single" w:color="auto" w:sz="6" w:space="0"/>
              <w:left w:val="single" w:color="auto" w:sz="6" w:space="0"/>
              <w:bottom w:val="single" w:color="auto" w:sz="12"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1.545</w:t>
            </w:r>
          </w:p>
        </w:tc>
        <w:tc>
          <w:tcPr>
            <w:tcW w:w="846" w:type="pct"/>
            <w:tcBorders>
              <w:top w:val="single" w:color="auto" w:sz="6" w:space="0"/>
              <w:left w:val="single" w:color="auto" w:sz="6" w:space="0"/>
              <w:bottom w:val="single" w:color="auto" w:sz="12" w:space="0"/>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45.26</w:t>
            </w:r>
          </w:p>
        </w:tc>
      </w:tr>
    </w:tbl>
    <w:p>
      <w:pPr>
        <w:snapToGrid w:val="0"/>
        <w:ind w:firstLine="480"/>
        <w:rPr>
          <w:rFonts w:hint="eastAsia" w:cs="Times New Roman"/>
          <w:color w:val="auto"/>
          <w:lang w:val="en-US" w:eastAsia="zh-CN"/>
        </w:rPr>
      </w:pPr>
      <w:r>
        <w:rPr>
          <w:rFonts w:hint="eastAsia" w:cs="Times New Roman"/>
          <w:color w:val="auto"/>
          <w:lang w:val="en-US" w:eastAsia="zh-CN"/>
        </w:rPr>
        <w:t>3）农村生活污水污染物分析</w:t>
      </w:r>
    </w:p>
    <w:p>
      <w:pPr>
        <w:snapToGrid w:val="0"/>
        <w:ind w:firstLine="480"/>
        <w:rPr>
          <w:rFonts w:hint="eastAsia" w:cs="Times New Roman"/>
          <w:color w:val="auto"/>
          <w:lang w:val="en-US" w:eastAsia="zh-CN"/>
        </w:rPr>
      </w:pPr>
      <w:r>
        <w:rPr>
          <w:rFonts w:hint="eastAsia" w:cs="Times New Roman"/>
          <w:color w:val="auto"/>
          <w:lang w:val="en-US" w:eastAsia="zh-CN"/>
        </w:rPr>
        <w:t>根据生态环境部发布的《排放源统计调查产排污核算方法和系数手册》陕西省安康市农村生活污水中污染物COD、NH</w:t>
      </w:r>
      <w:r>
        <w:rPr>
          <w:rFonts w:hint="eastAsia" w:cs="Times New Roman"/>
          <w:color w:val="auto"/>
          <w:vertAlign w:val="subscript"/>
          <w:lang w:val="en-US" w:eastAsia="zh-CN"/>
        </w:rPr>
        <w:t>3</w:t>
      </w:r>
      <w:r>
        <w:rPr>
          <w:rFonts w:hint="eastAsia" w:cs="Times New Roman"/>
          <w:color w:val="auto"/>
          <w:lang w:val="en-US" w:eastAsia="zh-CN"/>
        </w:rPr>
        <w:t>-N、TP、TN产污强度分别为28.24g/(人*d)、1.19g/(人*d)、0.17g/(人*d)、1.77g(人*d)，污水；排放系数27.54L/人*天；COD、NH3-N 、TP 、TN 综合去除率分别为 60% 、48% 、46% 、43%。</w:t>
      </w:r>
    </w:p>
    <w:p>
      <w:pPr>
        <w:snapToGrid w:val="0"/>
        <w:ind w:firstLine="480"/>
        <w:rPr>
          <w:rFonts w:hint="eastAsia" w:cs="Times New Roman"/>
          <w:color w:val="auto"/>
          <w:lang w:val="en-US" w:eastAsia="zh-CN"/>
        </w:rPr>
      </w:pPr>
      <w:r>
        <w:rPr>
          <w:rFonts w:hint="eastAsia" w:cs="Times New Roman"/>
          <w:color w:val="auto"/>
          <w:lang w:val="en-US" w:eastAsia="zh-CN"/>
        </w:rPr>
        <w:t>污染物产生量（吨）=农村常住人口（万人）×污染物产污强度（克/人.天）×365（天）/100污染物排放量(吨)=污染物产生量×(1-对生活污水进行处理的行政村比例×污染物综合去除率)</w:t>
      </w:r>
    </w:p>
    <w:p>
      <w:pPr>
        <w:snapToGrid w:val="0"/>
        <w:ind w:left="0" w:leftChars="0" w:firstLine="0" w:firstLineChars="0"/>
        <w:jc w:val="center"/>
        <w:rPr>
          <w:rFonts w:hint="eastAsia" w:cs="Times New Roman"/>
          <w:color w:val="auto"/>
          <w:lang w:val="en-US" w:eastAsia="zh-CN"/>
        </w:rPr>
      </w:pPr>
      <w:r>
        <w:rPr>
          <w:rFonts w:hint="eastAsia" w:cs="Times New Roman"/>
          <w:color w:val="auto"/>
          <w:lang w:val="en-US" w:eastAsia="zh-CN"/>
        </w:rPr>
        <w:t>农村生活面源入河量=污染物排放量×入河系数</w:t>
      </w:r>
    </w:p>
    <w:p>
      <w:pPr>
        <w:snapToGrid w:val="0"/>
        <w:ind w:firstLine="480"/>
        <w:rPr>
          <w:rFonts w:hint="eastAsia" w:cs="Times New Roman"/>
          <w:color w:val="auto"/>
          <w:lang w:val="en-US" w:eastAsia="zh-CN"/>
        </w:rPr>
      </w:pPr>
      <w:r>
        <w:rPr>
          <w:rFonts w:hint="eastAsia" w:cs="Times New Roman"/>
          <w:color w:val="auto"/>
          <w:lang w:val="en-US" w:eastAsia="zh-CN"/>
        </w:rPr>
        <w:t>结合岚皋县农村生活污水实际排放情况，入河系数按照0.1计算，得到污染物排放量结果见下表。</w:t>
      </w:r>
    </w:p>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eastAsia" w:cs="Times New Roman"/>
          <w:color w:val="auto"/>
          <w:lang w:val="en-US" w:eastAsia="zh-CN"/>
        </w:rPr>
      </w:pPr>
      <w:r>
        <w:rPr>
          <w:rFonts w:cs="Times New Roman"/>
          <w:b/>
          <w:color w:val="auto"/>
          <w:kern w:val="44"/>
        </w:rPr>
        <w:t>表3.1-</w:t>
      </w:r>
      <w:r>
        <w:rPr>
          <w:rFonts w:hint="eastAsia" w:cs="Times New Roman"/>
          <w:b/>
          <w:color w:val="auto"/>
          <w:kern w:val="44"/>
          <w:lang w:val="en-US" w:eastAsia="zh-CN"/>
        </w:rPr>
        <w:t>6</w:t>
      </w:r>
      <w:r>
        <w:rPr>
          <w:rFonts w:cs="Times New Roman"/>
          <w:b/>
          <w:color w:val="auto"/>
          <w:kern w:val="44"/>
        </w:rPr>
        <w:t xml:space="preserve">    项目区域农村生活污染物入河量</w:t>
      </w:r>
    </w:p>
    <w:tbl>
      <w:tblPr>
        <w:tblStyle w:val="18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4"/>
        <w:gridCol w:w="851"/>
        <w:gridCol w:w="1109"/>
        <w:gridCol w:w="722"/>
        <w:gridCol w:w="842"/>
        <w:gridCol w:w="829"/>
        <w:gridCol w:w="828"/>
        <w:gridCol w:w="1102"/>
        <w:gridCol w:w="817"/>
        <w:gridCol w:w="8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2" w:type="pct"/>
            <w:vMerge w:val="restart"/>
            <w:tcBorders>
              <w:top w:val="single" w:color="auto" w:sz="12"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人口数（人）</w:t>
            </w:r>
          </w:p>
        </w:tc>
        <w:tc>
          <w:tcPr>
            <w:tcW w:w="1967" w:type="pct"/>
            <w:gridSpan w:val="4"/>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463" w:type="pct"/>
            <w:vMerge w:val="restar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入河</w:t>
            </w:r>
          </w:p>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系数</w:t>
            </w:r>
          </w:p>
        </w:tc>
        <w:tc>
          <w:tcPr>
            <w:tcW w:w="1996" w:type="pct"/>
            <w:gridSpan w:val="4"/>
            <w:tcBorders>
              <w:top w:val="single" w:color="auto" w:sz="12"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入河量（t/a）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2" w:type="pct"/>
            <w:vMerge w:val="continue"/>
            <w:tcBorders>
              <w:top w:val="single" w:color="auto" w:sz="6" w:space="0"/>
              <w:left w:val="nil"/>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475"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619"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403"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467"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463" w:type="pct"/>
            <w:vMerge w:val="continue"/>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p>
        </w:tc>
        <w:tc>
          <w:tcPr>
            <w:tcW w:w="462"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615"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456"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461" w:type="pct"/>
            <w:tcBorders>
              <w:top w:val="single" w:color="auto" w:sz="6" w:space="0"/>
              <w:left w:val="single" w:color="auto" w:sz="6" w:space="0"/>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2" w:type="pct"/>
            <w:tcBorders>
              <w:top w:val="single" w:color="auto" w:sz="12" w:space="0"/>
              <w:left w:val="nil"/>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3337</w:t>
            </w:r>
          </w:p>
        </w:tc>
        <w:tc>
          <w:tcPr>
            <w:tcW w:w="475" w:type="pct"/>
            <w:tcBorders>
              <w:top w:val="single" w:color="auto" w:sz="12"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22.01</w:t>
            </w:r>
          </w:p>
        </w:tc>
        <w:tc>
          <w:tcPr>
            <w:tcW w:w="619" w:type="pct"/>
            <w:tcBorders>
              <w:top w:val="single" w:color="auto" w:sz="12"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w:t>
            </w:r>
          </w:p>
        </w:tc>
        <w:tc>
          <w:tcPr>
            <w:tcW w:w="403" w:type="pct"/>
            <w:tcBorders>
              <w:top w:val="single" w:color="auto" w:sz="12"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467" w:type="pct"/>
            <w:tcBorders>
              <w:top w:val="single" w:color="auto" w:sz="12"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463" w:type="pct"/>
            <w:tcBorders>
              <w:top w:val="single" w:color="auto" w:sz="12"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462" w:type="pct"/>
            <w:tcBorders>
              <w:top w:val="single" w:color="auto" w:sz="12"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615" w:type="pct"/>
            <w:tcBorders>
              <w:top w:val="single" w:color="auto" w:sz="12"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0.103</w:t>
            </w:r>
          </w:p>
        </w:tc>
        <w:tc>
          <w:tcPr>
            <w:tcW w:w="456" w:type="pct"/>
            <w:tcBorders>
              <w:top w:val="single" w:color="auto" w:sz="12"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c>
          <w:tcPr>
            <w:tcW w:w="461" w:type="pct"/>
            <w:tcBorders>
              <w:top w:val="single" w:color="auto" w:sz="12" w:space="0"/>
              <w:left w:val="single" w:color="auto" w:sz="6" w:space="0"/>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0.16</w:t>
            </w:r>
          </w:p>
        </w:tc>
      </w:tr>
    </w:tbl>
    <w:p>
      <w:pPr>
        <w:snapToGrid w:val="0"/>
        <w:ind w:firstLine="480"/>
        <w:rPr>
          <w:rFonts w:hint="default" w:cs="Times New Roman"/>
          <w:color w:val="auto"/>
          <w:lang w:val="en-US" w:eastAsia="zh-CN"/>
        </w:rPr>
      </w:pPr>
      <w:r>
        <w:rPr>
          <w:rFonts w:hint="eastAsia" w:cs="Times New Roman"/>
          <w:color w:val="auto"/>
          <w:lang w:val="en-US" w:eastAsia="zh-CN"/>
        </w:rPr>
        <w:t>根据对比安康市生态环境局岚皋分局2023年4月、6月、7月3次委托第三方专业检测公司针对岚河入汉江国考断面、岚河六口水文站省控断面的水质检测报告结果显示，3次检测结果COD、BOD、NH</w:t>
      </w:r>
      <w:r>
        <w:rPr>
          <w:rFonts w:hint="eastAsia" w:cs="Times New Roman"/>
          <w:color w:val="auto"/>
          <w:vertAlign w:val="subscript"/>
          <w:lang w:val="en-US" w:eastAsia="zh-CN"/>
        </w:rPr>
        <w:t>3</w:t>
      </w:r>
      <w:r>
        <w:rPr>
          <w:rFonts w:hint="eastAsia" w:cs="Times New Roman"/>
          <w:color w:val="auto"/>
          <w:lang w:val="en-US" w:eastAsia="zh-CN"/>
        </w:rPr>
        <w:t>-N、TP的浓度变化幅度均较大，同时各项数据均存在较接近《地表水环境质量标准》（GB3838-2002）Ⅱ类水标准限值的情况，显现了岚河流域的水质存在着潜在的超标风险、岚河沿岸的面源污染对岚河流域水质的潜在威胁。</w:t>
      </w:r>
    </w:p>
    <w:p>
      <w:pPr>
        <w:keepNext/>
        <w:keepLines/>
        <w:adjustRightInd w:val="0"/>
        <w:snapToGrid w:val="0"/>
        <w:ind w:left="575" w:firstLine="0" w:firstLineChars="0"/>
        <w:outlineLvl w:val="1"/>
        <w:rPr>
          <w:rFonts w:eastAsia="黑体" w:cs="Times New Roman"/>
          <w:color w:val="auto"/>
          <w:sz w:val="28"/>
        </w:rPr>
      </w:pPr>
      <w:r>
        <w:rPr>
          <w:rFonts w:eastAsia="黑体" w:cs="Times New Roman"/>
          <w:color w:val="auto"/>
          <w:sz w:val="28"/>
        </w:rPr>
        <w:t>3.</w:t>
      </w:r>
      <w:r>
        <w:rPr>
          <w:rFonts w:hint="eastAsia" w:eastAsia="黑体" w:cs="Times New Roman"/>
          <w:color w:val="auto"/>
          <w:sz w:val="28"/>
          <w:lang w:val="en-US" w:eastAsia="zh-CN"/>
        </w:rPr>
        <w:t>2</w:t>
      </w:r>
      <w:r>
        <w:rPr>
          <w:rFonts w:eastAsia="黑体" w:cs="Times New Roman"/>
          <w:color w:val="auto"/>
          <w:sz w:val="28"/>
        </w:rPr>
        <w:t>项目概况</w:t>
      </w:r>
    </w:p>
    <w:p>
      <w:pPr>
        <w:snapToGrid w:val="0"/>
        <w:ind w:firstLine="480"/>
        <w:rPr>
          <w:rFonts w:cs="Times New Roman"/>
          <w:color w:val="auto"/>
        </w:rPr>
      </w:pPr>
      <w:r>
        <w:rPr>
          <w:rFonts w:cs="Times New Roman"/>
          <w:color w:val="auto"/>
        </w:rPr>
        <w:t>（1）项目名称：《安康市岚皋县岚河生态缓冲带保护修复项目</w:t>
      </w:r>
      <w:r>
        <w:rPr>
          <w:rFonts w:hint="eastAsia" w:cs="Times New Roman"/>
          <w:color w:val="auto"/>
        </w:rPr>
        <w:t>（一期）</w:t>
      </w:r>
      <w:r>
        <w:rPr>
          <w:rFonts w:cs="Times New Roman"/>
          <w:color w:val="auto"/>
        </w:rPr>
        <w:t>》</w:t>
      </w:r>
    </w:p>
    <w:p>
      <w:pPr>
        <w:snapToGrid w:val="0"/>
        <w:ind w:firstLine="480"/>
        <w:rPr>
          <w:rFonts w:cs="Times New Roman"/>
          <w:color w:val="auto"/>
        </w:rPr>
      </w:pPr>
      <w:r>
        <w:rPr>
          <w:rFonts w:cs="Times New Roman"/>
          <w:color w:val="auto"/>
        </w:rPr>
        <w:t>（2）建设单位：安康市生态环境局岚皋分局</w:t>
      </w:r>
    </w:p>
    <w:p>
      <w:pPr>
        <w:snapToGrid w:val="0"/>
        <w:ind w:firstLine="480"/>
        <w:rPr>
          <w:rFonts w:cs="Times New Roman"/>
          <w:color w:val="auto"/>
          <w:kern w:val="44"/>
        </w:rPr>
      </w:pPr>
      <w:r>
        <w:rPr>
          <w:rFonts w:cs="Times New Roman"/>
          <w:color w:val="auto"/>
          <w:kern w:val="44"/>
        </w:rPr>
        <w:t>（3）建设性质：新建</w:t>
      </w:r>
    </w:p>
    <w:p>
      <w:pPr>
        <w:snapToGrid w:val="0"/>
        <w:ind w:firstLine="480"/>
        <w:rPr>
          <w:rFonts w:cs="Times New Roman"/>
          <w:color w:val="auto"/>
          <w:kern w:val="44"/>
        </w:rPr>
      </w:pPr>
      <w:r>
        <w:rPr>
          <w:rFonts w:cs="Times New Roman"/>
          <w:color w:val="auto"/>
          <w:kern w:val="44"/>
        </w:rPr>
        <w:t>（4）项目投资：本</w:t>
      </w:r>
      <w:r>
        <w:rPr>
          <w:rFonts w:hint="eastAsia" w:cs="Times New Roman"/>
          <w:color w:val="auto"/>
          <w:kern w:val="44"/>
        </w:rPr>
        <w:t>项目总投资为</w:t>
      </w:r>
      <w:r>
        <w:rPr>
          <w:rFonts w:cs="Times New Roman"/>
          <w:color w:val="auto"/>
          <w:kern w:val="44"/>
        </w:rPr>
        <w:t>3570.92</w:t>
      </w:r>
      <w:r>
        <w:rPr>
          <w:rFonts w:hint="eastAsia" w:cs="Times New Roman"/>
          <w:color w:val="auto"/>
          <w:kern w:val="44"/>
        </w:rPr>
        <w:t>万元。其中</w:t>
      </w:r>
      <w:r>
        <w:rPr>
          <w:rFonts w:cs="Times New Roman"/>
          <w:color w:val="auto"/>
          <w:kern w:val="44"/>
        </w:rPr>
        <w:t>工程直接费用2799.18</w:t>
      </w:r>
      <w:r>
        <w:rPr>
          <w:rFonts w:hint="eastAsia" w:cs="Times New Roman"/>
          <w:color w:val="auto"/>
          <w:kern w:val="44"/>
        </w:rPr>
        <w:t>万元，</w:t>
      </w:r>
      <w:r>
        <w:rPr>
          <w:rFonts w:cs="Times New Roman"/>
          <w:color w:val="auto"/>
          <w:kern w:val="44"/>
        </w:rPr>
        <w:t>其他费用367.02</w:t>
      </w:r>
      <w:r>
        <w:rPr>
          <w:rFonts w:hint="eastAsia" w:cs="Times New Roman"/>
          <w:color w:val="auto"/>
          <w:kern w:val="44"/>
        </w:rPr>
        <w:t>万元，</w:t>
      </w:r>
      <w:r>
        <w:rPr>
          <w:rFonts w:cs="Times New Roman"/>
          <w:color w:val="auto"/>
          <w:kern w:val="44"/>
        </w:rPr>
        <w:t>基本预备费284.96</w:t>
      </w:r>
      <w:r>
        <w:rPr>
          <w:rFonts w:hint="eastAsia" w:cs="Times New Roman"/>
          <w:color w:val="auto"/>
          <w:kern w:val="44"/>
        </w:rPr>
        <w:t>万元，水土保持专项费用为</w:t>
      </w:r>
      <w:r>
        <w:rPr>
          <w:rFonts w:cs="Times New Roman"/>
          <w:color w:val="auto"/>
          <w:kern w:val="44"/>
        </w:rPr>
        <w:t>119.76</w:t>
      </w:r>
      <w:r>
        <w:rPr>
          <w:rFonts w:hint="eastAsia" w:cs="Times New Roman"/>
          <w:color w:val="auto"/>
          <w:kern w:val="44"/>
        </w:rPr>
        <w:t>万元。</w:t>
      </w:r>
      <w:r>
        <w:rPr>
          <w:rFonts w:cs="Times New Roman"/>
          <w:color w:val="auto"/>
          <w:kern w:val="44"/>
        </w:rPr>
        <w:t>资金来源为使用中央水污染防治专项资金3500万元及地方自筹70.92万元。</w:t>
      </w:r>
    </w:p>
    <w:p>
      <w:pPr>
        <w:snapToGrid w:val="0"/>
        <w:ind w:firstLine="480"/>
        <w:rPr>
          <w:rFonts w:cs="Times New Roman"/>
          <w:color w:val="auto"/>
          <w:kern w:val="44"/>
        </w:rPr>
      </w:pPr>
      <w:r>
        <w:rPr>
          <w:rFonts w:cs="Times New Roman"/>
          <w:color w:val="auto"/>
          <w:kern w:val="44"/>
        </w:rPr>
        <w:t>（5）建设地点：项目位于</w:t>
      </w:r>
      <w:r>
        <w:rPr>
          <w:rFonts w:hint="eastAsia" w:cs="Times New Roman"/>
          <w:color w:val="auto"/>
          <w:kern w:val="44"/>
          <w:lang w:val="en-US" w:eastAsia="zh-CN"/>
        </w:rPr>
        <w:t>岚皋县岚河</w:t>
      </w:r>
      <w:r>
        <w:rPr>
          <w:rFonts w:cs="Times New Roman"/>
          <w:color w:val="auto"/>
          <w:kern w:val="44"/>
        </w:rPr>
        <w:t>流域，主要涉及</w:t>
      </w:r>
      <w:r>
        <w:rPr>
          <w:rFonts w:hint="eastAsia" w:cs="Times New Roman"/>
          <w:color w:val="auto"/>
          <w:kern w:val="44"/>
          <w:lang w:val="en-US" w:eastAsia="zh-CN"/>
        </w:rPr>
        <w:t>岚皋县城关镇、佐龙镇、蔺河镇、南宫山镇、孟石岭镇</w:t>
      </w:r>
      <w:r>
        <w:rPr>
          <w:rFonts w:cs="Times New Roman"/>
          <w:color w:val="auto"/>
          <w:kern w:val="44"/>
        </w:rPr>
        <w:t>。</w:t>
      </w:r>
    </w:p>
    <w:p>
      <w:pPr>
        <w:snapToGrid w:val="0"/>
        <w:ind w:firstLine="480"/>
        <w:rPr>
          <w:rFonts w:cs="Times New Roman"/>
          <w:color w:val="auto"/>
        </w:rPr>
      </w:pPr>
      <w:r>
        <w:rPr>
          <w:rFonts w:cs="Times New Roman"/>
          <w:color w:val="auto"/>
        </w:rPr>
        <w:t>（6）建设规模：</w:t>
      </w:r>
      <w:r>
        <w:rPr>
          <w:rFonts w:hint="eastAsia" w:cs="Times New Roman"/>
          <w:color w:val="auto"/>
        </w:rPr>
        <w:t>项目实施新建生态缓冲带15.78hm</w:t>
      </w:r>
      <w:r>
        <w:rPr>
          <w:rFonts w:hint="eastAsia" w:cs="Times New Roman"/>
          <w:color w:val="auto"/>
          <w:vertAlign w:val="superscript"/>
        </w:rPr>
        <w:t>2</w:t>
      </w:r>
      <w:r>
        <w:rPr>
          <w:rFonts w:hint="eastAsia" w:cs="Times New Roman"/>
          <w:color w:val="auto"/>
        </w:rPr>
        <w:t>，新建沟渠湿地0.30hm</w:t>
      </w:r>
      <w:r>
        <w:rPr>
          <w:rFonts w:hint="eastAsia" w:cs="Times New Roman"/>
          <w:color w:val="auto"/>
          <w:vertAlign w:val="superscript"/>
        </w:rPr>
        <w:t>2</w:t>
      </w:r>
      <w:r>
        <w:rPr>
          <w:rFonts w:hint="eastAsia" w:cs="Times New Roman"/>
          <w:color w:val="auto"/>
        </w:rPr>
        <w:t>，新建河床渗滤湿地0.62hm</w:t>
      </w:r>
      <w:r>
        <w:rPr>
          <w:rFonts w:hint="eastAsia" w:cs="Times New Roman"/>
          <w:color w:val="auto"/>
          <w:vertAlign w:val="superscript"/>
        </w:rPr>
        <w:t>2</w:t>
      </w:r>
      <w:r>
        <w:rPr>
          <w:rFonts w:hint="eastAsia" w:cs="Times New Roman"/>
          <w:color w:val="auto"/>
        </w:rPr>
        <w:t>，新建河道湿地1.34hm</w:t>
      </w:r>
      <w:r>
        <w:rPr>
          <w:rFonts w:hint="eastAsia" w:cs="Times New Roman"/>
          <w:color w:val="auto"/>
          <w:vertAlign w:val="superscript"/>
        </w:rPr>
        <w:t>2</w:t>
      </w:r>
      <w:r>
        <w:rPr>
          <w:rFonts w:hint="eastAsia" w:cs="Times New Roman"/>
          <w:color w:val="auto"/>
        </w:rPr>
        <w:t>，新建生态护坡1.44hm</w:t>
      </w:r>
      <w:r>
        <w:rPr>
          <w:rFonts w:hint="eastAsia" w:cs="Times New Roman"/>
          <w:color w:val="auto"/>
          <w:vertAlign w:val="superscript"/>
        </w:rPr>
        <w:t>2</w:t>
      </w:r>
      <w:r>
        <w:rPr>
          <w:rFonts w:hint="eastAsia" w:cs="Times New Roman"/>
          <w:color w:val="auto"/>
        </w:rPr>
        <w:t>，现状河堤加高250.81m，太阳能复氧曝气机15台。通过水环境综合治理，减少入河污染物总量，增加水生生物多样性，恢复河道生态缓冲功能和水体自净能力，持续改善水生态环境，保障岚河出境断面水质稳定达到且优于《地表水环境质量标准》（GB3838-2002）Ⅱ类标准。</w:t>
      </w:r>
    </w:p>
    <w:p>
      <w:pPr>
        <w:snapToGrid w:val="0"/>
        <w:ind w:firstLine="480"/>
        <w:rPr>
          <w:rFonts w:cs="Times New Roman"/>
          <w:color w:val="auto"/>
          <w:kern w:val="44"/>
        </w:rPr>
      </w:pPr>
      <w:r>
        <w:rPr>
          <w:rFonts w:cs="Times New Roman"/>
          <w:color w:val="auto"/>
          <w:kern w:val="44"/>
        </w:rPr>
        <w:t>（</w:t>
      </w:r>
      <w:r>
        <w:rPr>
          <w:rFonts w:hint="eastAsia" w:cs="Times New Roman"/>
          <w:color w:val="auto"/>
          <w:kern w:val="44"/>
          <w:lang w:val="en-US" w:eastAsia="zh-CN"/>
        </w:rPr>
        <w:t>7</w:t>
      </w:r>
      <w:r>
        <w:rPr>
          <w:rFonts w:cs="Times New Roman"/>
          <w:color w:val="auto"/>
          <w:kern w:val="44"/>
        </w:rPr>
        <w:t>）建设期限：计划于2023年</w:t>
      </w:r>
      <w:r>
        <w:rPr>
          <w:rFonts w:hint="eastAsia" w:cs="Times New Roman"/>
          <w:color w:val="auto"/>
          <w:kern w:val="44"/>
          <w:lang w:val="en-US" w:eastAsia="zh-CN"/>
        </w:rPr>
        <w:t>11</w:t>
      </w:r>
      <w:r>
        <w:rPr>
          <w:rFonts w:cs="Times New Roman"/>
          <w:color w:val="auto"/>
          <w:kern w:val="44"/>
        </w:rPr>
        <w:t>月动工建设，预计202</w:t>
      </w:r>
      <w:r>
        <w:rPr>
          <w:rFonts w:hint="eastAsia" w:cs="Times New Roman"/>
          <w:color w:val="auto"/>
          <w:kern w:val="44"/>
          <w:lang w:val="en-US" w:eastAsia="zh-CN"/>
        </w:rPr>
        <w:t>4</w:t>
      </w:r>
      <w:r>
        <w:rPr>
          <w:rFonts w:cs="Times New Roman"/>
          <w:color w:val="auto"/>
          <w:kern w:val="44"/>
        </w:rPr>
        <w:t>年</w:t>
      </w:r>
      <w:r>
        <w:rPr>
          <w:rFonts w:hint="eastAsia" w:cs="Times New Roman"/>
          <w:color w:val="auto"/>
          <w:kern w:val="44"/>
          <w:lang w:val="en-US" w:eastAsia="zh-CN"/>
        </w:rPr>
        <w:t>8</w:t>
      </w:r>
      <w:r>
        <w:rPr>
          <w:rFonts w:cs="Times New Roman"/>
          <w:color w:val="auto"/>
          <w:kern w:val="44"/>
        </w:rPr>
        <w:t>月建成，施工周期为</w:t>
      </w:r>
      <w:r>
        <w:rPr>
          <w:rFonts w:hint="eastAsia" w:cs="Times New Roman"/>
          <w:color w:val="auto"/>
          <w:kern w:val="44"/>
          <w:lang w:val="en-US" w:eastAsia="zh-CN"/>
        </w:rPr>
        <w:t>10</w:t>
      </w:r>
      <w:r>
        <w:rPr>
          <w:rFonts w:cs="Times New Roman"/>
          <w:color w:val="auto"/>
          <w:kern w:val="44"/>
        </w:rPr>
        <w:t>个月。施工高峰期施工人员200，平均施工工人100人。</w:t>
      </w:r>
    </w:p>
    <w:p>
      <w:pPr>
        <w:snapToGrid w:val="0"/>
        <w:ind w:firstLine="480"/>
        <w:rPr>
          <w:rFonts w:cs="Times New Roman"/>
          <w:color w:val="auto"/>
          <w:kern w:val="44"/>
        </w:rPr>
      </w:pPr>
      <w:r>
        <w:rPr>
          <w:rFonts w:cs="Times New Roman"/>
          <w:color w:val="auto"/>
          <w:kern w:val="44"/>
        </w:rPr>
        <w:t>项目工程内容及规模情况见一览表3.</w:t>
      </w:r>
      <w:r>
        <w:rPr>
          <w:rFonts w:hint="eastAsia" w:cs="Times New Roman"/>
          <w:color w:val="auto"/>
          <w:kern w:val="44"/>
          <w:lang w:val="en-US" w:eastAsia="zh-CN"/>
        </w:rPr>
        <w:t>2</w:t>
      </w:r>
      <w:r>
        <w:rPr>
          <w:rFonts w:cs="Times New Roman"/>
          <w:color w:val="auto"/>
          <w:kern w:val="44"/>
        </w:rPr>
        <w:t>-1</w:t>
      </w:r>
      <w:r>
        <w:rPr>
          <w:rFonts w:hint="eastAsia" w:cs="Times New Roman"/>
          <w:color w:val="auto"/>
          <w:kern w:val="44"/>
        </w:rPr>
        <w:t>，工程特性表见表3</w:t>
      </w:r>
      <w:r>
        <w:rPr>
          <w:rFonts w:cs="Times New Roman"/>
          <w:color w:val="auto"/>
          <w:kern w:val="44"/>
        </w:rPr>
        <w:t>.</w:t>
      </w:r>
      <w:r>
        <w:rPr>
          <w:rFonts w:hint="eastAsia" w:cs="Times New Roman"/>
          <w:color w:val="auto"/>
          <w:kern w:val="44"/>
          <w:lang w:val="en-US" w:eastAsia="zh-CN"/>
        </w:rPr>
        <w:t>2</w:t>
      </w:r>
      <w:r>
        <w:rPr>
          <w:rFonts w:hint="eastAsia" w:cs="Times New Roman"/>
          <w:color w:val="auto"/>
          <w:kern w:val="44"/>
        </w:rPr>
        <w:t>-</w:t>
      </w:r>
      <w:r>
        <w:rPr>
          <w:rFonts w:cs="Times New Roman"/>
          <w:color w:val="auto"/>
          <w:kern w:val="44"/>
        </w:rPr>
        <w:t>2。</w:t>
      </w:r>
    </w:p>
    <w:p>
      <w:pPr>
        <w:snapToGrid w:val="0"/>
        <w:spacing w:line="240" w:lineRule="auto"/>
        <w:ind w:firstLine="0" w:firstLineChars="0"/>
        <w:jc w:val="center"/>
        <w:rPr>
          <w:rFonts w:cs="Times New Roman"/>
          <w:b/>
          <w:color w:val="auto"/>
          <w:kern w:val="44"/>
        </w:rPr>
      </w:pPr>
      <w:r>
        <w:rPr>
          <w:rFonts w:cs="Times New Roman"/>
          <w:b/>
          <w:color w:val="auto"/>
          <w:kern w:val="44"/>
        </w:rPr>
        <w:t>表3.</w:t>
      </w:r>
      <w:r>
        <w:rPr>
          <w:rFonts w:hint="eastAsia" w:cs="Times New Roman"/>
          <w:b/>
          <w:color w:val="auto"/>
          <w:kern w:val="44"/>
          <w:lang w:val="en-US" w:eastAsia="zh-CN"/>
        </w:rPr>
        <w:t>2</w:t>
      </w:r>
      <w:r>
        <w:rPr>
          <w:rFonts w:cs="Times New Roman"/>
          <w:b/>
          <w:color w:val="auto"/>
          <w:kern w:val="44"/>
        </w:rPr>
        <w:t>-1   工程内容及规模一览表</w:t>
      </w:r>
    </w:p>
    <w:tbl>
      <w:tblPr>
        <w:tblStyle w:val="42"/>
        <w:tblW w:w="94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31"/>
        <w:gridCol w:w="1119"/>
        <w:gridCol w:w="7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6" w:hRule="exact"/>
          <w:tblHeader/>
          <w:jc w:val="center"/>
        </w:trPr>
        <w:tc>
          <w:tcPr>
            <w:tcW w:w="1131" w:type="dxa"/>
            <w:tcBorders>
              <w:bottom w:val="single" w:color="auto" w:sz="12" w:space="0"/>
            </w:tcBorders>
            <w:vAlign w:val="center"/>
          </w:tcPr>
          <w:p>
            <w:pPr>
              <w:topLinePunct/>
              <w:adjustRightInd w:val="0"/>
              <w:snapToGrid w:val="0"/>
              <w:spacing w:line="240" w:lineRule="auto"/>
              <w:ind w:firstLine="0" w:firstLineChars="0"/>
              <w:jc w:val="center"/>
              <w:rPr>
                <w:rFonts w:cs="Times New Roman"/>
                <w:b/>
                <w:snapToGrid w:val="0"/>
                <w:color w:val="auto"/>
                <w:kern w:val="0"/>
                <w:sz w:val="21"/>
                <w:szCs w:val="21"/>
              </w:rPr>
            </w:pPr>
            <w:r>
              <w:rPr>
                <w:rFonts w:cs="Times New Roman"/>
                <w:b/>
                <w:snapToGrid w:val="0"/>
                <w:color w:val="auto"/>
                <w:kern w:val="0"/>
                <w:sz w:val="21"/>
                <w:szCs w:val="21"/>
              </w:rPr>
              <w:t>项目名称</w:t>
            </w:r>
          </w:p>
        </w:tc>
        <w:tc>
          <w:tcPr>
            <w:tcW w:w="1119" w:type="dxa"/>
            <w:tcBorders>
              <w:bottom w:val="single" w:color="auto" w:sz="12" w:space="0"/>
            </w:tcBorders>
            <w:vAlign w:val="center"/>
          </w:tcPr>
          <w:p>
            <w:pPr>
              <w:topLinePunct/>
              <w:adjustRightInd w:val="0"/>
              <w:snapToGrid w:val="0"/>
              <w:spacing w:line="240" w:lineRule="auto"/>
              <w:ind w:firstLine="0" w:firstLineChars="0"/>
              <w:jc w:val="center"/>
              <w:rPr>
                <w:rFonts w:cs="Times New Roman"/>
                <w:b/>
                <w:snapToGrid w:val="0"/>
                <w:color w:val="auto"/>
                <w:kern w:val="0"/>
                <w:sz w:val="21"/>
                <w:szCs w:val="21"/>
              </w:rPr>
            </w:pPr>
            <w:r>
              <w:rPr>
                <w:rFonts w:cs="Times New Roman"/>
                <w:b/>
                <w:snapToGrid w:val="0"/>
                <w:color w:val="auto"/>
                <w:kern w:val="0"/>
                <w:sz w:val="21"/>
                <w:szCs w:val="21"/>
              </w:rPr>
              <w:t>工程内容</w:t>
            </w:r>
          </w:p>
        </w:tc>
        <w:tc>
          <w:tcPr>
            <w:tcW w:w="7222" w:type="dxa"/>
            <w:tcBorders>
              <w:bottom w:val="single" w:color="auto" w:sz="12" w:space="0"/>
            </w:tcBorders>
            <w:vAlign w:val="center"/>
          </w:tcPr>
          <w:p>
            <w:pPr>
              <w:topLinePunct/>
              <w:adjustRightInd w:val="0"/>
              <w:snapToGrid w:val="0"/>
              <w:spacing w:line="240" w:lineRule="auto"/>
              <w:ind w:firstLine="0" w:firstLineChars="0"/>
              <w:jc w:val="center"/>
              <w:rPr>
                <w:rFonts w:cs="Times New Roman"/>
                <w:b/>
                <w:snapToGrid w:val="0"/>
                <w:color w:val="auto"/>
                <w:kern w:val="0"/>
                <w:sz w:val="21"/>
                <w:szCs w:val="21"/>
              </w:rPr>
            </w:pPr>
            <w:r>
              <w:rPr>
                <w:rFonts w:cs="Times New Roman"/>
                <w:b/>
                <w:snapToGrid w:val="0"/>
                <w:color w:val="auto"/>
                <w:kern w:val="0"/>
                <w:sz w:val="21"/>
                <w:szCs w:val="21"/>
              </w:rPr>
              <w:t>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1" w:hRule="atLeast"/>
          <w:jc w:val="center"/>
        </w:trPr>
        <w:tc>
          <w:tcPr>
            <w:tcW w:w="1131" w:type="dxa"/>
            <w:vMerge w:val="restart"/>
            <w:tcBorders>
              <w:top w:val="single" w:color="auto" w:sz="12" w:space="0"/>
            </w:tcBorders>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主体工程</w:t>
            </w:r>
          </w:p>
        </w:tc>
        <w:tc>
          <w:tcPr>
            <w:tcW w:w="1119" w:type="dxa"/>
            <w:tcBorders>
              <w:top w:val="single" w:color="auto" w:sz="12" w:space="0"/>
            </w:tcBorders>
            <w:vAlign w:val="center"/>
          </w:tcPr>
          <w:p>
            <w:pPr>
              <w:autoSpaceDE w:val="0"/>
              <w:autoSpaceDN w:val="0"/>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snapToGrid w:val="0"/>
                <w:color w:val="auto"/>
                <w:kern w:val="0"/>
                <w:sz w:val="21"/>
                <w:szCs w:val="21"/>
              </w:rPr>
              <w:t>佐龙镇段</w:t>
            </w:r>
          </w:p>
        </w:tc>
        <w:tc>
          <w:tcPr>
            <w:tcW w:w="7222" w:type="dxa"/>
            <w:tcBorders>
              <w:top w:val="single" w:color="auto" w:sz="12" w:space="0"/>
            </w:tcBorders>
            <w:vAlign w:val="center"/>
          </w:tcPr>
          <w:p>
            <w:pPr>
              <w:widowControl/>
              <w:topLinePunct/>
              <w:adjustRightInd w:val="0"/>
              <w:snapToGrid w:val="0"/>
              <w:spacing w:line="240" w:lineRule="auto"/>
              <w:ind w:firstLine="0" w:firstLineChars="0"/>
              <w:jc w:val="both"/>
              <w:rPr>
                <w:rFonts w:hint="default" w:eastAsia="宋体" w:cs="Times New Roman"/>
                <w:bCs/>
                <w:snapToGrid w:val="0"/>
                <w:color w:val="auto"/>
                <w:kern w:val="0"/>
                <w:sz w:val="21"/>
                <w:szCs w:val="21"/>
                <w:lang w:val="en-US" w:eastAsia="zh-CN"/>
              </w:rPr>
            </w:pPr>
            <w:r>
              <w:rPr>
                <w:rFonts w:cs="Times New Roman"/>
                <w:bCs/>
                <w:snapToGrid w:val="0"/>
                <w:color w:val="auto"/>
                <w:kern w:val="0"/>
                <w:sz w:val="21"/>
                <w:szCs w:val="21"/>
              </w:rPr>
              <w:t>佐龙镇污水处理厂段</w:t>
            </w:r>
            <w:r>
              <w:rPr>
                <w:rFonts w:hint="eastAsia" w:cs="Times New Roman"/>
                <w:bCs/>
                <w:snapToGrid w:val="0"/>
                <w:color w:val="auto"/>
                <w:kern w:val="0"/>
                <w:sz w:val="21"/>
                <w:szCs w:val="21"/>
                <w:lang w:val="en-US" w:eastAsia="zh-CN"/>
              </w:rPr>
              <w:t>新建生态缓冲带4540.30m</w:t>
            </w:r>
            <w:r>
              <w:rPr>
                <w:rFonts w:hint="eastAsia" w:cs="Times New Roman"/>
                <w:bCs/>
                <w:snapToGrid w:val="0"/>
                <w:color w:val="auto"/>
                <w:kern w:val="0"/>
                <w:sz w:val="21"/>
                <w:szCs w:val="21"/>
                <w:vertAlign w:val="superscript"/>
                <w:lang w:val="en-US" w:eastAsia="zh-CN"/>
              </w:rPr>
              <w:t>2</w:t>
            </w:r>
            <w:r>
              <w:rPr>
                <w:rFonts w:hint="eastAsia" w:cs="Times New Roman"/>
                <w:bCs/>
                <w:snapToGrid w:val="0"/>
                <w:color w:val="auto"/>
                <w:kern w:val="0"/>
                <w:sz w:val="21"/>
                <w:szCs w:val="21"/>
                <w:lang w:eastAsia="zh-CN"/>
              </w:rPr>
              <w:t>；马宗村至谢家碥段</w:t>
            </w:r>
            <w:r>
              <w:rPr>
                <w:rFonts w:hint="eastAsia" w:cs="Times New Roman"/>
                <w:bCs/>
                <w:snapToGrid w:val="0"/>
                <w:color w:val="auto"/>
                <w:kern w:val="0"/>
                <w:sz w:val="21"/>
                <w:szCs w:val="21"/>
                <w:lang w:val="en-US" w:eastAsia="zh-CN"/>
              </w:rPr>
              <w:t>新建生态缓冲带29228.96m</w:t>
            </w:r>
            <w:r>
              <w:rPr>
                <w:rFonts w:hint="eastAsia" w:cs="Times New Roman"/>
                <w:bCs/>
                <w:snapToGrid w:val="0"/>
                <w:color w:val="auto"/>
                <w:kern w:val="0"/>
                <w:sz w:val="21"/>
                <w:szCs w:val="21"/>
                <w:vertAlign w:val="superscript"/>
                <w:lang w:val="en-US" w:eastAsia="zh-CN"/>
              </w:rPr>
              <w:t>2</w:t>
            </w:r>
            <w:r>
              <w:rPr>
                <w:rFonts w:hint="eastAsia" w:cs="Times New Roman"/>
                <w:bCs/>
                <w:snapToGrid w:val="0"/>
                <w:color w:val="auto"/>
                <w:kern w:val="0"/>
                <w:sz w:val="21"/>
                <w:szCs w:val="21"/>
                <w:lang w:eastAsia="zh-CN"/>
              </w:rPr>
              <w:t>；金珠店段</w:t>
            </w:r>
            <w:r>
              <w:rPr>
                <w:rFonts w:hint="eastAsia" w:cs="Times New Roman"/>
                <w:bCs/>
                <w:snapToGrid w:val="0"/>
                <w:color w:val="auto"/>
                <w:kern w:val="0"/>
                <w:sz w:val="21"/>
                <w:szCs w:val="21"/>
                <w:lang w:val="en-US" w:eastAsia="zh-CN"/>
              </w:rPr>
              <w:t>新建生态缓冲带60511.26m</w:t>
            </w:r>
            <w:r>
              <w:rPr>
                <w:rFonts w:hint="eastAsia" w:cs="Times New Roman"/>
                <w:bCs/>
                <w:snapToGrid w:val="0"/>
                <w:color w:val="auto"/>
                <w:kern w:val="0"/>
                <w:sz w:val="21"/>
                <w:szCs w:val="21"/>
                <w:vertAlign w:val="superscript"/>
                <w:lang w:val="en-US" w:eastAsia="zh-CN"/>
              </w:rPr>
              <w:t>2</w:t>
            </w:r>
            <w:r>
              <w:rPr>
                <w:rFonts w:hint="eastAsia" w:cs="Times New Roman"/>
                <w:bCs/>
                <w:snapToGrid w:val="0"/>
                <w:color w:val="auto"/>
                <w:kern w:val="0"/>
                <w:sz w:val="21"/>
                <w:szCs w:val="21"/>
                <w:lang w:val="en-US" w:eastAsia="zh-CN"/>
              </w:rPr>
              <w:t>；蜡烛村段新建生态缓冲带5354.99m</w:t>
            </w:r>
            <w:r>
              <w:rPr>
                <w:rFonts w:hint="eastAsia" w:cs="Times New Roman"/>
                <w:bCs/>
                <w:snapToGrid w:val="0"/>
                <w:color w:val="auto"/>
                <w:kern w:val="0"/>
                <w:sz w:val="21"/>
                <w:szCs w:val="21"/>
                <w:vertAlign w:val="superscript"/>
                <w:lang w:val="en-US" w:eastAsia="zh-CN"/>
              </w:rPr>
              <w:t>2</w:t>
            </w:r>
            <w:r>
              <w:rPr>
                <w:rFonts w:hint="eastAsia" w:cs="Times New Roman"/>
                <w:bCs/>
                <w:snapToGrid w:val="0"/>
                <w:color w:val="auto"/>
                <w:kern w:val="0"/>
                <w:sz w:val="21"/>
                <w:szCs w:val="21"/>
                <w:lang w:val="en-US" w:eastAsia="zh-CN"/>
              </w:rPr>
              <w:t>；太阳能深度复氧机6台。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50" w:hRule="atLeast"/>
          <w:jc w:val="center"/>
        </w:trPr>
        <w:tc>
          <w:tcPr>
            <w:tcW w:w="1131" w:type="dxa"/>
            <w:vMerge w:val="continue"/>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p>
        </w:tc>
        <w:tc>
          <w:tcPr>
            <w:tcW w:w="1119" w:type="dxa"/>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snapToGrid w:val="0"/>
                <w:color w:val="auto"/>
                <w:kern w:val="0"/>
                <w:sz w:val="21"/>
                <w:szCs w:val="21"/>
              </w:rPr>
              <w:t>城关镇段</w:t>
            </w:r>
          </w:p>
        </w:tc>
        <w:tc>
          <w:tcPr>
            <w:tcW w:w="7222" w:type="dxa"/>
            <w:vAlign w:val="center"/>
          </w:tcPr>
          <w:p>
            <w:pPr>
              <w:widowControl/>
              <w:topLinePunct/>
              <w:adjustRightInd w:val="0"/>
              <w:snapToGrid w:val="0"/>
              <w:spacing w:line="240" w:lineRule="auto"/>
              <w:ind w:firstLine="0" w:firstLineChars="0"/>
              <w:jc w:val="both"/>
              <w:rPr>
                <w:rFonts w:hint="default" w:cs="Times New Roman"/>
                <w:snapToGrid w:val="0"/>
                <w:color w:val="auto"/>
                <w:kern w:val="0"/>
                <w:sz w:val="21"/>
                <w:szCs w:val="21"/>
                <w:lang w:val="en-US"/>
              </w:rPr>
            </w:pPr>
            <w:r>
              <w:rPr>
                <w:rFonts w:hint="eastAsia" w:cs="Times New Roman"/>
                <w:snapToGrid w:val="0"/>
                <w:color w:val="auto"/>
                <w:kern w:val="0"/>
                <w:sz w:val="21"/>
                <w:szCs w:val="21"/>
                <w:lang w:val="en-US" w:eastAsia="zh-CN"/>
              </w:rPr>
              <w:t>水田村</w:t>
            </w:r>
            <w:r>
              <w:rPr>
                <w:rFonts w:hint="eastAsia" w:cs="Times New Roman"/>
                <w:snapToGrid w:val="0"/>
                <w:color w:val="auto"/>
                <w:kern w:val="0"/>
                <w:sz w:val="21"/>
                <w:szCs w:val="21"/>
              </w:rPr>
              <w:t>段</w:t>
            </w:r>
            <w:r>
              <w:rPr>
                <w:rFonts w:hint="eastAsia" w:cs="Times New Roman"/>
                <w:bCs/>
                <w:snapToGrid w:val="0"/>
                <w:color w:val="auto"/>
                <w:kern w:val="0"/>
                <w:sz w:val="21"/>
                <w:szCs w:val="21"/>
                <w:lang w:val="en-US" w:eastAsia="zh-CN"/>
              </w:rPr>
              <w:t>新建生态缓冲带12455.41m</w:t>
            </w:r>
            <w:r>
              <w:rPr>
                <w:rFonts w:hint="eastAsia" w:cs="Times New Roman"/>
                <w:bCs/>
                <w:snapToGrid w:val="0"/>
                <w:color w:val="auto"/>
                <w:kern w:val="0"/>
                <w:sz w:val="21"/>
                <w:szCs w:val="21"/>
                <w:vertAlign w:val="superscript"/>
                <w:lang w:val="en-US" w:eastAsia="zh-CN"/>
              </w:rPr>
              <w:t>2</w:t>
            </w:r>
            <w:r>
              <w:rPr>
                <w:rFonts w:hint="eastAsia" w:cs="Times New Roman"/>
                <w:bCs/>
                <w:snapToGrid w:val="0"/>
                <w:color w:val="auto"/>
                <w:kern w:val="0"/>
                <w:sz w:val="21"/>
                <w:szCs w:val="21"/>
                <w:lang w:eastAsia="zh-CN"/>
              </w:rPr>
              <w:t>、</w:t>
            </w:r>
            <w:r>
              <w:rPr>
                <w:rFonts w:hint="eastAsia" w:cs="Times New Roman"/>
                <w:bCs/>
                <w:snapToGrid w:val="0"/>
                <w:color w:val="auto"/>
                <w:kern w:val="0"/>
                <w:sz w:val="21"/>
                <w:szCs w:val="21"/>
                <w:lang w:val="en-US" w:eastAsia="zh-CN"/>
              </w:rPr>
              <w:t>河道</w:t>
            </w:r>
            <w:r>
              <w:rPr>
                <w:rFonts w:hint="eastAsia" w:cs="Times New Roman"/>
                <w:bCs/>
                <w:snapToGrid w:val="0"/>
                <w:color w:val="auto"/>
                <w:kern w:val="0"/>
                <w:sz w:val="21"/>
                <w:szCs w:val="21"/>
                <w:lang w:eastAsia="zh-CN"/>
              </w:rPr>
              <w:t>湿地</w:t>
            </w:r>
            <w:r>
              <w:rPr>
                <w:rFonts w:hint="eastAsia" w:cs="Times New Roman"/>
                <w:bCs/>
                <w:snapToGrid w:val="0"/>
                <w:color w:val="auto"/>
                <w:kern w:val="0"/>
                <w:sz w:val="21"/>
                <w:szCs w:val="21"/>
                <w:lang w:val="en-US" w:eastAsia="zh-CN"/>
              </w:rPr>
              <w:t>7949.17m</w:t>
            </w:r>
            <w:r>
              <w:rPr>
                <w:rFonts w:hint="eastAsia" w:cs="Times New Roman"/>
                <w:bCs/>
                <w:snapToGrid w:val="0"/>
                <w:color w:val="auto"/>
                <w:kern w:val="0"/>
                <w:sz w:val="21"/>
                <w:szCs w:val="21"/>
                <w:vertAlign w:val="superscript"/>
                <w:lang w:val="en-US" w:eastAsia="zh-CN"/>
              </w:rPr>
              <w:t>2</w:t>
            </w:r>
            <w:r>
              <w:rPr>
                <w:rFonts w:hint="eastAsia" w:cs="Times New Roman"/>
                <w:bCs/>
                <w:snapToGrid w:val="0"/>
                <w:color w:val="auto"/>
                <w:kern w:val="0"/>
                <w:sz w:val="21"/>
                <w:szCs w:val="21"/>
                <w:lang w:eastAsia="zh-CN"/>
              </w:rPr>
              <w:t>；联坪村至罗景坪社区段</w:t>
            </w:r>
            <w:r>
              <w:rPr>
                <w:rFonts w:hint="eastAsia" w:cs="Times New Roman"/>
                <w:bCs/>
                <w:snapToGrid w:val="0"/>
                <w:color w:val="auto"/>
                <w:kern w:val="0"/>
                <w:sz w:val="21"/>
                <w:szCs w:val="21"/>
                <w:lang w:val="en-US" w:eastAsia="zh-CN"/>
              </w:rPr>
              <w:t>新建生态缓冲带31192.36m</w:t>
            </w:r>
            <w:r>
              <w:rPr>
                <w:rFonts w:hint="eastAsia" w:cs="Times New Roman"/>
                <w:bCs/>
                <w:snapToGrid w:val="0"/>
                <w:color w:val="auto"/>
                <w:kern w:val="0"/>
                <w:sz w:val="21"/>
                <w:szCs w:val="21"/>
                <w:vertAlign w:val="superscript"/>
                <w:lang w:val="en-US" w:eastAsia="zh-CN"/>
              </w:rPr>
              <w:t>2</w:t>
            </w:r>
            <w:r>
              <w:rPr>
                <w:rFonts w:hint="eastAsia" w:cs="Times New Roman"/>
                <w:bCs/>
                <w:snapToGrid w:val="0"/>
                <w:color w:val="auto"/>
                <w:kern w:val="0"/>
                <w:sz w:val="21"/>
                <w:szCs w:val="21"/>
                <w:lang w:eastAsia="zh-CN"/>
              </w:rPr>
              <w:t>、沟渠湿地</w:t>
            </w:r>
            <w:r>
              <w:rPr>
                <w:rFonts w:hint="eastAsia" w:cs="Times New Roman"/>
                <w:bCs/>
                <w:snapToGrid w:val="0"/>
                <w:color w:val="auto"/>
                <w:kern w:val="0"/>
                <w:sz w:val="21"/>
                <w:szCs w:val="21"/>
                <w:lang w:val="en-US" w:eastAsia="zh-CN"/>
              </w:rPr>
              <w:t>3009.66m</w:t>
            </w:r>
            <w:r>
              <w:rPr>
                <w:rFonts w:hint="eastAsia" w:cs="Times New Roman"/>
                <w:bCs/>
                <w:snapToGrid w:val="0"/>
                <w:color w:val="auto"/>
                <w:kern w:val="0"/>
                <w:sz w:val="21"/>
                <w:szCs w:val="21"/>
                <w:vertAlign w:val="superscript"/>
                <w:lang w:val="en-US" w:eastAsia="zh-CN"/>
              </w:rPr>
              <w:t>2</w:t>
            </w:r>
            <w:r>
              <w:rPr>
                <w:rFonts w:hint="eastAsia" w:cs="Times New Roman"/>
                <w:bCs/>
                <w:snapToGrid w:val="0"/>
                <w:color w:val="auto"/>
                <w:kern w:val="0"/>
                <w:sz w:val="21"/>
                <w:szCs w:val="21"/>
                <w:lang w:eastAsia="zh-CN"/>
              </w:rPr>
              <w:t>、河床渗滤湿地</w:t>
            </w:r>
            <w:r>
              <w:rPr>
                <w:rFonts w:hint="eastAsia" w:cs="Times New Roman"/>
                <w:bCs/>
                <w:snapToGrid w:val="0"/>
                <w:color w:val="auto"/>
                <w:kern w:val="0"/>
                <w:sz w:val="21"/>
                <w:szCs w:val="21"/>
                <w:lang w:val="en-US" w:eastAsia="zh-CN"/>
              </w:rPr>
              <w:t>6218.50</w:t>
            </w:r>
            <w:r>
              <w:rPr>
                <w:rFonts w:hint="eastAsia" w:cs="Times New Roman"/>
                <w:bCs/>
                <w:snapToGrid w:val="0"/>
                <w:color w:val="auto"/>
                <w:kern w:val="0"/>
                <w:sz w:val="21"/>
                <w:szCs w:val="21"/>
                <w:lang w:eastAsia="zh-CN"/>
              </w:rPr>
              <w:t>m</w:t>
            </w:r>
            <w:r>
              <w:rPr>
                <w:rFonts w:hint="eastAsia" w:cs="Times New Roman"/>
                <w:bCs/>
                <w:snapToGrid w:val="0"/>
                <w:color w:val="auto"/>
                <w:kern w:val="0"/>
                <w:sz w:val="21"/>
                <w:szCs w:val="21"/>
                <w:vertAlign w:val="superscript"/>
                <w:lang w:eastAsia="zh-CN"/>
              </w:rPr>
              <w:t>2</w:t>
            </w:r>
            <w:r>
              <w:rPr>
                <w:rFonts w:hint="eastAsia" w:cs="Times New Roman"/>
                <w:bCs/>
                <w:snapToGrid w:val="0"/>
                <w:color w:val="auto"/>
                <w:kern w:val="0"/>
                <w:sz w:val="21"/>
                <w:szCs w:val="21"/>
                <w:lang w:eastAsia="zh-CN"/>
              </w:rPr>
              <w:t>、河道湿地</w:t>
            </w:r>
            <w:r>
              <w:rPr>
                <w:rFonts w:hint="eastAsia" w:cs="Times New Roman"/>
                <w:bCs/>
                <w:snapToGrid w:val="0"/>
                <w:color w:val="auto"/>
                <w:kern w:val="0"/>
                <w:sz w:val="21"/>
                <w:szCs w:val="21"/>
                <w:lang w:val="en-US" w:eastAsia="zh-CN"/>
              </w:rPr>
              <w:t>2134.70</w:t>
            </w:r>
            <w:r>
              <w:rPr>
                <w:rFonts w:hint="eastAsia" w:cs="Times New Roman"/>
                <w:bCs/>
                <w:snapToGrid w:val="0"/>
                <w:color w:val="auto"/>
                <w:kern w:val="0"/>
                <w:sz w:val="21"/>
                <w:szCs w:val="21"/>
                <w:lang w:eastAsia="zh-CN"/>
              </w:rPr>
              <w:t>m</w:t>
            </w:r>
            <w:r>
              <w:rPr>
                <w:rFonts w:hint="eastAsia" w:cs="Times New Roman"/>
                <w:bCs/>
                <w:snapToGrid w:val="0"/>
                <w:color w:val="auto"/>
                <w:kern w:val="0"/>
                <w:sz w:val="21"/>
                <w:szCs w:val="21"/>
                <w:vertAlign w:val="superscript"/>
                <w:lang w:eastAsia="zh-CN"/>
              </w:rPr>
              <w:t>2</w:t>
            </w:r>
            <w:r>
              <w:rPr>
                <w:rFonts w:hint="eastAsia" w:cs="Times New Roman"/>
                <w:bCs/>
                <w:snapToGrid w:val="0"/>
                <w:color w:val="auto"/>
                <w:kern w:val="0"/>
                <w:sz w:val="21"/>
                <w:szCs w:val="21"/>
                <w:lang w:val="en-US" w:eastAsia="zh-CN"/>
              </w:rPr>
              <w:t>；六口村段新建生态护坡4876.15m</w:t>
            </w:r>
            <w:r>
              <w:rPr>
                <w:rFonts w:hint="eastAsia" w:cs="Times New Roman"/>
                <w:bCs/>
                <w:snapToGrid w:val="0"/>
                <w:color w:val="auto"/>
                <w:kern w:val="0"/>
                <w:sz w:val="21"/>
                <w:szCs w:val="21"/>
                <w:vertAlign w:val="superscript"/>
                <w:lang w:val="en-US" w:eastAsia="zh-CN"/>
              </w:rPr>
              <w:t>2</w:t>
            </w:r>
            <w:r>
              <w:rPr>
                <w:rFonts w:hint="eastAsia" w:cs="Times New Roman"/>
                <w:bCs/>
                <w:snapToGrid w:val="0"/>
                <w:color w:val="auto"/>
                <w:kern w:val="0"/>
                <w:sz w:val="21"/>
                <w:szCs w:val="21"/>
                <w:lang w:eastAsia="zh-CN"/>
              </w:rPr>
              <w:t>；纯太阳能喷泉复氧机5台，太阳能潜水推流曝气机4台。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1131" w:type="dxa"/>
            <w:vMerge w:val="continue"/>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p>
        </w:tc>
        <w:tc>
          <w:tcPr>
            <w:tcW w:w="1119" w:type="dxa"/>
            <w:vAlign w:val="center"/>
          </w:tcPr>
          <w:p>
            <w:pPr>
              <w:topLinePunct/>
              <w:adjustRightInd w:val="0"/>
              <w:snapToGrid w:val="0"/>
              <w:spacing w:line="240" w:lineRule="auto"/>
              <w:ind w:firstLine="0" w:firstLineChars="0"/>
              <w:jc w:val="center"/>
              <w:rPr>
                <w:rFonts w:hint="eastAsia" w:eastAsia="宋体" w:cs="Times New Roman"/>
                <w:b/>
                <w:bCs/>
                <w:snapToGrid w:val="0"/>
                <w:color w:val="auto"/>
                <w:kern w:val="0"/>
                <w:sz w:val="21"/>
                <w:szCs w:val="21"/>
                <w:lang w:val="en-US" w:eastAsia="zh-CN"/>
              </w:rPr>
            </w:pPr>
            <w:r>
              <w:rPr>
                <w:rFonts w:cs="Times New Roman"/>
                <w:b/>
                <w:bCs/>
                <w:snapToGrid w:val="0"/>
                <w:color w:val="auto"/>
                <w:kern w:val="0"/>
                <w:sz w:val="21"/>
                <w:szCs w:val="21"/>
              </w:rPr>
              <w:t>孟石岭镇</w:t>
            </w:r>
            <w:r>
              <w:rPr>
                <w:rFonts w:hint="eastAsia" w:cs="Times New Roman"/>
                <w:b/>
                <w:bCs/>
                <w:snapToGrid w:val="0"/>
                <w:color w:val="auto"/>
                <w:kern w:val="0"/>
                <w:sz w:val="21"/>
                <w:szCs w:val="21"/>
                <w:lang w:val="en-US" w:eastAsia="zh-CN"/>
              </w:rPr>
              <w:t>段</w:t>
            </w:r>
          </w:p>
        </w:tc>
        <w:tc>
          <w:tcPr>
            <w:tcW w:w="7222" w:type="dxa"/>
            <w:vAlign w:val="center"/>
          </w:tcPr>
          <w:p>
            <w:pPr>
              <w:autoSpaceDE w:val="0"/>
              <w:autoSpaceDN w:val="0"/>
              <w:adjustRightInd w:val="0"/>
              <w:snapToGrid w:val="0"/>
              <w:spacing w:line="240" w:lineRule="auto"/>
              <w:ind w:firstLine="0" w:firstLineChars="0"/>
              <w:jc w:val="left"/>
              <w:rPr>
                <w:rFonts w:cs="Times New Roman"/>
                <w:snapToGrid w:val="0"/>
                <w:color w:val="auto"/>
                <w:kern w:val="0"/>
                <w:sz w:val="21"/>
                <w:szCs w:val="21"/>
              </w:rPr>
            </w:pPr>
            <w:r>
              <w:rPr>
                <w:rFonts w:hint="eastAsia" w:cs="Times New Roman"/>
                <w:snapToGrid w:val="0"/>
                <w:color w:val="auto"/>
                <w:kern w:val="0"/>
                <w:sz w:val="21"/>
                <w:szCs w:val="21"/>
              </w:rPr>
              <w:t>九台村段</w:t>
            </w:r>
            <w:r>
              <w:rPr>
                <w:rFonts w:hint="eastAsia" w:cs="Times New Roman"/>
                <w:snapToGrid w:val="0"/>
                <w:color w:val="auto"/>
                <w:kern w:val="0"/>
                <w:sz w:val="21"/>
                <w:szCs w:val="21"/>
                <w:lang w:val="en-US" w:eastAsia="zh-CN"/>
              </w:rPr>
              <w:t>新建</w:t>
            </w:r>
            <w:r>
              <w:rPr>
                <w:rFonts w:hint="eastAsia" w:cs="Times New Roman"/>
                <w:bCs/>
                <w:snapToGrid w:val="0"/>
                <w:color w:val="auto"/>
                <w:kern w:val="0"/>
                <w:sz w:val="21"/>
                <w:szCs w:val="21"/>
                <w:lang w:val="en-US" w:eastAsia="zh-CN"/>
              </w:rPr>
              <w:t>生态缓冲带10400.36m</w:t>
            </w:r>
            <w:r>
              <w:rPr>
                <w:rFonts w:hint="eastAsia" w:cs="Times New Roman"/>
                <w:bCs/>
                <w:snapToGrid w:val="0"/>
                <w:color w:val="auto"/>
                <w:kern w:val="0"/>
                <w:sz w:val="21"/>
                <w:szCs w:val="21"/>
                <w:vertAlign w:val="superscript"/>
                <w:lang w:val="en-US" w:eastAsia="zh-CN"/>
              </w:rPr>
              <w:t>2</w:t>
            </w:r>
            <w:r>
              <w:rPr>
                <w:rFonts w:hint="eastAsia" w:cs="Times New Roman"/>
                <w:snapToGrid w:val="0"/>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0" w:hRule="atLeast"/>
          <w:jc w:val="center"/>
        </w:trPr>
        <w:tc>
          <w:tcPr>
            <w:tcW w:w="1131" w:type="dxa"/>
            <w:vMerge w:val="continue"/>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p>
        </w:tc>
        <w:tc>
          <w:tcPr>
            <w:tcW w:w="1119" w:type="dxa"/>
            <w:vAlign w:val="center"/>
          </w:tcPr>
          <w:p>
            <w:pPr>
              <w:topLinePunct/>
              <w:adjustRightInd w:val="0"/>
              <w:snapToGrid w:val="0"/>
              <w:spacing w:line="240" w:lineRule="auto"/>
              <w:ind w:firstLine="0" w:firstLineChars="0"/>
              <w:jc w:val="center"/>
              <w:rPr>
                <w:rFonts w:hint="eastAsia" w:eastAsia="宋体" w:cs="Times New Roman"/>
                <w:b/>
                <w:snapToGrid w:val="0"/>
                <w:color w:val="auto"/>
                <w:kern w:val="0"/>
                <w:sz w:val="21"/>
                <w:szCs w:val="21"/>
                <w:lang w:val="en-US" w:eastAsia="zh-CN"/>
              </w:rPr>
            </w:pPr>
            <w:r>
              <w:rPr>
                <w:rFonts w:cs="Times New Roman"/>
                <w:b/>
                <w:snapToGrid w:val="0"/>
                <w:color w:val="auto"/>
                <w:kern w:val="0"/>
                <w:sz w:val="21"/>
                <w:szCs w:val="21"/>
              </w:rPr>
              <w:t>蔺河镇</w:t>
            </w:r>
            <w:r>
              <w:rPr>
                <w:rFonts w:hint="eastAsia" w:cs="Times New Roman"/>
                <w:b/>
                <w:snapToGrid w:val="0"/>
                <w:color w:val="auto"/>
                <w:kern w:val="0"/>
                <w:sz w:val="21"/>
                <w:szCs w:val="21"/>
                <w:lang w:val="en-US" w:eastAsia="zh-CN"/>
              </w:rPr>
              <w:t>段</w:t>
            </w:r>
          </w:p>
        </w:tc>
        <w:tc>
          <w:tcPr>
            <w:tcW w:w="7222" w:type="dxa"/>
            <w:vAlign w:val="center"/>
          </w:tcPr>
          <w:p>
            <w:pPr>
              <w:autoSpaceDE w:val="0"/>
              <w:autoSpaceDN w:val="0"/>
              <w:adjustRightInd w:val="0"/>
              <w:snapToGrid w:val="0"/>
              <w:spacing w:line="240" w:lineRule="auto"/>
              <w:ind w:firstLine="0" w:firstLineChars="0"/>
              <w:jc w:val="both"/>
              <w:rPr>
                <w:rFonts w:cs="Times New Roman"/>
                <w:snapToGrid w:val="0"/>
                <w:color w:val="auto"/>
                <w:kern w:val="0"/>
                <w:sz w:val="21"/>
                <w:szCs w:val="21"/>
              </w:rPr>
            </w:pPr>
            <w:r>
              <w:rPr>
                <w:rFonts w:hint="eastAsia" w:cs="Times New Roman"/>
                <w:snapToGrid w:val="0"/>
                <w:color w:val="auto"/>
                <w:kern w:val="0"/>
                <w:sz w:val="21"/>
                <w:szCs w:val="21"/>
              </w:rPr>
              <w:t>茶园村五组</w:t>
            </w:r>
            <w:r>
              <w:rPr>
                <w:rFonts w:cs="Times New Roman"/>
                <w:snapToGrid w:val="0"/>
                <w:color w:val="auto"/>
                <w:kern w:val="0"/>
                <w:sz w:val="21"/>
                <w:szCs w:val="21"/>
              </w:rPr>
              <w:t>段</w:t>
            </w:r>
            <w:r>
              <w:rPr>
                <w:rFonts w:hint="eastAsia" w:cs="Times New Roman"/>
                <w:bCs/>
                <w:snapToGrid w:val="0"/>
                <w:color w:val="auto"/>
                <w:kern w:val="0"/>
                <w:sz w:val="21"/>
                <w:szCs w:val="21"/>
                <w:lang w:val="en-US" w:eastAsia="zh-CN"/>
              </w:rPr>
              <w:t>新建生态护坡9546.57</w:t>
            </w:r>
            <w:r>
              <w:rPr>
                <w:rFonts w:hint="eastAsia" w:cs="Times New Roman"/>
                <w:bCs/>
                <w:snapToGrid w:val="0"/>
                <w:color w:val="auto"/>
                <w:kern w:val="0"/>
                <w:sz w:val="21"/>
                <w:szCs w:val="21"/>
                <w:lang w:eastAsia="zh-CN"/>
              </w:rPr>
              <w:t>m</w:t>
            </w:r>
            <w:r>
              <w:rPr>
                <w:rFonts w:hint="eastAsia" w:cs="Times New Roman"/>
                <w:bCs/>
                <w:snapToGrid w:val="0"/>
                <w:color w:val="auto"/>
                <w:kern w:val="0"/>
                <w:sz w:val="21"/>
                <w:szCs w:val="21"/>
                <w:vertAlign w:val="superscript"/>
                <w:lang w:eastAsia="zh-CN"/>
              </w:rPr>
              <w:t>2</w:t>
            </w:r>
            <w:r>
              <w:rPr>
                <w:rFonts w:cs="Times New Roman"/>
                <w:snapToGrid w:val="0"/>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2" w:hRule="atLeast"/>
          <w:jc w:val="center"/>
        </w:trPr>
        <w:tc>
          <w:tcPr>
            <w:tcW w:w="1131" w:type="dxa"/>
            <w:vMerge w:val="continue"/>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p>
        </w:tc>
        <w:tc>
          <w:tcPr>
            <w:tcW w:w="1119" w:type="dxa"/>
            <w:vAlign w:val="center"/>
          </w:tcPr>
          <w:p>
            <w:pPr>
              <w:topLinePunct/>
              <w:adjustRightInd w:val="0"/>
              <w:snapToGrid w:val="0"/>
              <w:spacing w:line="240" w:lineRule="auto"/>
              <w:ind w:firstLine="0" w:firstLineChars="0"/>
              <w:jc w:val="center"/>
              <w:rPr>
                <w:rFonts w:hint="eastAsia" w:eastAsia="宋体" w:cs="Times New Roman"/>
                <w:b/>
                <w:snapToGrid w:val="0"/>
                <w:color w:val="auto"/>
                <w:kern w:val="0"/>
                <w:sz w:val="21"/>
                <w:szCs w:val="21"/>
                <w:lang w:val="en-US" w:eastAsia="zh-CN"/>
              </w:rPr>
            </w:pPr>
            <w:r>
              <w:rPr>
                <w:rFonts w:cs="Times New Roman"/>
                <w:b/>
                <w:snapToGrid w:val="0"/>
                <w:color w:val="auto"/>
                <w:kern w:val="0"/>
                <w:sz w:val="21"/>
                <w:szCs w:val="21"/>
              </w:rPr>
              <w:t>南宫山镇</w:t>
            </w:r>
            <w:r>
              <w:rPr>
                <w:rFonts w:hint="eastAsia" w:cs="Times New Roman"/>
                <w:b/>
                <w:snapToGrid w:val="0"/>
                <w:color w:val="auto"/>
                <w:kern w:val="0"/>
                <w:sz w:val="21"/>
                <w:szCs w:val="21"/>
                <w:lang w:val="en-US" w:eastAsia="zh-CN"/>
              </w:rPr>
              <w:t>段</w:t>
            </w:r>
          </w:p>
        </w:tc>
        <w:tc>
          <w:tcPr>
            <w:tcW w:w="7222" w:type="dxa"/>
            <w:vAlign w:val="center"/>
          </w:tcPr>
          <w:p>
            <w:pPr>
              <w:autoSpaceDE w:val="0"/>
              <w:autoSpaceDN w:val="0"/>
              <w:adjustRightInd w:val="0"/>
              <w:snapToGrid w:val="0"/>
              <w:spacing w:line="240" w:lineRule="auto"/>
              <w:ind w:firstLine="0" w:firstLineChars="0"/>
              <w:jc w:val="both"/>
              <w:rPr>
                <w:rFonts w:hint="eastAsia" w:eastAsia="宋体" w:cs="Times New Roman"/>
                <w:snapToGrid w:val="0"/>
                <w:color w:val="auto"/>
                <w:kern w:val="0"/>
                <w:sz w:val="21"/>
                <w:szCs w:val="21"/>
                <w:lang w:eastAsia="zh-CN"/>
              </w:rPr>
            </w:pPr>
            <w:r>
              <w:rPr>
                <w:rFonts w:cs="Times New Roman"/>
                <w:snapToGrid w:val="0"/>
                <w:color w:val="auto"/>
                <w:kern w:val="0"/>
                <w:sz w:val="21"/>
                <w:szCs w:val="21"/>
              </w:rPr>
              <w:t>南宫山污水处理厂至花里加油站</w:t>
            </w:r>
            <w:r>
              <w:rPr>
                <w:rFonts w:hint="eastAsia" w:cs="Times New Roman"/>
                <w:bCs/>
                <w:snapToGrid w:val="0"/>
                <w:color w:val="auto"/>
                <w:kern w:val="0"/>
                <w:sz w:val="21"/>
                <w:szCs w:val="21"/>
                <w:lang w:val="en-US" w:eastAsia="zh-CN"/>
              </w:rPr>
              <w:t>新建生态缓冲带4490.49m</w:t>
            </w:r>
            <w:r>
              <w:rPr>
                <w:rFonts w:hint="eastAsia" w:cs="Times New Roman"/>
                <w:bCs/>
                <w:snapToGrid w:val="0"/>
                <w:color w:val="auto"/>
                <w:kern w:val="0"/>
                <w:sz w:val="21"/>
                <w:szCs w:val="21"/>
                <w:vertAlign w:val="superscript"/>
                <w:lang w:val="en-US" w:eastAsia="zh-CN"/>
              </w:rPr>
              <w:t>2</w:t>
            </w:r>
            <w:r>
              <w:rPr>
                <w:rFonts w:hint="eastAsia" w:cs="Times New Roman"/>
                <w:snapToGrid w:val="0"/>
                <w:color w:val="auto"/>
                <w:kern w:val="0"/>
                <w:sz w:val="21"/>
                <w:szCs w:val="21"/>
                <w:lang w:eastAsia="zh-CN"/>
              </w:rPr>
              <w:t>；</w:t>
            </w:r>
            <w:r>
              <w:rPr>
                <w:rFonts w:hint="eastAsia" w:cs="Times New Roman"/>
                <w:bCs/>
                <w:snapToGrid w:val="0"/>
                <w:color w:val="auto"/>
                <w:kern w:val="0"/>
                <w:sz w:val="21"/>
                <w:szCs w:val="21"/>
                <w:lang w:val="en-US" w:eastAsia="zh-CN"/>
              </w:rPr>
              <w:t>河道</w:t>
            </w:r>
            <w:r>
              <w:rPr>
                <w:rFonts w:hint="eastAsia" w:cs="Times New Roman"/>
                <w:bCs/>
                <w:snapToGrid w:val="0"/>
                <w:color w:val="auto"/>
                <w:kern w:val="0"/>
                <w:sz w:val="21"/>
                <w:szCs w:val="21"/>
                <w:lang w:eastAsia="zh-CN"/>
              </w:rPr>
              <w:t>湿地</w:t>
            </w:r>
            <w:r>
              <w:rPr>
                <w:rFonts w:hint="eastAsia" w:cs="Times New Roman"/>
                <w:bCs/>
                <w:snapToGrid w:val="0"/>
                <w:color w:val="auto"/>
                <w:kern w:val="0"/>
                <w:sz w:val="21"/>
                <w:szCs w:val="21"/>
                <w:lang w:val="en-US" w:eastAsia="zh-CN"/>
              </w:rPr>
              <w:t>3312.33m</w:t>
            </w:r>
            <w:r>
              <w:rPr>
                <w:rFonts w:hint="eastAsia" w:cs="Times New Roman"/>
                <w:bCs/>
                <w:snapToGrid w:val="0"/>
                <w:color w:val="auto"/>
                <w:kern w:val="0"/>
                <w:sz w:val="21"/>
                <w:szCs w:val="21"/>
                <w:vertAlign w:val="superscript"/>
                <w:lang w:val="en-US" w:eastAsia="zh-CN"/>
              </w:rPr>
              <w:t>2</w:t>
            </w:r>
            <w:r>
              <w:rPr>
                <w:rFonts w:hint="eastAsia" w:cs="Times New Roman"/>
                <w:bCs/>
                <w:snapToGrid w:val="0"/>
                <w:color w:val="auto"/>
                <w:kern w:val="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3" w:hRule="atLeast"/>
          <w:jc w:val="center"/>
        </w:trPr>
        <w:tc>
          <w:tcPr>
            <w:tcW w:w="1131" w:type="dxa"/>
            <w:vMerge w:val="restart"/>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临时工程</w:t>
            </w:r>
          </w:p>
        </w:tc>
        <w:tc>
          <w:tcPr>
            <w:tcW w:w="1119" w:type="dxa"/>
            <w:vAlign w:val="center"/>
          </w:tcPr>
          <w:p>
            <w:pPr>
              <w:widowControl/>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施工营地</w:t>
            </w:r>
          </w:p>
        </w:tc>
        <w:tc>
          <w:tcPr>
            <w:tcW w:w="7222" w:type="dxa"/>
            <w:vAlign w:val="center"/>
          </w:tcPr>
          <w:p>
            <w:pPr>
              <w:snapToGrid w:val="0"/>
              <w:spacing w:line="240" w:lineRule="auto"/>
              <w:ind w:firstLine="0" w:firstLineChars="0"/>
              <w:rPr>
                <w:rFonts w:cs="Times New Roman"/>
                <w:bCs/>
                <w:snapToGrid w:val="0"/>
                <w:color w:val="auto"/>
                <w:kern w:val="0"/>
                <w:sz w:val="21"/>
                <w:szCs w:val="21"/>
              </w:rPr>
            </w:pPr>
            <w:r>
              <w:rPr>
                <w:rFonts w:hint="eastAsia" w:cs="Times New Roman"/>
                <w:snapToGrid w:val="0"/>
                <w:color w:val="auto"/>
                <w:kern w:val="0"/>
                <w:sz w:val="21"/>
                <w:szCs w:val="21"/>
              </w:rPr>
              <w:t>全部就近租赁当地民房使用，不新建。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2" w:hRule="atLeast"/>
          <w:jc w:val="center"/>
        </w:trPr>
        <w:tc>
          <w:tcPr>
            <w:tcW w:w="1131" w:type="dxa"/>
            <w:vMerge w:val="continue"/>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p>
        </w:tc>
        <w:tc>
          <w:tcPr>
            <w:tcW w:w="1119" w:type="dxa"/>
            <w:vAlign w:val="center"/>
          </w:tcPr>
          <w:p>
            <w:pPr>
              <w:widowControl/>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临时堆土</w:t>
            </w:r>
          </w:p>
          <w:p>
            <w:pPr>
              <w:widowControl/>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场区</w:t>
            </w:r>
          </w:p>
        </w:tc>
        <w:tc>
          <w:tcPr>
            <w:tcW w:w="7222" w:type="dxa"/>
            <w:vAlign w:val="center"/>
          </w:tcPr>
          <w:p>
            <w:pPr>
              <w:widowControl/>
              <w:topLinePunct/>
              <w:adjustRightInd w:val="0"/>
              <w:snapToGrid w:val="0"/>
              <w:spacing w:line="240" w:lineRule="auto"/>
              <w:ind w:firstLine="0" w:firstLineChars="0"/>
              <w:jc w:val="left"/>
              <w:rPr>
                <w:rFonts w:hint="default" w:eastAsia="宋体" w:cs="Times New Roman"/>
                <w:bCs/>
                <w:snapToGrid w:val="0"/>
                <w:color w:val="auto"/>
                <w:kern w:val="0"/>
                <w:sz w:val="21"/>
                <w:szCs w:val="21"/>
                <w:lang w:val="en-US" w:eastAsia="zh-CN"/>
              </w:rPr>
            </w:pPr>
            <w:r>
              <w:rPr>
                <w:rFonts w:hint="eastAsia" w:cs="Times New Roman"/>
                <w:snapToGrid w:val="0"/>
                <w:color w:val="auto"/>
                <w:kern w:val="0"/>
                <w:sz w:val="21"/>
                <w:szCs w:val="21"/>
              </w:rPr>
              <w:t>设计临时堆土场</w:t>
            </w:r>
            <w:r>
              <w:rPr>
                <w:rFonts w:hint="eastAsia" w:cs="Times New Roman"/>
                <w:snapToGrid w:val="0"/>
                <w:color w:val="auto"/>
                <w:kern w:val="0"/>
                <w:sz w:val="21"/>
                <w:szCs w:val="21"/>
                <w:lang w:val="en-US" w:eastAsia="zh-CN"/>
              </w:rPr>
              <w:t>16</w:t>
            </w:r>
            <w:r>
              <w:rPr>
                <w:rFonts w:hint="eastAsia" w:cs="Times New Roman"/>
                <w:snapToGrid w:val="0"/>
                <w:color w:val="auto"/>
                <w:kern w:val="0"/>
                <w:sz w:val="21"/>
                <w:szCs w:val="21"/>
              </w:rPr>
              <w:t>处，其中：一般开挖土方堆土场</w:t>
            </w:r>
            <w:r>
              <w:rPr>
                <w:rFonts w:hint="eastAsia" w:cs="Times New Roman"/>
                <w:snapToGrid w:val="0"/>
                <w:color w:val="auto"/>
                <w:kern w:val="0"/>
                <w:sz w:val="21"/>
                <w:szCs w:val="21"/>
                <w:lang w:val="en-US" w:eastAsia="zh-CN"/>
              </w:rPr>
              <w:t>8</w:t>
            </w:r>
            <w:r>
              <w:rPr>
                <w:rFonts w:hint="eastAsia" w:cs="Times New Roman"/>
                <w:snapToGrid w:val="0"/>
                <w:color w:val="auto"/>
                <w:kern w:val="0"/>
                <w:sz w:val="21"/>
                <w:szCs w:val="21"/>
              </w:rPr>
              <w:t>处，表土堆土场</w:t>
            </w:r>
            <w:r>
              <w:rPr>
                <w:rFonts w:hint="eastAsia" w:cs="Times New Roman"/>
                <w:snapToGrid w:val="0"/>
                <w:color w:val="auto"/>
                <w:kern w:val="0"/>
                <w:sz w:val="21"/>
                <w:szCs w:val="21"/>
                <w:lang w:val="en-US" w:eastAsia="zh-CN"/>
              </w:rPr>
              <w:t>8</w:t>
            </w:r>
            <w:r>
              <w:rPr>
                <w:rFonts w:hint="eastAsia" w:cs="Times New Roman"/>
                <w:snapToGrid w:val="0"/>
                <w:color w:val="auto"/>
                <w:kern w:val="0"/>
                <w:sz w:val="21"/>
                <w:szCs w:val="21"/>
              </w:rPr>
              <w:t>处。</w:t>
            </w:r>
            <w:r>
              <w:rPr>
                <w:rFonts w:hint="eastAsia" w:cs="Times New Roman"/>
                <w:snapToGrid w:val="0"/>
                <w:color w:val="auto"/>
                <w:kern w:val="0"/>
                <w:sz w:val="21"/>
                <w:szCs w:val="21"/>
                <w:lang w:val="en-US" w:eastAsia="zh-CN"/>
              </w:rPr>
              <w:t>占地面积1.95hm</w:t>
            </w:r>
            <w:r>
              <w:rPr>
                <w:rFonts w:hint="eastAsia" w:cs="Times New Roman"/>
                <w:snapToGrid w:val="0"/>
                <w:color w:val="auto"/>
                <w:kern w:val="0"/>
                <w:sz w:val="21"/>
                <w:szCs w:val="21"/>
                <w:vertAlign w:val="superscript"/>
                <w:lang w:val="en-US" w:eastAsia="zh-CN"/>
              </w:rPr>
              <w:t>2</w:t>
            </w:r>
            <w:r>
              <w:rPr>
                <w:rFonts w:hint="eastAsia" w:cs="Times New Roman"/>
                <w:snapToGrid w:val="0"/>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5" w:hRule="atLeast"/>
          <w:jc w:val="center"/>
        </w:trPr>
        <w:tc>
          <w:tcPr>
            <w:tcW w:w="1131" w:type="dxa"/>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储运工程</w:t>
            </w:r>
          </w:p>
        </w:tc>
        <w:tc>
          <w:tcPr>
            <w:tcW w:w="1119" w:type="dxa"/>
            <w:vAlign w:val="center"/>
          </w:tcPr>
          <w:p>
            <w:pPr>
              <w:widowControl/>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施工便道</w:t>
            </w:r>
          </w:p>
        </w:tc>
        <w:tc>
          <w:tcPr>
            <w:tcW w:w="7222" w:type="dxa"/>
            <w:vAlign w:val="center"/>
          </w:tcPr>
          <w:p>
            <w:pPr>
              <w:widowControl/>
              <w:topLinePunct/>
              <w:adjustRightInd w:val="0"/>
              <w:snapToGrid w:val="0"/>
              <w:spacing w:line="240" w:lineRule="auto"/>
              <w:ind w:firstLine="0" w:firstLineChars="0"/>
              <w:jc w:val="left"/>
              <w:rPr>
                <w:rFonts w:cs="Times New Roman"/>
                <w:bCs/>
                <w:snapToGrid w:val="0"/>
                <w:color w:val="auto"/>
                <w:kern w:val="0"/>
                <w:sz w:val="21"/>
                <w:szCs w:val="21"/>
              </w:rPr>
            </w:pPr>
            <w:r>
              <w:rPr>
                <w:rFonts w:hint="eastAsia" w:cs="Times New Roman"/>
                <w:snapToGrid w:val="0"/>
                <w:color w:val="auto"/>
                <w:kern w:val="0"/>
                <w:sz w:val="21"/>
                <w:szCs w:val="21"/>
              </w:rPr>
              <w:t>本项目建设共需修建施工便道2.3km，施工便道宽2.5m，防治责任面积0.58hm</w:t>
            </w:r>
            <w:r>
              <w:rPr>
                <w:rFonts w:hint="eastAsia" w:cs="Times New Roman"/>
                <w:snapToGrid w:val="0"/>
                <w:color w:val="auto"/>
                <w:kern w:val="0"/>
                <w:sz w:val="21"/>
                <w:szCs w:val="21"/>
                <w:vertAlign w:val="superscript"/>
              </w:rPr>
              <w:t>2</w:t>
            </w:r>
            <w:r>
              <w:rPr>
                <w:rFonts w:hint="eastAsia" w:cs="Times New Roman"/>
                <w:snapToGrid w:val="0"/>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1131" w:type="dxa"/>
            <w:vMerge w:val="restart"/>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公用工程</w:t>
            </w:r>
          </w:p>
        </w:tc>
        <w:tc>
          <w:tcPr>
            <w:tcW w:w="1119" w:type="dxa"/>
            <w:vAlign w:val="center"/>
          </w:tcPr>
          <w:p>
            <w:pPr>
              <w:widowControl/>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供水系统</w:t>
            </w:r>
          </w:p>
        </w:tc>
        <w:tc>
          <w:tcPr>
            <w:tcW w:w="7222" w:type="dxa"/>
            <w:vAlign w:val="center"/>
          </w:tcPr>
          <w:p>
            <w:pPr>
              <w:widowControl/>
              <w:topLinePunct/>
              <w:adjustRightInd w:val="0"/>
              <w:snapToGrid w:val="0"/>
              <w:spacing w:line="240" w:lineRule="auto"/>
              <w:ind w:firstLine="0" w:firstLineChars="0"/>
              <w:rPr>
                <w:rFonts w:cs="Times New Roman"/>
                <w:snapToGrid w:val="0"/>
                <w:color w:val="auto"/>
                <w:kern w:val="0"/>
                <w:sz w:val="21"/>
                <w:szCs w:val="21"/>
              </w:rPr>
            </w:pPr>
            <w:r>
              <w:rPr>
                <w:rFonts w:cs="Times New Roman"/>
                <w:snapToGrid w:val="0"/>
                <w:color w:val="auto"/>
                <w:kern w:val="0"/>
                <w:sz w:val="21"/>
                <w:szCs w:val="21"/>
              </w:rPr>
              <w:t>施工用水用水泵沿河道就近提取，施工生活用水可直接采用居民用自来水。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1131" w:type="dxa"/>
            <w:vMerge w:val="continue"/>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p>
        </w:tc>
        <w:tc>
          <w:tcPr>
            <w:tcW w:w="1119" w:type="dxa"/>
            <w:vAlign w:val="center"/>
          </w:tcPr>
          <w:p>
            <w:pPr>
              <w:widowControl/>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供电系统</w:t>
            </w:r>
          </w:p>
        </w:tc>
        <w:tc>
          <w:tcPr>
            <w:tcW w:w="7222" w:type="dxa"/>
            <w:vAlign w:val="center"/>
          </w:tcPr>
          <w:p>
            <w:pPr>
              <w:widowControl/>
              <w:topLinePunct/>
              <w:adjustRightInd w:val="0"/>
              <w:snapToGrid w:val="0"/>
              <w:spacing w:line="240" w:lineRule="auto"/>
              <w:ind w:firstLine="0" w:firstLineChars="0"/>
              <w:rPr>
                <w:rFonts w:cs="Times New Roman"/>
                <w:snapToGrid w:val="0"/>
                <w:color w:val="auto"/>
                <w:kern w:val="0"/>
                <w:sz w:val="21"/>
                <w:szCs w:val="21"/>
              </w:rPr>
            </w:pPr>
            <w:r>
              <w:rPr>
                <w:rFonts w:cs="Times New Roman"/>
                <w:snapToGrid w:val="0"/>
                <w:color w:val="auto"/>
                <w:kern w:val="0"/>
                <w:sz w:val="21"/>
                <w:szCs w:val="21"/>
              </w:rPr>
              <w:t>利用当地供电电网，电压220V/380V，由场地外引入。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31" w:hRule="atLeast"/>
          <w:jc w:val="center"/>
        </w:trPr>
        <w:tc>
          <w:tcPr>
            <w:tcW w:w="1131" w:type="dxa"/>
            <w:vMerge w:val="restart"/>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环保工程</w:t>
            </w:r>
          </w:p>
        </w:tc>
        <w:tc>
          <w:tcPr>
            <w:tcW w:w="1119" w:type="dxa"/>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废水</w:t>
            </w:r>
          </w:p>
        </w:tc>
        <w:tc>
          <w:tcPr>
            <w:tcW w:w="7222" w:type="dxa"/>
            <w:vAlign w:val="center"/>
          </w:tcPr>
          <w:p>
            <w:pPr>
              <w:autoSpaceDE w:val="0"/>
              <w:autoSpaceDN w:val="0"/>
              <w:adjustRightInd w:val="0"/>
              <w:snapToGrid w:val="0"/>
              <w:spacing w:line="240" w:lineRule="auto"/>
              <w:ind w:firstLine="0" w:firstLineChars="0"/>
              <w:jc w:val="left"/>
              <w:rPr>
                <w:rFonts w:cs="Times New Roman"/>
                <w:bCs/>
                <w:snapToGrid w:val="0"/>
                <w:color w:val="auto"/>
                <w:kern w:val="0"/>
                <w:sz w:val="21"/>
                <w:szCs w:val="21"/>
              </w:rPr>
            </w:pPr>
            <w:r>
              <w:rPr>
                <w:rFonts w:cs="Times New Roman"/>
                <w:snapToGrid w:val="0"/>
                <w:color w:val="auto"/>
                <w:kern w:val="0"/>
                <w:sz w:val="21"/>
                <w:szCs w:val="21"/>
              </w:rPr>
              <w:t>施工期间产生的废水主要为施工人员生活废水以及施工生产废水。本项目施工营地</w:t>
            </w:r>
            <w:r>
              <w:rPr>
                <w:rFonts w:hint="eastAsia" w:cs="Times New Roman"/>
                <w:snapToGrid w:val="0"/>
                <w:color w:val="auto"/>
                <w:kern w:val="0"/>
                <w:sz w:val="21"/>
                <w:szCs w:val="21"/>
              </w:rPr>
              <w:t>依托租赁民房已有的</w:t>
            </w:r>
            <w:r>
              <w:rPr>
                <w:rFonts w:cs="Times New Roman"/>
                <w:snapToGrid w:val="0"/>
                <w:color w:val="auto"/>
                <w:kern w:val="0"/>
                <w:sz w:val="21"/>
                <w:szCs w:val="21"/>
              </w:rPr>
              <w:t>化粪池，</w:t>
            </w:r>
            <w:r>
              <w:rPr>
                <w:rFonts w:hint="eastAsia" w:cs="Times New Roman"/>
                <w:snapToGrid w:val="0"/>
                <w:color w:val="auto"/>
                <w:kern w:val="0"/>
                <w:sz w:val="21"/>
                <w:szCs w:val="21"/>
              </w:rPr>
              <w:t>生活污水</w:t>
            </w:r>
            <w:r>
              <w:rPr>
                <w:rFonts w:cs="Times New Roman"/>
                <w:snapToGrid w:val="0"/>
                <w:color w:val="auto"/>
                <w:kern w:val="0"/>
                <w:sz w:val="21"/>
                <w:szCs w:val="21"/>
              </w:rPr>
              <w:t>经化粪池处理后用于附近农田施肥。混凝土施工废水采用沉淀池，沉淀后回用于混凝土搅拌过程；车辆机械冲洗废水经隔油池、沉淀池处理后循环用于车辆机械的冲洗，不外排。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7" w:hRule="atLeast"/>
          <w:jc w:val="center"/>
        </w:trPr>
        <w:tc>
          <w:tcPr>
            <w:tcW w:w="1131" w:type="dxa"/>
            <w:vMerge w:val="continue"/>
            <w:vAlign w:val="center"/>
          </w:tcPr>
          <w:p>
            <w:pPr>
              <w:topLinePunct/>
              <w:adjustRightInd w:val="0"/>
              <w:snapToGrid w:val="0"/>
              <w:spacing w:line="240" w:lineRule="auto"/>
              <w:ind w:firstLine="0" w:firstLineChars="0"/>
              <w:jc w:val="center"/>
              <w:rPr>
                <w:rFonts w:cs="Times New Roman"/>
                <w:bCs/>
                <w:snapToGrid w:val="0"/>
                <w:color w:val="auto"/>
                <w:kern w:val="0"/>
                <w:sz w:val="21"/>
                <w:szCs w:val="21"/>
              </w:rPr>
            </w:pPr>
          </w:p>
        </w:tc>
        <w:tc>
          <w:tcPr>
            <w:tcW w:w="1119" w:type="dxa"/>
            <w:vAlign w:val="center"/>
          </w:tcPr>
          <w:p>
            <w:pPr>
              <w:topLinePunct/>
              <w:adjustRightInd w:val="0"/>
              <w:snapToGrid w:val="0"/>
              <w:spacing w:line="240" w:lineRule="auto"/>
              <w:ind w:firstLine="0" w:firstLineChars="0"/>
              <w:jc w:val="center"/>
              <w:rPr>
                <w:rFonts w:cs="Times New Roman"/>
                <w:b/>
                <w:snapToGrid w:val="0"/>
                <w:color w:val="auto"/>
                <w:kern w:val="0"/>
                <w:sz w:val="21"/>
                <w:szCs w:val="21"/>
              </w:rPr>
            </w:pPr>
            <w:r>
              <w:rPr>
                <w:rFonts w:cs="Times New Roman"/>
                <w:b/>
                <w:snapToGrid w:val="0"/>
                <w:color w:val="auto"/>
                <w:kern w:val="0"/>
                <w:sz w:val="21"/>
                <w:szCs w:val="21"/>
              </w:rPr>
              <w:t>废气</w:t>
            </w:r>
          </w:p>
        </w:tc>
        <w:tc>
          <w:tcPr>
            <w:tcW w:w="7222" w:type="dxa"/>
            <w:vAlign w:val="center"/>
          </w:tcPr>
          <w:p>
            <w:pPr>
              <w:widowControl/>
              <w:topLinePunct/>
              <w:adjustRightInd w:val="0"/>
              <w:snapToGrid w:val="0"/>
              <w:spacing w:line="240" w:lineRule="auto"/>
              <w:ind w:firstLine="0" w:firstLineChars="0"/>
              <w:rPr>
                <w:rFonts w:cs="Times New Roman"/>
                <w:snapToGrid w:val="0"/>
                <w:color w:val="auto"/>
                <w:kern w:val="0"/>
                <w:sz w:val="21"/>
                <w:szCs w:val="21"/>
              </w:rPr>
            </w:pPr>
            <w:r>
              <w:rPr>
                <w:rFonts w:cs="Times New Roman"/>
                <w:b/>
                <w:snapToGrid w:val="0"/>
                <w:color w:val="auto"/>
                <w:kern w:val="0"/>
                <w:sz w:val="21"/>
                <w:szCs w:val="21"/>
              </w:rPr>
              <w:t>扬尘：</w:t>
            </w:r>
            <w:r>
              <w:rPr>
                <w:rFonts w:cs="Times New Roman"/>
                <w:snapToGrid w:val="0"/>
                <w:color w:val="auto"/>
                <w:kern w:val="0"/>
                <w:sz w:val="21"/>
                <w:szCs w:val="21"/>
              </w:rPr>
              <w:t>加强施工管理、定期洒水，运输车辆遮盖密闭、物料苫盖、施工现场设置围栏或部分围栏，运输车辆进行冲洗等措施。</w:t>
            </w:r>
          </w:p>
          <w:p>
            <w:pPr>
              <w:widowControl/>
              <w:topLinePunct/>
              <w:adjustRightInd w:val="0"/>
              <w:snapToGrid w:val="0"/>
              <w:spacing w:line="240" w:lineRule="auto"/>
              <w:ind w:firstLine="0" w:firstLineChars="0"/>
              <w:rPr>
                <w:rFonts w:cs="Times New Roman"/>
                <w:snapToGrid w:val="0"/>
                <w:color w:val="auto"/>
                <w:kern w:val="0"/>
                <w:sz w:val="21"/>
                <w:szCs w:val="21"/>
              </w:rPr>
            </w:pPr>
            <w:r>
              <w:rPr>
                <w:rFonts w:cs="Times New Roman"/>
                <w:b/>
                <w:snapToGrid w:val="0"/>
                <w:color w:val="auto"/>
                <w:kern w:val="0"/>
                <w:sz w:val="21"/>
                <w:szCs w:val="21"/>
              </w:rPr>
              <w:t>施工机械燃油废气：</w:t>
            </w:r>
            <w:r>
              <w:rPr>
                <w:rFonts w:cs="Times New Roman"/>
                <w:snapToGrid w:val="0"/>
                <w:color w:val="auto"/>
                <w:kern w:val="0"/>
                <w:sz w:val="21"/>
                <w:szCs w:val="21"/>
              </w:rPr>
              <w:t>选用低能耗、低污染排放的施工机械和车辆，加强机械和运输车辆的管理和维修，选择清洁油品。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19" w:hRule="atLeast"/>
          <w:jc w:val="center"/>
        </w:trPr>
        <w:tc>
          <w:tcPr>
            <w:tcW w:w="1131" w:type="dxa"/>
            <w:vMerge w:val="continue"/>
            <w:vAlign w:val="center"/>
          </w:tcPr>
          <w:p>
            <w:pPr>
              <w:topLinePunct/>
              <w:adjustRightInd w:val="0"/>
              <w:snapToGrid w:val="0"/>
              <w:spacing w:line="240" w:lineRule="auto"/>
              <w:ind w:firstLine="0" w:firstLineChars="0"/>
              <w:jc w:val="center"/>
              <w:rPr>
                <w:rFonts w:cs="Times New Roman"/>
                <w:bCs/>
                <w:snapToGrid w:val="0"/>
                <w:color w:val="auto"/>
                <w:kern w:val="0"/>
                <w:sz w:val="21"/>
                <w:szCs w:val="21"/>
              </w:rPr>
            </w:pPr>
          </w:p>
        </w:tc>
        <w:tc>
          <w:tcPr>
            <w:tcW w:w="1119" w:type="dxa"/>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噪声</w:t>
            </w:r>
          </w:p>
        </w:tc>
        <w:tc>
          <w:tcPr>
            <w:tcW w:w="7222" w:type="dxa"/>
            <w:vAlign w:val="center"/>
          </w:tcPr>
          <w:p>
            <w:pPr>
              <w:widowControl/>
              <w:topLinePunct/>
              <w:adjustRightInd w:val="0"/>
              <w:snapToGrid w:val="0"/>
              <w:spacing w:line="240" w:lineRule="auto"/>
              <w:ind w:firstLine="0" w:firstLineChars="0"/>
              <w:jc w:val="left"/>
              <w:rPr>
                <w:rFonts w:cs="Times New Roman"/>
                <w:bCs/>
                <w:snapToGrid w:val="0"/>
                <w:color w:val="auto"/>
                <w:kern w:val="0"/>
                <w:sz w:val="21"/>
                <w:szCs w:val="21"/>
              </w:rPr>
            </w:pPr>
            <w:r>
              <w:rPr>
                <w:rFonts w:cs="Times New Roman"/>
                <w:bCs/>
                <w:snapToGrid w:val="0"/>
                <w:color w:val="auto"/>
                <w:kern w:val="0"/>
                <w:sz w:val="21"/>
                <w:szCs w:val="21"/>
              </w:rPr>
              <w:t>选用低噪声施工机械和工艺，加强设备维护和保养；施工区合理优化布局，设置围挡；合理安排施工车辆行驶路线和时间；加强施工管理；车辆限速，禁止鸣笛等。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19" w:hRule="atLeast"/>
          <w:jc w:val="center"/>
        </w:trPr>
        <w:tc>
          <w:tcPr>
            <w:tcW w:w="1131" w:type="dxa"/>
            <w:vMerge w:val="continue"/>
            <w:vAlign w:val="center"/>
          </w:tcPr>
          <w:p>
            <w:pPr>
              <w:topLinePunct/>
              <w:adjustRightInd w:val="0"/>
              <w:snapToGrid w:val="0"/>
              <w:spacing w:line="240" w:lineRule="auto"/>
              <w:ind w:firstLine="0" w:firstLineChars="0"/>
              <w:jc w:val="center"/>
              <w:rPr>
                <w:rFonts w:cs="Times New Roman"/>
                <w:bCs/>
                <w:snapToGrid w:val="0"/>
                <w:color w:val="auto"/>
                <w:kern w:val="0"/>
                <w:sz w:val="21"/>
                <w:szCs w:val="21"/>
              </w:rPr>
            </w:pPr>
          </w:p>
        </w:tc>
        <w:tc>
          <w:tcPr>
            <w:tcW w:w="1119" w:type="dxa"/>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固体废物</w:t>
            </w:r>
          </w:p>
        </w:tc>
        <w:tc>
          <w:tcPr>
            <w:tcW w:w="7222" w:type="dxa"/>
            <w:vAlign w:val="center"/>
          </w:tcPr>
          <w:p>
            <w:pPr>
              <w:widowControl/>
              <w:topLinePunct/>
              <w:adjustRightInd w:val="0"/>
              <w:snapToGrid w:val="0"/>
              <w:spacing w:line="240" w:lineRule="auto"/>
              <w:ind w:firstLine="0" w:firstLineChars="0"/>
              <w:jc w:val="left"/>
              <w:rPr>
                <w:rFonts w:ascii="宋体" w:cs="宋体"/>
                <w:snapToGrid w:val="0"/>
                <w:color w:val="auto"/>
                <w:kern w:val="0"/>
                <w:sz w:val="21"/>
                <w:szCs w:val="21"/>
              </w:rPr>
            </w:pPr>
            <w:r>
              <w:rPr>
                <w:rFonts w:hint="eastAsia" w:ascii="宋体" w:cs="宋体"/>
                <w:snapToGrid w:val="0"/>
                <w:color w:val="auto"/>
                <w:kern w:val="0"/>
                <w:sz w:val="21"/>
                <w:szCs w:val="21"/>
                <w:lang w:val="en-US" w:eastAsia="zh-CN"/>
              </w:rPr>
              <w:t>临时堆土场</w:t>
            </w:r>
            <w:r>
              <w:rPr>
                <w:rFonts w:hint="eastAsia" w:ascii="宋体" w:cs="宋体"/>
                <w:snapToGrid w:val="0"/>
                <w:color w:val="auto"/>
                <w:kern w:val="0"/>
                <w:sz w:val="21"/>
                <w:szCs w:val="21"/>
              </w:rPr>
              <w:t>：用于场地平整回填使用</w:t>
            </w:r>
            <w:r>
              <w:rPr>
                <w:rFonts w:ascii="宋体" w:cs="宋体"/>
                <w:snapToGrid w:val="0"/>
                <w:color w:val="auto"/>
                <w:kern w:val="0"/>
                <w:sz w:val="21"/>
                <w:szCs w:val="21"/>
              </w:rPr>
              <w:t>。</w:t>
            </w:r>
          </w:p>
          <w:p>
            <w:pPr>
              <w:widowControl/>
              <w:topLinePunct/>
              <w:adjustRightInd w:val="0"/>
              <w:snapToGrid w:val="0"/>
              <w:spacing w:line="240" w:lineRule="auto"/>
              <w:ind w:firstLine="0" w:firstLineChars="0"/>
              <w:jc w:val="left"/>
              <w:rPr>
                <w:rFonts w:cs="Times New Roman"/>
                <w:bCs/>
                <w:snapToGrid w:val="0"/>
                <w:color w:val="auto"/>
                <w:kern w:val="0"/>
                <w:sz w:val="21"/>
                <w:szCs w:val="21"/>
              </w:rPr>
            </w:pPr>
            <w:r>
              <w:rPr>
                <w:rFonts w:ascii="宋体" w:cs="宋体"/>
                <w:snapToGrid w:val="0"/>
                <w:color w:val="auto"/>
                <w:kern w:val="0"/>
                <w:sz w:val="21"/>
                <w:szCs w:val="21"/>
              </w:rPr>
              <w:t>生活垃圾</w:t>
            </w:r>
            <w:r>
              <w:rPr>
                <w:rFonts w:hint="eastAsia" w:ascii="宋体" w:cs="宋体"/>
                <w:snapToGrid w:val="0"/>
                <w:color w:val="auto"/>
                <w:kern w:val="0"/>
                <w:sz w:val="21"/>
                <w:szCs w:val="21"/>
              </w:rPr>
              <w:t>：集中收集，交由当地的生活垃圾清运系统清运处置。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1" w:hRule="atLeast"/>
          <w:jc w:val="center"/>
        </w:trPr>
        <w:tc>
          <w:tcPr>
            <w:tcW w:w="1131" w:type="dxa"/>
            <w:vMerge w:val="continue"/>
            <w:vAlign w:val="center"/>
          </w:tcPr>
          <w:p>
            <w:pPr>
              <w:topLinePunct/>
              <w:adjustRightInd w:val="0"/>
              <w:snapToGrid w:val="0"/>
              <w:spacing w:line="240" w:lineRule="auto"/>
              <w:ind w:firstLine="0" w:firstLineChars="0"/>
              <w:jc w:val="center"/>
              <w:rPr>
                <w:rFonts w:cs="Times New Roman"/>
                <w:bCs/>
                <w:snapToGrid w:val="0"/>
                <w:color w:val="auto"/>
                <w:kern w:val="0"/>
                <w:sz w:val="21"/>
                <w:szCs w:val="21"/>
              </w:rPr>
            </w:pPr>
          </w:p>
        </w:tc>
        <w:tc>
          <w:tcPr>
            <w:tcW w:w="1119" w:type="dxa"/>
            <w:vAlign w:val="center"/>
          </w:tcPr>
          <w:p>
            <w:pPr>
              <w:topLinePunct/>
              <w:adjustRightInd w:val="0"/>
              <w:snapToGrid w:val="0"/>
              <w:spacing w:line="240" w:lineRule="auto"/>
              <w:ind w:firstLine="0" w:firstLineChars="0"/>
              <w:jc w:val="center"/>
              <w:rPr>
                <w:rFonts w:cs="Times New Roman"/>
                <w:b/>
                <w:bCs/>
                <w:snapToGrid w:val="0"/>
                <w:color w:val="auto"/>
                <w:kern w:val="0"/>
                <w:sz w:val="21"/>
                <w:szCs w:val="21"/>
              </w:rPr>
            </w:pPr>
            <w:r>
              <w:rPr>
                <w:rFonts w:cs="Times New Roman"/>
                <w:b/>
                <w:bCs/>
                <w:snapToGrid w:val="0"/>
                <w:color w:val="auto"/>
                <w:kern w:val="0"/>
                <w:sz w:val="21"/>
                <w:szCs w:val="21"/>
              </w:rPr>
              <w:t>生态保护</w:t>
            </w:r>
          </w:p>
        </w:tc>
        <w:tc>
          <w:tcPr>
            <w:tcW w:w="7222" w:type="dxa"/>
            <w:vAlign w:val="center"/>
          </w:tcPr>
          <w:p>
            <w:pPr>
              <w:widowControl/>
              <w:topLinePunct/>
              <w:adjustRightInd w:val="0"/>
              <w:snapToGrid w:val="0"/>
              <w:spacing w:line="240" w:lineRule="auto"/>
              <w:ind w:firstLine="0" w:firstLineChars="0"/>
              <w:jc w:val="left"/>
              <w:rPr>
                <w:rFonts w:cs="Times New Roman"/>
                <w:snapToGrid w:val="0"/>
                <w:color w:val="auto"/>
                <w:kern w:val="0"/>
                <w:sz w:val="21"/>
                <w:szCs w:val="21"/>
              </w:rPr>
            </w:pPr>
            <w:r>
              <w:rPr>
                <w:rFonts w:cs="Times New Roman"/>
                <w:snapToGrid w:val="0"/>
                <w:color w:val="auto"/>
                <w:kern w:val="0"/>
                <w:sz w:val="21"/>
                <w:szCs w:val="21"/>
              </w:rPr>
              <w:t>对陆生植物、陆生动物、水生生物采取相应的生态保护、生态修复与补偿以及管理措施；采取严格控制施工临时占地；采取相应的工程措施、植物措施等水土保持措施；对施工临时占地采取相应的生态恢复措施，如对施工场地，施工结束后采取平整废弃场地、清理建筑垃圾的措施，同时乔、灌、草相结合形成生态上相互扶持和立体景观</w:t>
            </w:r>
            <w:r>
              <w:rPr>
                <w:rFonts w:cs="Times New Roman"/>
                <w:snapToGrid w:val="0"/>
                <w:color w:val="auto"/>
                <w:kern w:val="0"/>
                <w:sz w:val="21"/>
                <w:szCs w:val="21"/>
              </w:rPr>
              <w:t>。</w:t>
            </w:r>
          </w:p>
        </w:tc>
      </w:tr>
    </w:tbl>
    <w:p>
      <w:pPr>
        <w:snapToGrid w:val="0"/>
        <w:spacing w:line="240" w:lineRule="auto"/>
        <w:ind w:firstLine="0" w:firstLineChars="0"/>
        <w:jc w:val="center"/>
        <w:rPr>
          <w:rFonts w:cs="Times New Roman"/>
          <w:b/>
          <w:color w:val="auto"/>
          <w:kern w:val="44"/>
        </w:rPr>
      </w:pPr>
      <w:r>
        <w:rPr>
          <w:rFonts w:cs="Times New Roman"/>
          <w:b/>
          <w:color w:val="auto"/>
          <w:kern w:val="44"/>
        </w:rPr>
        <w:t>表3.</w:t>
      </w:r>
      <w:r>
        <w:rPr>
          <w:rFonts w:hint="eastAsia" w:cs="Times New Roman"/>
          <w:b/>
          <w:color w:val="auto"/>
          <w:kern w:val="44"/>
          <w:lang w:val="en-US" w:eastAsia="zh-CN"/>
        </w:rPr>
        <w:t>2</w:t>
      </w:r>
      <w:r>
        <w:rPr>
          <w:rFonts w:cs="Times New Roman"/>
          <w:b/>
          <w:color w:val="auto"/>
          <w:kern w:val="44"/>
        </w:rPr>
        <w:t xml:space="preserve">-2   </w:t>
      </w:r>
      <w:r>
        <w:rPr>
          <w:rFonts w:hint="eastAsia" w:cs="Times New Roman"/>
          <w:b/>
          <w:color w:val="auto"/>
          <w:kern w:val="44"/>
          <w:lang w:val="en-US" w:eastAsia="zh-CN"/>
        </w:rPr>
        <w:t>项目主要经济技术一览</w:t>
      </w:r>
      <w:r>
        <w:rPr>
          <w:rFonts w:cs="Times New Roman"/>
          <w:b/>
          <w:color w:val="auto"/>
          <w:kern w:val="44"/>
        </w:rPr>
        <w:t>表</w:t>
      </w:r>
    </w:p>
    <w:tbl>
      <w:tblPr>
        <w:tblStyle w:val="43"/>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83"/>
        <w:gridCol w:w="1871"/>
        <w:gridCol w:w="723"/>
        <w:gridCol w:w="2335"/>
        <w:gridCol w:w="30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bottom w:val="single" w:color="auto" w:sz="12" w:space="0"/>
            </w:tcBorders>
            <w:vAlign w:val="center"/>
          </w:tcPr>
          <w:p>
            <w:pPr>
              <w:snapToGrid w:val="0"/>
              <w:spacing w:line="240" w:lineRule="auto"/>
              <w:ind w:firstLine="0" w:firstLineChars="0"/>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项目</w:t>
            </w:r>
          </w:p>
        </w:tc>
        <w:tc>
          <w:tcPr>
            <w:tcW w:w="1667" w:type="pct"/>
            <w:gridSpan w:val="2"/>
            <w:tcBorders>
              <w:bottom w:val="single" w:color="auto" w:sz="12" w:space="0"/>
            </w:tcBorders>
            <w:vAlign w:val="center"/>
          </w:tcPr>
          <w:p>
            <w:pPr>
              <w:snapToGrid w:val="0"/>
              <w:spacing w:line="240" w:lineRule="auto"/>
              <w:ind w:firstLine="0" w:firstLineChars="0"/>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单位</w:t>
            </w:r>
          </w:p>
        </w:tc>
        <w:tc>
          <w:tcPr>
            <w:tcW w:w="1667" w:type="pct"/>
            <w:tcBorders>
              <w:bottom w:val="single" w:color="auto" w:sz="12" w:space="0"/>
            </w:tcBorders>
            <w:vAlign w:val="center"/>
          </w:tcPr>
          <w:p>
            <w:pPr>
              <w:snapToGrid w:val="0"/>
              <w:spacing w:line="240" w:lineRule="auto"/>
              <w:ind w:firstLine="0" w:firstLineChars="0"/>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5"/>
            <w:tcBorders>
              <w:top w:val="single" w:color="auto" w:sz="12" w:space="0"/>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一、流域概况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1.流域面积</w:t>
            </w:r>
          </w:p>
        </w:tc>
        <w:tc>
          <w:tcPr>
            <w:tcW w:w="1667"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km</w:t>
            </w:r>
            <w:r>
              <w:rPr>
                <w:rFonts w:hint="eastAsia" w:cs="Times New Roman"/>
                <w:color w:val="auto"/>
                <w:sz w:val="21"/>
                <w:szCs w:val="21"/>
                <w:vertAlign w:val="superscript"/>
                <w:lang w:val="en-US" w:eastAsia="zh-CN"/>
              </w:rPr>
              <w:t>2</w:t>
            </w:r>
          </w:p>
        </w:tc>
        <w:tc>
          <w:tcPr>
            <w:tcW w:w="1667"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2130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2.河道长度</w:t>
            </w:r>
          </w:p>
        </w:tc>
        <w:tc>
          <w:tcPr>
            <w:tcW w:w="1667"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km</w:t>
            </w:r>
          </w:p>
        </w:tc>
        <w:tc>
          <w:tcPr>
            <w:tcW w:w="1667"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3.人口数量</w:t>
            </w:r>
          </w:p>
        </w:tc>
        <w:tc>
          <w:tcPr>
            <w:tcW w:w="1667"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人</w:t>
            </w:r>
          </w:p>
        </w:tc>
        <w:tc>
          <w:tcPr>
            <w:tcW w:w="1667"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3337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二、流域污染物削减量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COD</w:t>
            </w:r>
          </w:p>
        </w:tc>
        <w:tc>
          <w:tcPr>
            <w:tcW w:w="1667"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t/a</w:t>
            </w:r>
          </w:p>
        </w:tc>
        <w:tc>
          <w:tcPr>
            <w:tcW w:w="1667"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10.593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r>
              <w:rPr>
                <w:rFonts w:hint="eastAsia" w:cs="Times New Roman"/>
                <w:color w:val="auto"/>
                <w:sz w:val="21"/>
                <w:szCs w:val="21"/>
                <w:lang w:val="en-US" w:eastAsia="zh-CN"/>
              </w:rPr>
              <w:t>-N</w:t>
            </w:r>
          </w:p>
        </w:tc>
        <w:tc>
          <w:tcPr>
            <w:tcW w:w="1667"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t/a</w:t>
            </w:r>
          </w:p>
        </w:tc>
        <w:tc>
          <w:tcPr>
            <w:tcW w:w="1667"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1.475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TP</w:t>
            </w:r>
          </w:p>
        </w:tc>
        <w:tc>
          <w:tcPr>
            <w:tcW w:w="1667"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t/a</w:t>
            </w:r>
          </w:p>
        </w:tc>
        <w:tc>
          <w:tcPr>
            <w:tcW w:w="1667"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0.154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TN</w:t>
            </w:r>
          </w:p>
        </w:tc>
        <w:tc>
          <w:tcPr>
            <w:tcW w:w="1667"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t/a</w:t>
            </w:r>
          </w:p>
        </w:tc>
        <w:tc>
          <w:tcPr>
            <w:tcW w:w="1667"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2.393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三、水质目标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治理目标</w:t>
            </w:r>
          </w:p>
        </w:tc>
        <w:tc>
          <w:tcPr>
            <w:tcW w:w="3334" w:type="pct"/>
            <w:gridSpan w:val="3"/>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岚河出境断面水质稳定达到且优于《地表水环境质量标准》（GB3838-2002）Ⅱ类标准。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四、治理思路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生态缓冲带</w:t>
            </w:r>
          </w:p>
        </w:tc>
        <w:tc>
          <w:tcPr>
            <w:tcW w:w="3334" w:type="pct"/>
            <w:gridSpan w:val="3"/>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利用现状河漫滩地形在河道两岸构造生态缓冲带，通过草本植物吸收阻截面源污染。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人工湿地</w:t>
            </w:r>
          </w:p>
        </w:tc>
        <w:tc>
          <w:tcPr>
            <w:tcW w:w="3334" w:type="pct"/>
            <w:gridSpan w:val="3"/>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不改变河流廊道走向，通过在滨河带构造人工湿地，打造湿地廊道。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五、建设内容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restar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佐龙镇</w:t>
            </w:r>
          </w:p>
        </w:tc>
        <w:tc>
          <w:tcPr>
            <w:tcW w:w="1414"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镇污水处理厂段</w:t>
            </w:r>
          </w:p>
        </w:tc>
        <w:tc>
          <w:tcPr>
            <w:tcW w:w="2939"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新建生态缓冲带0.45hm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p>
        </w:tc>
        <w:tc>
          <w:tcPr>
            <w:tcW w:w="1414"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金珠店段</w:t>
            </w:r>
          </w:p>
        </w:tc>
        <w:tc>
          <w:tcPr>
            <w:tcW w:w="2939"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新建生态缓冲带6.05hm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p>
        </w:tc>
        <w:tc>
          <w:tcPr>
            <w:tcW w:w="1414"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马宗村至谢家碥段</w:t>
            </w:r>
          </w:p>
        </w:tc>
        <w:tc>
          <w:tcPr>
            <w:tcW w:w="2939"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建生态缓冲带2.92hm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p>
        </w:tc>
        <w:tc>
          <w:tcPr>
            <w:tcW w:w="1414"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蜡烛村段</w:t>
            </w:r>
          </w:p>
        </w:tc>
        <w:tc>
          <w:tcPr>
            <w:tcW w:w="2939"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新建生态缓冲带0.54hm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restar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城关镇</w:t>
            </w:r>
          </w:p>
        </w:tc>
        <w:tc>
          <w:tcPr>
            <w:tcW w:w="1414"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水田村段</w:t>
            </w:r>
          </w:p>
        </w:tc>
        <w:tc>
          <w:tcPr>
            <w:tcW w:w="2939"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新建生态缓冲带1.25hm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，河道湿地0.79hm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p>
        </w:tc>
        <w:tc>
          <w:tcPr>
            <w:tcW w:w="1414"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六口村段</w:t>
            </w:r>
          </w:p>
        </w:tc>
        <w:tc>
          <w:tcPr>
            <w:tcW w:w="2939"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新建生态护坡0.49hm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vMerge w:val="continue"/>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p>
        </w:tc>
        <w:tc>
          <w:tcPr>
            <w:tcW w:w="1414"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罗景坪社区至联坪段</w:t>
            </w:r>
          </w:p>
        </w:tc>
        <w:tc>
          <w:tcPr>
            <w:tcW w:w="2939"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新建生态缓冲带3.12hm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，沟渠湿地0.30hm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，河床渗滤湿地0.62hm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，河道湿地0.21hm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蔺河镇</w:t>
            </w:r>
          </w:p>
        </w:tc>
        <w:tc>
          <w:tcPr>
            <w:tcW w:w="1414"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茶园村五组段</w:t>
            </w:r>
          </w:p>
        </w:tc>
        <w:tc>
          <w:tcPr>
            <w:tcW w:w="2939"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新建生态护坡0.95hm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南宫山镇</w:t>
            </w:r>
          </w:p>
        </w:tc>
        <w:tc>
          <w:tcPr>
            <w:tcW w:w="1414"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镇污水处理厂至花里加油站段</w:t>
            </w:r>
          </w:p>
        </w:tc>
        <w:tc>
          <w:tcPr>
            <w:tcW w:w="2939"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新建生态缓冲带0.45hm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，河道湿地0.33hm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5"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孟石岭镇</w:t>
            </w:r>
          </w:p>
        </w:tc>
        <w:tc>
          <w:tcPr>
            <w:tcW w:w="1414"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九台村段</w:t>
            </w:r>
          </w:p>
        </w:tc>
        <w:tc>
          <w:tcPr>
            <w:tcW w:w="2939"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新建生态缓冲带1.00hm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，河堤加高250.81m。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六、工程投资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1.工程直接费用</w:t>
            </w:r>
          </w:p>
        </w:tc>
        <w:tc>
          <w:tcPr>
            <w:tcW w:w="1667"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万元</w:t>
            </w:r>
          </w:p>
        </w:tc>
        <w:tc>
          <w:tcPr>
            <w:tcW w:w="1667"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2799.18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2.其他费用</w:t>
            </w:r>
          </w:p>
        </w:tc>
        <w:tc>
          <w:tcPr>
            <w:tcW w:w="1667"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万元</w:t>
            </w:r>
          </w:p>
        </w:tc>
        <w:tc>
          <w:tcPr>
            <w:tcW w:w="1667"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367.02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3.预备费</w:t>
            </w:r>
          </w:p>
        </w:tc>
        <w:tc>
          <w:tcPr>
            <w:tcW w:w="1667"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万元</w:t>
            </w:r>
          </w:p>
        </w:tc>
        <w:tc>
          <w:tcPr>
            <w:tcW w:w="1667"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284.96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4.水土保持工程费用</w:t>
            </w:r>
          </w:p>
        </w:tc>
        <w:tc>
          <w:tcPr>
            <w:tcW w:w="1667"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万元</w:t>
            </w:r>
          </w:p>
        </w:tc>
        <w:tc>
          <w:tcPr>
            <w:tcW w:w="1667"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119.76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5.总投资</w:t>
            </w:r>
          </w:p>
        </w:tc>
        <w:tc>
          <w:tcPr>
            <w:tcW w:w="1667"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万元</w:t>
            </w:r>
          </w:p>
        </w:tc>
        <w:tc>
          <w:tcPr>
            <w:tcW w:w="1667" w:type="pct"/>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3570.92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gridSpan w:val="2"/>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七、建设工期</w:t>
            </w:r>
          </w:p>
        </w:tc>
        <w:tc>
          <w:tcPr>
            <w:tcW w:w="3334" w:type="pct"/>
            <w:gridSpan w:val="3"/>
            <w:tcBorders>
              <w:tl2br w:val="nil"/>
              <w:tr2bl w:val="nil"/>
            </w:tcBorders>
            <w:vAlign w:val="center"/>
          </w:tcPr>
          <w:p>
            <w:pPr>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26个月</w:t>
            </w:r>
          </w:p>
        </w:tc>
      </w:tr>
    </w:tbl>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cs="Times New Roman"/>
          <w:b/>
          <w:color w:val="auto"/>
          <w:kern w:val="44"/>
        </w:rPr>
      </w:pPr>
      <w:r>
        <w:rPr>
          <w:rFonts w:cs="Times New Roman"/>
          <w:b/>
          <w:color w:val="auto"/>
          <w:kern w:val="44"/>
        </w:rPr>
        <w:t>表3.</w:t>
      </w:r>
      <w:r>
        <w:rPr>
          <w:rFonts w:hint="eastAsia" w:cs="Times New Roman"/>
          <w:b/>
          <w:color w:val="auto"/>
          <w:kern w:val="44"/>
          <w:lang w:val="en-US" w:eastAsia="zh-CN"/>
        </w:rPr>
        <w:t>2</w:t>
      </w:r>
      <w:r>
        <w:rPr>
          <w:rFonts w:cs="Times New Roman"/>
          <w:b/>
          <w:color w:val="auto"/>
          <w:kern w:val="44"/>
        </w:rPr>
        <w:t>-</w:t>
      </w:r>
      <w:r>
        <w:rPr>
          <w:rFonts w:hint="eastAsia" w:cs="Times New Roman"/>
          <w:b/>
          <w:color w:val="auto"/>
          <w:kern w:val="44"/>
          <w:lang w:val="en-US" w:eastAsia="zh-CN"/>
        </w:rPr>
        <w:t>3</w:t>
      </w:r>
      <w:r>
        <w:rPr>
          <w:rFonts w:cs="Times New Roman"/>
          <w:b/>
          <w:color w:val="auto"/>
          <w:kern w:val="44"/>
        </w:rPr>
        <w:t xml:space="preserve">   </w:t>
      </w:r>
      <w:r>
        <w:rPr>
          <w:rFonts w:hint="eastAsia" w:cs="Times New Roman"/>
          <w:b/>
          <w:color w:val="auto"/>
          <w:kern w:val="44"/>
          <w:lang w:val="en-US" w:eastAsia="zh-CN"/>
        </w:rPr>
        <w:t>主要设备一览</w:t>
      </w:r>
      <w:r>
        <w:rPr>
          <w:rFonts w:cs="Times New Roman"/>
          <w:b/>
          <w:color w:val="auto"/>
          <w:kern w:val="44"/>
        </w:rPr>
        <w:t>表</w:t>
      </w:r>
    </w:p>
    <w:tbl>
      <w:tblPr>
        <w:tblStyle w:val="188"/>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513"/>
        <w:gridCol w:w="2234"/>
        <w:gridCol w:w="2603"/>
        <w:gridCol w:w="260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tblHeader/>
          <w:jc w:val="center"/>
        </w:trPr>
        <w:tc>
          <w:tcPr>
            <w:tcW w:w="845" w:type="pct"/>
            <w:tcBorders>
              <w:top w:val="single" w:color="000000" w:sz="12" w:space="0"/>
              <w:bottom w:val="single" w:color="000000" w:sz="12" w:space="0"/>
            </w:tcBorders>
          </w:tcPr>
          <w:p>
            <w:pPr>
              <w:snapToGrid w:val="0"/>
              <w:spacing w:line="240" w:lineRule="auto"/>
              <w:ind w:firstLine="0" w:firstLineChars="0"/>
              <w:jc w:val="center"/>
              <w:rPr>
                <w:rFonts w:cs="Times New Roman" w:eastAsiaTheme="minorEastAsia"/>
                <w:b/>
                <w:snapToGrid w:val="0"/>
                <w:color w:val="auto"/>
                <w:spacing w:val="4"/>
                <w:sz w:val="21"/>
                <w:szCs w:val="21"/>
              </w:rPr>
            </w:pPr>
            <w:r>
              <w:rPr>
                <w:rFonts w:cs="Times New Roman" w:eastAsiaTheme="minorEastAsia"/>
                <w:b/>
                <w:snapToGrid w:val="0"/>
                <w:color w:val="auto"/>
                <w:spacing w:val="4"/>
                <w:sz w:val="21"/>
                <w:szCs w:val="21"/>
              </w:rPr>
              <w:t>序号</w:t>
            </w:r>
          </w:p>
        </w:tc>
        <w:tc>
          <w:tcPr>
            <w:tcW w:w="1247" w:type="pct"/>
            <w:tcBorders>
              <w:top w:val="single" w:color="000000" w:sz="12" w:space="0"/>
              <w:bottom w:val="single" w:color="000000" w:sz="12" w:space="0"/>
            </w:tcBorders>
            <w:vAlign w:val="center"/>
          </w:tcPr>
          <w:p>
            <w:pPr>
              <w:snapToGrid w:val="0"/>
              <w:spacing w:line="240" w:lineRule="auto"/>
              <w:ind w:firstLine="0" w:firstLineChars="0"/>
              <w:jc w:val="center"/>
              <w:rPr>
                <w:rFonts w:cs="Times New Roman"/>
                <w:b/>
                <w:snapToGrid w:val="0"/>
                <w:color w:val="auto"/>
                <w:sz w:val="21"/>
                <w:szCs w:val="21"/>
              </w:rPr>
            </w:pPr>
            <w:r>
              <w:rPr>
                <w:rFonts w:cs="Times New Roman"/>
                <w:b/>
                <w:snapToGrid w:val="0"/>
                <w:color w:val="auto"/>
                <w:spacing w:val="7"/>
                <w:sz w:val="21"/>
                <w:szCs w:val="21"/>
              </w:rPr>
              <w:t>名</w:t>
            </w:r>
            <w:r>
              <w:rPr>
                <w:rFonts w:cs="Times New Roman"/>
                <w:b/>
                <w:snapToGrid w:val="0"/>
                <w:color w:val="auto"/>
                <w:spacing w:val="4"/>
                <w:sz w:val="21"/>
                <w:szCs w:val="21"/>
              </w:rPr>
              <w:t>称</w:t>
            </w:r>
          </w:p>
        </w:tc>
        <w:tc>
          <w:tcPr>
            <w:tcW w:w="1453" w:type="pct"/>
            <w:tcBorders>
              <w:top w:val="single" w:color="000000" w:sz="12" w:space="0"/>
              <w:bottom w:val="single" w:color="000000" w:sz="12" w:space="0"/>
            </w:tcBorders>
            <w:vAlign w:val="center"/>
          </w:tcPr>
          <w:p>
            <w:pPr>
              <w:snapToGrid w:val="0"/>
              <w:spacing w:line="240" w:lineRule="auto"/>
              <w:ind w:firstLine="0" w:firstLineChars="0"/>
              <w:jc w:val="center"/>
              <w:rPr>
                <w:rFonts w:cs="Times New Roman"/>
                <w:b/>
                <w:snapToGrid w:val="0"/>
                <w:color w:val="auto"/>
                <w:sz w:val="21"/>
                <w:szCs w:val="21"/>
              </w:rPr>
            </w:pPr>
            <w:r>
              <w:rPr>
                <w:rFonts w:cs="Times New Roman"/>
                <w:b/>
                <w:snapToGrid w:val="0"/>
                <w:color w:val="auto"/>
                <w:spacing w:val="4"/>
                <w:sz w:val="21"/>
                <w:szCs w:val="21"/>
              </w:rPr>
              <w:t>单</w:t>
            </w:r>
            <w:r>
              <w:rPr>
                <w:rFonts w:cs="Times New Roman"/>
                <w:b/>
                <w:snapToGrid w:val="0"/>
                <w:color w:val="auto"/>
                <w:spacing w:val="3"/>
                <w:sz w:val="21"/>
                <w:szCs w:val="21"/>
              </w:rPr>
              <w:t>位</w:t>
            </w:r>
          </w:p>
        </w:tc>
        <w:tc>
          <w:tcPr>
            <w:tcW w:w="1453" w:type="pct"/>
            <w:tcBorders>
              <w:top w:val="single" w:color="000000" w:sz="12" w:space="0"/>
              <w:bottom w:val="single" w:color="000000" w:sz="12" w:space="0"/>
            </w:tcBorders>
            <w:vAlign w:val="center"/>
          </w:tcPr>
          <w:p>
            <w:pPr>
              <w:snapToGrid w:val="0"/>
              <w:spacing w:line="240" w:lineRule="auto"/>
              <w:ind w:firstLine="0" w:firstLineChars="0"/>
              <w:jc w:val="center"/>
              <w:rPr>
                <w:rFonts w:cs="Times New Roman"/>
                <w:b/>
                <w:snapToGrid w:val="0"/>
                <w:color w:val="auto"/>
                <w:sz w:val="21"/>
                <w:szCs w:val="21"/>
              </w:rPr>
            </w:pPr>
            <w:r>
              <w:rPr>
                <w:rFonts w:cs="Times New Roman"/>
                <w:b/>
                <w:snapToGrid w:val="0"/>
                <w:color w:val="auto"/>
                <w:spacing w:val="4"/>
                <w:sz w:val="21"/>
                <w:szCs w:val="21"/>
              </w:rPr>
              <w:t>数</w:t>
            </w:r>
            <w:r>
              <w:rPr>
                <w:rFonts w:cs="Times New Roman"/>
                <w:b/>
                <w:snapToGrid w:val="0"/>
                <w:color w:val="auto"/>
                <w:spacing w:val="3"/>
                <w:sz w:val="21"/>
                <w:szCs w:val="21"/>
              </w:rPr>
              <w:t>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tcBorders>
              <w:top w:val="single" w:color="000000" w:sz="12" w:space="0"/>
            </w:tcBorders>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w:t>
            </w:r>
          </w:p>
        </w:tc>
        <w:tc>
          <w:tcPr>
            <w:tcW w:w="1247" w:type="pct"/>
            <w:tcBorders>
              <w:top w:val="single" w:color="000000" w:sz="12" w:space="0"/>
            </w:tcBorders>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压</w:t>
            </w:r>
            <w:r>
              <w:rPr>
                <w:rFonts w:cs="Times New Roman"/>
                <w:snapToGrid w:val="0"/>
                <w:color w:val="auto"/>
                <w:spacing w:val="6"/>
                <w:sz w:val="21"/>
                <w:szCs w:val="21"/>
              </w:rPr>
              <w:t>路机</w:t>
            </w:r>
          </w:p>
        </w:tc>
        <w:tc>
          <w:tcPr>
            <w:tcW w:w="1453" w:type="pct"/>
            <w:tcBorders>
              <w:top w:val="single" w:color="000000" w:sz="12" w:space="0"/>
            </w:tcBorders>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1453" w:type="pct"/>
            <w:tcBorders>
              <w:top w:val="single" w:color="000000" w:sz="12" w:space="0"/>
            </w:tcBorders>
            <w:vAlign w:val="center"/>
          </w:tcPr>
          <w:p>
            <w:pPr>
              <w:snapToGrid w:val="0"/>
              <w:spacing w:line="240" w:lineRule="auto"/>
              <w:ind w:firstLine="0" w:firstLineChars="0"/>
              <w:jc w:val="center"/>
              <w:rPr>
                <w:rFonts w:hint="eastAsia" w:eastAsia="宋体" w:cs="Times New Roman"/>
                <w:snapToGrid w:val="0"/>
                <w:color w:val="auto"/>
                <w:sz w:val="21"/>
                <w:szCs w:val="21"/>
                <w:lang w:eastAsia="zh-CN"/>
              </w:rPr>
            </w:pPr>
            <w:r>
              <w:rPr>
                <w:rFonts w:hint="eastAsia" w:cs="Times New Roman"/>
                <w:snapToGrid w:val="0"/>
                <w:color w:val="auto"/>
                <w:sz w:val="21"/>
                <w:szCs w:val="21"/>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2</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8"/>
                <w:sz w:val="21"/>
                <w:szCs w:val="21"/>
              </w:rPr>
              <w:t>交</w:t>
            </w:r>
            <w:r>
              <w:rPr>
                <w:rFonts w:cs="Times New Roman"/>
                <w:snapToGrid w:val="0"/>
                <w:color w:val="auto"/>
                <w:spacing w:val="7"/>
                <w:sz w:val="21"/>
                <w:szCs w:val="21"/>
              </w:rPr>
              <w:t>流电焊机</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1453" w:type="pct"/>
            <w:vAlign w:val="center"/>
          </w:tcPr>
          <w:p>
            <w:pPr>
              <w:snapToGrid w:val="0"/>
              <w:spacing w:line="240" w:lineRule="auto"/>
              <w:ind w:firstLine="0" w:firstLineChars="0"/>
              <w:jc w:val="center"/>
              <w:rPr>
                <w:rFonts w:hint="eastAsia" w:eastAsia="宋体" w:cs="Times New Roman"/>
                <w:snapToGrid w:val="0"/>
                <w:color w:val="auto"/>
                <w:sz w:val="21"/>
                <w:szCs w:val="21"/>
                <w:lang w:eastAsia="zh-CN"/>
              </w:rPr>
            </w:pPr>
            <w:r>
              <w:rPr>
                <w:rFonts w:hint="eastAsia" w:cs="Times New Roman"/>
                <w:snapToGrid w:val="0"/>
                <w:color w:val="auto"/>
                <w:sz w:val="21"/>
                <w:szCs w:val="21"/>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3</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2"/>
                <w:sz w:val="21"/>
                <w:szCs w:val="21"/>
              </w:rPr>
              <w:t>自</w:t>
            </w:r>
            <w:r>
              <w:rPr>
                <w:rFonts w:cs="Times New Roman"/>
                <w:snapToGrid w:val="0"/>
                <w:color w:val="auto"/>
                <w:spacing w:val="-1"/>
                <w:sz w:val="21"/>
                <w:szCs w:val="21"/>
              </w:rPr>
              <w:t>卸汽车</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1"/>
                <w:sz w:val="21"/>
                <w:szCs w:val="21"/>
              </w:rPr>
              <w:t>辆</w:t>
            </w:r>
          </w:p>
        </w:tc>
        <w:tc>
          <w:tcPr>
            <w:tcW w:w="1453" w:type="pct"/>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8"/>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4</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6"/>
                <w:sz w:val="21"/>
                <w:szCs w:val="21"/>
              </w:rPr>
              <w:t>水泵</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1453" w:type="pct"/>
            <w:vAlign w:val="center"/>
          </w:tcPr>
          <w:p>
            <w:pPr>
              <w:snapToGrid w:val="0"/>
              <w:spacing w:line="240" w:lineRule="auto"/>
              <w:ind w:firstLine="0" w:firstLineChars="0"/>
              <w:jc w:val="center"/>
              <w:rPr>
                <w:rFonts w:eastAsia="Times New Roman" w:cs="Times New Roman"/>
                <w:snapToGrid w:val="0"/>
                <w:color w:val="auto"/>
                <w:sz w:val="21"/>
                <w:szCs w:val="21"/>
              </w:rPr>
            </w:pPr>
            <w:r>
              <w:rPr>
                <w:rFonts w:eastAsia="Times New Roman" w:cs="Times New Roman"/>
                <w:snapToGrid w:val="0"/>
                <w:color w:val="auto"/>
                <w:spacing w:val="3"/>
                <w:sz w:val="21"/>
                <w:szCs w:val="21"/>
              </w:rPr>
              <w:t>2</w:t>
            </w:r>
            <w:r>
              <w:rPr>
                <w:rFonts w:eastAsia="Times New Roman" w:cs="Times New Roman"/>
                <w:snapToGrid w:val="0"/>
                <w:color w:val="auto"/>
                <w:spacing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5</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9"/>
                <w:sz w:val="21"/>
                <w:szCs w:val="21"/>
              </w:rPr>
              <w:t>砼</w:t>
            </w:r>
            <w:r>
              <w:rPr>
                <w:rFonts w:cs="Times New Roman"/>
                <w:snapToGrid w:val="0"/>
                <w:color w:val="auto"/>
                <w:spacing w:val="7"/>
                <w:sz w:val="21"/>
                <w:szCs w:val="21"/>
              </w:rPr>
              <w:t>搅拌机</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1453" w:type="pct"/>
            <w:vAlign w:val="center"/>
          </w:tcPr>
          <w:p>
            <w:pPr>
              <w:snapToGrid w:val="0"/>
              <w:spacing w:line="240" w:lineRule="auto"/>
              <w:ind w:firstLine="0" w:firstLineChars="0"/>
              <w:jc w:val="center"/>
              <w:rPr>
                <w:rFonts w:hint="eastAsia" w:eastAsia="宋体" w:cs="Times New Roman"/>
                <w:snapToGrid w:val="0"/>
                <w:color w:val="auto"/>
                <w:sz w:val="21"/>
                <w:szCs w:val="21"/>
                <w:lang w:eastAsia="zh-CN"/>
              </w:rPr>
            </w:pPr>
            <w:r>
              <w:rPr>
                <w:rFonts w:hint="eastAsia" w:cs="Times New Roman"/>
                <w:snapToGrid w:val="0"/>
                <w:color w:val="auto"/>
                <w:spacing w:val="-8"/>
                <w:sz w:val="21"/>
                <w:szCs w:val="21"/>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6</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拖</w:t>
            </w:r>
            <w:r>
              <w:rPr>
                <w:rFonts w:cs="Times New Roman"/>
                <w:snapToGrid w:val="0"/>
                <w:color w:val="auto"/>
                <w:spacing w:val="6"/>
                <w:sz w:val="21"/>
                <w:szCs w:val="21"/>
              </w:rPr>
              <w:t>拉机</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1"/>
                <w:sz w:val="21"/>
                <w:szCs w:val="21"/>
              </w:rPr>
              <w:t>辆</w:t>
            </w:r>
          </w:p>
        </w:tc>
        <w:tc>
          <w:tcPr>
            <w:tcW w:w="1453" w:type="pct"/>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1"/>
                <w:sz w:val="21"/>
                <w:szCs w:val="21"/>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7</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推土</w:t>
            </w:r>
            <w:r>
              <w:rPr>
                <w:rFonts w:cs="Times New Roman"/>
                <w:snapToGrid w:val="0"/>
                <w:color w:val="auto"/>
                <w:spacing w:val="6"/>
                <w:sz w:val="21"/>
                <w:szCs w:val="21"/>
              </w:rPr>
              <w:t>机</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1453" w:type="pct"/>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8"/>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8</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3m</w:t>
            </w:r>
            <w:r>
              <w:rPr>
                <w:rFonts w:cs="Times New Roman"/>
                <w:snapToGrid w:val="0"/>
                <w:color w:val="auto"/>
                <w:spacing w:val="7"/>
                <w:sz w:val="21"/>
                <w:szCs w:val="21"/>
                <w:vertAlign w:val="superscript"/>
              </w:rPr>
              <w:t>3</w:t>
            </w:r>
            <w:r>
              <w:rPr>
                <w:rFonts w:cs="Times New Roman"/>
                <w:snapToGrid w:val="0"/>
                <w:color w:val="auto"/>
                <w:spacing w:val="7"/>
                <w:sz w:val="21"/>
                <w:szCs w:val="21"/>
              </w:rPr>
              <w:t>挖掘机</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1453" w:type="pct"/>
            <w:vAlign w:val="center"/>
          </w:tcPr>
          <w:p>
            <w:pPr>
              <w:snapToGrid w:val="0"/>
              <w:spacing w:line="240" w:lineRule="auto"/>
              <w:ind w:firstLine="0" w:firstLineChars="0"/>
              <w:jc w:val="center"/>
              <w:rPr>
                <w:rFonts w:eastAsia="Times New Roman" w:cs="Times New Roman"/>
                <w:snapToGrid w:val="0"/>
                <w:color w:val="auto"/>
                <w:sz w:val="21"/>
                <w:szCs w:val="21"/>
              </w:rPr>
            </w:pPr>
            <w:r>
              <w:rPr>
                <w:rFonts w:eastAsia="Times New Roman" w:cs="Times New Roman"/>
                <w:snapToGrid w:val="0"/>
                <w:color w:val="auto"/>
                <w:spacing w:val="-8"/>
                <w:sz w:val="21"/>
                <w:szCs w:val="21"/>
              </w:rPr>
              <w:t>1</w:t>
            </w:r>
            <w:r>
              <w:rPr>
                <w:rFonts w:eastAsia="Times New Roman" w:cs="Times New Roman"/>
                <w:snapToGrid w:val="0"/>
                <w:color w:val="auto"/>
                <w:spacing w:val="-7"/>
                <w:sz w:val="21"/>
                <w:szCs w:val="21"/>
              </w:rPr>
              <w:t>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9</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1m</w:t>
            </w:r>
            <w:r>
              <w:rPr>
                <w:rFonts w:cs="Times New Roman"/>
                <w:snapToGrid w:val="0"/>
                <w:color w:val="auto"/>
                <w:spacing w:val="7"/>
                <w:sz w:val="21"/>
                <w:szCs w:val="21"/>
                <w:vertAlign w:val="superscript"/>
              </w:rPr>
              <w:t>3</w:t>
            </w:r>
            <w:r>
              <w:rPr>
                <w:rFonts w:cs="Times New Roman"/>
                <w:snapToGrid w:val="0"/>
                <w:color w:val="auto"/>
                <w:spacing w:val="7"/>
                <w:sz w:val="21"/>
                <w:szCs w:val="21"/>
              </w:rPr>
              <w:t>挖掘机</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1453" w:type="pct"/>
            <w:vAlign w:val="center"/>
          </w:tcPr>
          <w:p>
            <w:pPr>
              <w:snapToGrid w:val="0"/>
              <w:spacing w:line="240" w:lineRule="auto"/>
              <w:ind w:firstLine="0" w:firstLineChars="0"/>
              <w:jc w:val="center"/>
              <w:rPr>
                <w:rFonts w:eastAsia="Times New Roman" w:cs="Times New Roman"/>
                <w:snapToGrid w:val="0"/>
                <w:color w:val="auto"/>
                <w:sz w:val="21"/>
                <w:szCs w:val="21"/>
              </w:rPr>
            </w:pPr>
            <w:r>
              <w:rPr>
                <w:rFonts w:eastAsia="Times New Roman" w:cs="Times New Roman"/>
                <w:snapToGrid w:val="0"/>
                <w:color w:val="auto"/>
                <w:spacing w:val="-8"/>
                <w:sz w:val="21"/>
                <w:szCs w:val="21"/>
              </w:rPr>
              <w:t>1</w:t>
            </w:r>
            <w:r>
              <w:rPr>
                <w:rFonts w:eastAsia="Times New Roman" w:cs="Times New Roman"/>
                <w:snapToGrid w:val="0"/>
                <w:color w:val="auto"/>
                <w:spacing w:val="-7"/>
                <w:sz w:val="21"/>
                <w:szCs w:val="21"/>
              </w:rPr>
              <w:t>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10</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手风</w:t>
            </w:r>
            <w:r>
              <w:rPr>
                <w:rFonts w:cs="Times New Roman"/>
                <w:snapToGrid w:val="0"/>
                <w:color w:val="auto"/>
                <w:spacing w:val="6"/>
                <w:sz w:val="21"/>
                <w:szCs w:val="21"/>
              </w:rPr>
              <w:t>钻</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支</w:t>
            </w:r>
          </w:p>
        </w:tc>
        <w:tc>
          <w:tcPr>
            <w:tcW w:w="1453" w:type="pct"/>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3"/>
                <w:sz w:val="21"/>
                <w:szCs w:val="21"/>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11</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装载</w:t>
            </w:r>
            <w:r>
              <w:rPr>
                <w:rFonts w:cs="Times New Roman"/>
                <w:snapToGrid w:val="0"/>
                <w:color w:val="auto"/>
                <w:spacing w:val="6"/>
                <w:sz w:val="21"/>
                <w:szCs w:val="21"/>
              </w:rPr>
              <w:t>机</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1453" w:type="pct"/>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8"/>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12</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8"/>
                <w:sz w:val="21"/>
                <w:szCs w:val="21"/>
              </w:rPr>
              <w:t>地</w:t>
            </w:r>
            <w:r>
              <w:rPr>
                <w:rFonts w:cs="Times New Roman"/>
                <w:snapToGrid w:val="0"/>
                <w:color w:val="auto"/>
                <w:spacing w:val="7"/>
                <w:sz w:val="21"/>
                <w:szCs w:val="21"/>
              </w:rPr>
              <w:t>质钻机</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1453" w:type="pct"/>
            <w:vAlign w:val="center"/>
          </w:tcPr>
          <w:p>
            <w:pPr>
              <w:snapToGrid w:val="0"/>
              <w:spacing w:line="240" w:lineRule="auto"/>
              <w:ind w:firstLine="0" w:firstLineChars="0"/>
              <w:jc w:val="center"/>
              <w:rPr>
                <w:rFonts w:hint="eastAsia" w:eastAsia="宋体" w:cs="Times New Roman"/>
                <w:snapToGrid w:val="0"/>
                <w:color w:val="auto"/>
                <w:sz w:val="21"/>
                <w:szCs w:val="21"/>
                <w:lang w:eastAsia="zh-CN"/>
              </w:rPr>
            </w:pPr>
            <w:r>
              <w:rPr>
                <w:rFonts w:hint="eastAsia" w:cs="Times New Roman"/>
                <w:snapToGrid w:val="0"/>
                <w:color w:val="auto"/>
                <w:sz w:val="21"/>
                <w:szCs w:val="21"/>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13</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8"/>
                <w:sz w:val="21"/>
                <w:szCs w:val="21"/>
              </w:rPr>
              <w:t>蛙式打夯</w:t>
            </w:r>
            <w:r>
              <w:rPr>
                <w:rFonts w:cs="Times New Roman"/>
                <w:snapToGrid w:val="0"/>
                <w:color w:val="auto"/>
                <w:spacing w:val="7"/>
                <w:sz w:val="21"/>
                <w:szCs w:val="21"/>
              </w:rPr>
              <w:t>机</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1453" w:type="pct"/>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8"/>
                <w:sz w:val="21"/>
                <w:szCs w:val="21"/>
                <w:lang w:val="en-US" w:eastAsia="zh-CN"/>
              </w:rPr>
              <w:t>15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14</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10"/>
                <w:sz w:val="21"/>
                <w:szCs w:val="21"/>
              </w:rPr>
              <w:t>插</w:t>
            </w:r>
            <w:r>
              <w:rPr>
                <w:rFonts w:cs="Times New Roman"/>
                <w:snapToGrid w:val="0"/>
                <w:color w:val="auto"/>
                <w:spacing w:val="8"/>
                <w:sz w:val="21"/>
                <w:szCs w:val="21"/>
              </w:rPr>
              <w:t>入式振捣器</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支</w:t>
            </w:r>
          </w:p>
        </w:tc>
        <w:tc>
          <w:tcPr>
            <w:tcW w:w="1453" w:type="pct"/>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8"/>
                <w:sz w:val="21"/>
                <w:szCs w:val="21"/>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15</w:t>
            </w:r>
          </w:p>
        </w:tc>
        <w:tc>
          <w:tcPr>
            <w:tcW w:w="1247"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振动碾</w:t>
            </w:r>
          </w:p>
        </w:tc>
        <w:tc>
          <w:tcPr>
            <w:tcW w:w="1453" w:type="pct"/>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1453" w:type="pct"/>
            <w:vAlign w:val="center"/>
          </w:tcPr>
          <w:p>
            <w:pPr>
              <w:snapToGrid w:val="0"/>
              <w:spacing w:line="240" w:lineRule="auto"/>
              <w:ind w:firstLine="0" w:firstLineChars="0"/>
              <w:jc w:val="center"/>
              <w:rPr>
                <w:rFonts w:hint="eastAsia" w:cs="Times New Roman" w:eastAsiaTheme="minorEastAsia"/>
                <w:snapToGrid w:val="0"/>
                <w:color w:val="auto"/>
                <w:sz w:val="21"/>
                <w:szCs w:val="21"/>
                <w:lang w:eastAsia="zh-CN"/>
              </w:rPr>
            </w:pPr>
            <w:r>
              <w:rPr>
                <w:rFonts w:hint="eastAsia" w:cs="Times New Roman" w:eastAsiaTheme="minorEastAsia"/>
                <w:snapToGrid w:val="0"/>
                <w:color w:val="auto"/>
                <w:sz w:val="21"/>
                <w:szCs w:val="21"/>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845" w:type="pct"/>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16</w:t>
            </w:r>
          </w:p>
        </w:tc>
        <w:tc>
          <w:tcPr>
            <w:tcW w:w="1247" w:type="pct"/>
            <w:vAlign w:val="center"/>
          </w:tcPr>
          <w:p>
            <w:pPr>
              <w:snapToGrid w:val="0"/>
              <w:spacing w:line="240" w:lineRule="auto"/>
              <w:ind w:firstLine="0" w:firstLineChars="0"/>
              <w:jc w:val="center"/>
              <w:rPr>
                <w:rFonts w:cs="Times New Roman"/>
                <w:snapToGrid w:val="0"/>
                <w:color w:val="auto"/>
                <w:spacing w:val="7"/>
                <w:sz w:val="21"/>
                <w:szCs w:val="21"/>
              </w:rPr>
            </w:pPr>
            <w:r>
              <w:rPr>
                <w:rFonts w:cs="Times New Roman"/>
                <w:snapToGrid w:val="0"/>
                <w:color w:val="auto"/>
                <w:spacing w:val="7"/>
                <w:sz w:val="21"/>
                <w:szCs w:val="21"/>
              </w:rPr>
              <w:t>砂浆拌合机</w:t>
            </w:r>
          </w:p>
        </w:tc>
        <w:tc>
          <w:tcPr>
            <w:tcW w:w="1453" w:type="pct"/>
            <w:vAlign w:val="center"/>
          </w:tcPr>
          <w:p>
            <w:pPr>
              <w:snapToGrid w:val="0"/>
              <w:spacing w:line="240" w:lineRule="auto"/>
              <w:ind w:firstLine="0" w:firstLineChars="0"/>
              <w:jc w:val="center"/>
              <w:rPr>
                <w:rFonts w:cs="Times New Roman"/>
                <w:snapToGrid w:val="0"/>
                <w:color w:val="auto"/>
                <w:spacing w:val="7"/>
                <w:sz w:val="21"/>
                <w:szCs w:val="21"/>
              </w:rPr>
            </w:pPr>
            <w:r>
              <w:rPr>
                <w:rFonts w:cs="Times New Roman"/>
                <w:snapToGrid w:val="0"/>
                <w:color w:val="auto"/>
                <w:sz w:val="21"/>
                <w:szCs w:val="21"/>
              </w:rPr>
              <w:t>台</w:t>
            </w:r>
          </w:p>
        </w:tc>
        <w:tc>
          <w:tcPr>
            <w:tcW w:w="1453" w:type="pct"/>
            <w:vAlign w:val="center"/>
          </w:tcPr>
          <w:p>
            <w:pPr>
              <w:snapToGrid w:val="0"/>
              <w:spacing w:line="240" w:lineRule="auto"/>
              <w:ind w:firstLine="0" w:firstLineChars="0"/>
              <w:jc w:val="center"/>
              <w:rPr>
                <w:rFonts w:hint="eastAsia" w:eastAsia="宋体" w:cs="Times New Roman"/>
                <w:snapToGrid w:val="0"/>
                <w:color w:val="auto"/>
                <w:spacing w:val="7"/>
                <w:sz w:val="21"/>
                <w:szCs w:val="21"/>
                <w:lang w:eastAsia="zh-CN"/>
              </w:rPr>
            </w:pPr>
            <w:r>
              <w:rPr>
                <w:rFonts w:hint="eastAsia" w:cs="Times New Roman"/>
                <w:snapToGrid w:val="0"/>
                <w:color w:val="auto"/>
                <w:spacing w:val="7"/>
                <w:sz w:val="21"/>
                <w:szCs w:val="21"/>
                <w:lang w:val="en-US" w:eastAsia="zh-CN"/>
              </w:rPr>
              <w:t>2</w:t>
            </w:r>
          </w:p>
        </w:tc>
      </w:tr>
    </w:tbl>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eastAsia" w:cs="Times New Roman"/>
          <w:b/>
          <w:color w:val="auto"/>
          <w:kern w:val="44"/>
        </w:rPr>
      </w:pPr>
    </w:p>
    <w:p>
      <w:pPr>
        <w:keepNext/>
        <w:keepLines/>
        <w:adjustRightInd w:val="0"/>
        <w:snapToGrid w:val="0"/>
        <w:ind w:left="575" w:firstLine="0" w:firstLineChars="0"/>
        <w:outlineLvl w:val="1"/>
        <w:rPr>
          <w:rFonts w:hint="default" w:eastAsia="黑体" w:cs="Times New Roman"/>
          <w:color w:val="auto"/>
          <w:sz w:val="28"/>
          <w:lang w:val="en-US" w:eastAsia="zh-CN"/>
        </w:rPr>
      </w:pPr>
      <w:r>
        <w:rPr>
          <w:rFonts w:eastAsia="黑体" w:cs="Times New Roman"/>
          <w:color w:val="auto"/>
          <w:sz w:val="28"/>
        </w:rPr>
        <w:t>3.</w:t>
      </w:r>
      <w:r>
        <w:rPr>
          <w:rFonts w:hint="eastAsia" w:eastAsia="黑体" w:cs="Times New Roman"/>
          <w:color w:val="auto"/>
          <w:sz w:val="28"/>
          <w:lang w:val="en-US" w:eastAsia="zh-CN"/>
        </w:rPr>
        <w:t>3工程设计内容</w:t>
      </w:r>
    </w:p>
    <w:p>
      <w:pPr>
        <w:snapToGrid w:val="0"/>
        <w:ind w:firstLine="480"/>
        <w:rPr>
          <w:rFonts w:hint="eastAsia" w:cs="Times New Roman"/>
          <w:color w:val="auto"/>
          <w:kern w:val="44"/>
        </w:rPr>
      </w:pPr>
      <w:r>
        <w:rPr>
          <w:rFonts w:hint="eastAsia" w:cs="Times New Roman"/>
          <w:color w:val="auto"/>
        </w:rPr>
        <w:t>项目实施新建生态缓冲带15.78hm</w:t>
      </w:r>
      <w:r>
        <w:rPr>
          <w:rFonts w:hint="eastAsia" w:cs="Times New Roman"/>
          <w:color w:val="auto"/>
          <w:vertAlign w:val="superscript"/>
        </w:rPr>
        <w:t>2</w:t>
      </w:r>
      <w:r>
        <w:rPr>
          <w:rFonts w:hint="eastAsia" w:cs="Times New Roman"/>
          <w:color w:val="auto"/>
        </w:rPr>
        <w:t>，新建沟渠湿地0.30hm</w:t>
      </w:r>
      <w:r>
        <w:rPr>
          <w:rFonts w:hint="eastAsia" w:cs="Times New Roman"/>
          <w:color w:val="auto"/>
          <w:vertAlign w:val="superscript"/>
        </w:rPr>
        <w:t>2</w:t>
      </w:r>
      <w:r>
        <w:rPr>
          <w:rFonts w:hint="eastAsia" w:cs="Times New Roman"/>
          <w:color w:val="auto"/>
        </w:rPr>
        <w:t>，新建河床渗滤湿地0.62hm</w:t>
      </w:r>
      <w:r>
        <w:rPr>
          <w:rFonts w:hint="eastAsia" w:cs="Times New Roman"/>
          <w:color w:val="auto"/>
          <w:vertAlign w:val="superscript"/>
        </w:rPr>
        <w:t>2</w:t>
      </w:r>
      <w:r>
        <w:rPr>
          <w:rFonts w:hint="eastAsia" w:cs="Times New Roman"/>
          <w:color w:val="auto"/>
        </w:rPr>
        <w:t>，新建河道湿地1.34hm</w:t>
      </w:r>
      <w:r>
        <w:rPr>
          <w:rFonts w:hint="eastAsia" w:cs="Times New Roman"/>
          <w:color w:val="auto"/>
          <w:vertAlign w:val="superscript"/>
        </w:rPr>
        <w:t>2</w:t>
      </w:r>
      <w:r>
        <w:rPr>
          <w:rFonts w:hint="eastAsia" w:cs="Times New Roman"/>
          <w:color w:val="auto"/>
        </w:rPr>
        <w:t>，新建生态护坡1.44hm</w:t>
      </w:r>
      <w:r>
        <w:rPr>
          <w:rFonts w:hint="eastAsia" w:cs="Times New Roman"/>
          <w:color w:val="auto"/>
          <w:vertAlign w:val="superscript"/>
        </w:rPr>
        <w:t>2</w:t>
      </w:r>
      <w:r>
        <w:rPr>
          <w:rFonts w:hint="eastAsia" w:cs="Times New Roman"/>
          <w:color w:val="auto"/>
        </w:rPr>
        <w:t>，现状河堤加高250.81m，太阳能复氧曝气机15台。</w:t>
      </w:r>
    </w:p>
    <w:p>
      <w:pPr>
        <w:snapToGrid w:val="0"/>
        <w:ind w:firstLine="480"/>
        <w:rPr>
          <w:rFonts w:hint="eastAsia" w:eastAsia="宋体" w:cs="Times New Roman"/>
          <w:color w:val="auto"/>
          <w:kern w:val="44"/>
          <w:lang w:eastAsia="zh-CN"/>
        </w:rPr>
      </w:pPr>
      <w:r>
        <w:rPr>
          <w:rFonts w:hint="eastAsia" w:cs="Times New Roman"/>
          <w:color w:val="auto"/>
          <w:kern w:val="44"/>
        </w:rPr>
        <w:t>通过水环境综合治理，减少入河污染物总量，控制水华发生，增加水生生物 多样性，恢复河道生态缓冲功能和水体自净能力，持续改善水生态环境</w:t>
      </w:r>
      <w:r>
        <w:rPr>
          <w:rFonts w:hint="eastAsia" w:cs="Times New Roman"/>
          <w:color w:val="auto"/>
          <w:kern w:val="44"/>
          <w:lang w:eastAsia="zh-CN"/>
        </w:rPr>
        <w:t>。</w:t>
      </w:r>
    </w:p>
    <w:p>
      <w:pPr>
        <w:keepNext/>
        <w:keepLines/>
        <w:snapToGrid w:val="0"/>
        <w:ind w:firstLine="480"/>
        <w:outlineLvl w:val="2"/>
        <w:rPr>
          <w:rFonts w:eastAsia="黑体" w:cs="Times New Roman"/>
          <w:color w:val="auto"/>
        </w:rPr>
      </w:pPr>
      <w:r>
        <w:rPr>
          <w:rFonts w:eastAsia="黑体" w:cs="Times New Roman"/>
          <w:color w:val="auto"/>
        </w:rPr>
        <w:t>3.</w:t>
      </w:r>
      <w:r>
        <w:rPr>
          <w:rFonts w:hint="eastAsia" w:eastAsia="黑体" w:cs="Times New Roman"/>
          <w:color w:val="auto"/>
          <w:lang w:val="en-US" w:eastAsia="zh-CN"/>
        </w:rPr>
        <w:t>3</w:t>
      </w:r>
      <w:r>
        <w:rPr>
          <w:rFonts w:eastAsia="黑体" w:cs="Times New Roman"/>
          <w:color w:val="auto"/>
        </w:rPr>
        <w:t>.</w:t>
      </w:r>
      <w:r>
        <w:rPr>
          <w:rFonts w:hint="eastAsia" w:eastAsia="黑体" w:cs="Times New Roman"/>
          <w:color w:val="auto"/>
          <w:lang w:val="en-US" w:eastAsia="zh-CN"/>
        </w:rPr>
        <w:t>1生态缓冲带建设工程设计</w:t>
      </w:r>
    </w:p>
    <w:p>
      <w:pPr>
        <w:keepNext/>
        <w:keepLines/>
        <w:snapToGrid w:val="0"/>
        <w:ind w:firstLine="480"/>
        <w:outlineLvl w:val="2"/>
        <w:rPr>
          <w:rFonts w:eastAsia="黑体" w:cs="Times New Roman"/>
          <w:color w:val="auto"/>
        </w:rPr>
      </w:pPr>
      <w:r>
        <w:rPr>
          <w:rFonts w:eastAsia="黑体" w:cs="Times New Roman"/>
          <w:color w:val="auto"/>
        </w:rPr>
        <w:t>3.</w:t>
      </w:r>
      <w:r>
        <w:rPr>
          <w:rFonts w:hint="eastAsia" w:eastAsia="黑体" w:cs="Times New Roman"/>
          <w:color w:val="auto"/>
          <w:lang w:val="en-US" w:eastAsia="zh-CN"/>
        </w:rPr>
        <w:t>3</w:t>
      </w:r>
      <w:r>
        <w:rPr>
          <w:rFonts w:eastAsia="黑体" w:cs="Times New Roman"/>
          <w:color w:val="auto"/>
        </w:rPr>
        <w:t>.</w:t>
      </w:r>
      <w:r>
        <w:rPr>
          <w:rFonts w:hint="eastAsia" w:eastAsia="黑体" w:cs="Times New Roman"/>
          <w:color w:val="auto"/>
          <w:lang w:val="en-US" w:eastAsia="zh-CN"/>
        </w:rPr>
        <w:t>1.1技术方案</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河湖生态缓冲带指陆地生态系统与河湖水域生态系统之间的连接带和过渡区，包括从河湖多年平均最低水位线向陆域延伸一定距离的空间范围，其主要功能是隔离人为干扰对河湖负面影响、保护河湖生物多样性、减少面源污染。为加强岚河水生态保护与修复、降低面源污染负荷，本项目拟在岚河沿岸有条件区域设立生态缓冲带。生态缓冲带保护修复内容及规模参照《河湖生态缓冲带保护修复技术指南》（环办水体函〔2021〕558号）、《封山（沙）育林技术规程》（GB/T15163-2018）有关规定，结合项目区实际情况确定。</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eastAsia="宋体" w:cs="Times New Roman"/>
          <w:color w:val="auto"/>
          <w:kern w:val="44"/>
          <w:lang w:val="en-US" w:eastAsia="zh-CN"/>
        </w:rPr>
      </w:pPr>
      <w:r>
        <w:rPr>
          <w:rFonts w:hint="eastAsia" w:cs="Times New Roman"/>
          <w:b/>
          <w:bCs/>
          <w:color w:val="auto"/>
          <w:kern w:val="44"/>
          <w:lang w:val="en-US" w:eastAsia="zh-CN"/>
        </w:rPr>
        <w:t>1、设计原则</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（1）生态优先，尊重自然。以维护河湖水生态系统原真性和完整性为核心，顺应自然规律，保护和恢复河湖水生态功能。坚持自然恢复为主，人工修复为辅；坚持选择本土物种，维护生态安全。</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2）统筹兼顾，因地制宜。统筹考虑河湖生态功能定位和河湖滨水空间开发利用现状，坚持问题导向，分类施策，科学确定河湖生态缓冲带保护修复目标和措施，兼顾短期修复效果和长期可持续性，并与周边环境、景观相协调。</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（3）依法依规，协同推进。坚持多部门协同推进，与自然资源、环境保护及水利等有关法律法规、政策标准相协调，衔接“三线一单”、“三区三线”、城市蓝线、河湖管理范围等空间管控要求。</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eastAsia="宋体" w:cs="Times New Roman"/>
          <w:color w:val="auto"/>
          <w:kern w:val="44"/>
          <w:lang w:val="en-US" w:eastAsia="zh-CN"/>
        </w:rPr>
      </w:pPr>
      <w:r>
        <w:rPr>
          <w:rFonts w:hint="eastAsia" w:cs="Times New Roman"/>
          <w:b/>
          <w:bCs/>
          <w:color w:val="auto"/>
          <w:kern w:val="44"/>
          <w:lang w:val="en-US" w:eastAsia="zh-CN"/>
        </w:rPr>
        <w:t>2、河岸带分类</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河岸带可根据人为活动对河岸带干扰程度、河岸带土地利用方式、生态退化特征等因素，分为生态保护型与生态修复型两大类。其中，生态保护型河岸带指生态环境现状较好或无人为干扰或仅有轻度干扰的类型。生态修复型河岸带指由于受人为干扰存在不同程度生态退化，需要采取生态修复措施的类型。</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本项目建设地点为陕西省岚皋县岚河河滩地。现将本项目生态缓冲带河岸带类型介绍如下：</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（1）孟石岭镇</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孟石岭镇缓冲带选址包括九台村至田坝村桥段。根据现场勘查，九台村至田坝村桥段河岸用地类型为村落农田复合区，因此孟石岭镇河岸带类型为生态修复型-复合型（农田与村落复合）。</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（2）南宫山镇</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南宫山镇生态缓冲带为南宫山污水处理厂至花里加油站段。根据现场勘查，该河段河岸用地类型包括城镇建成区、村落及农田，因此南宫山镇河岸带类型为①生态修复型-城镇型，②生态修复型-农田型，③生态修复型-村落型。</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（3）蔺河镇</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蔺河镇生态缓冲带为蔺河污水厂至龚家坝段。根据现场勘查，该河段河岸用地类型包括村落及农田，因此蔺河镇河岸带类型为①生态修复型-农田型，②生态修复型-村落型。</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w:t>
      </w:r>
      <w:r>
        <w:rPr>
          <w:rFonts w:hint="eastAsia" w:cs="Times New Roman"/>
          <w:color w:val="auto"/>
          <w:kern w:val="44"/>
          <w:lang w:val="en-US" w:eastAsia="zh-CN"/>
        </w:rPr>
        <w:t>4</w:t>
      </w:r>
      <w:r>
        <w:rPr>
          <w:rFonts w:hint="eastAsia" w:cs="Times New Roman"/>
          <w:color w:val="auto"/>
          <w:kern w:val="44"/>
        </w:rPr>
        <w:t>）城关镇</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城关镇生态缓冲带为六口村下游至观音庙段、联坪村至罗景坪社区段。根据现场勘查，该河段河岸用地类型包括城镇建成区及村落，因此城关镇河岸带类型为①生态修复型-城镇型，②生态修复型-村落型。</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w:t>
      </w:r>
      <w:r>
        <w:rPr>
          <w:rFonts w:hint="eastAsia" w:cs="Times New Roman"/>
          <w:color w:val="auto"/>
          <w:kern w:val="44"/>
          <w:lang w:val="en-US" w:eastAsia="zh-CN"/>
        </w:rPr>
        <w:t>5</w:t>
      </w:r>
      <w:r>
        <w:rPr>
          <w:rFonts w:hint="eastAsia" w:cs="Times New Roman"/>
          <w:color w:val="auto"/>
          <w:kern w:val="44"/>
        </w:rPr>
        <w:t>）</w:t>
      </w:r>
      <w:r>
        <w:rPr>
          <w:rFonts w:hint="eastAsia" w:cs="Times New Roman"/>
          <w:color w:val="auto"/>
          <w:kern w:val="44"/>
          <w:lang w:val="en-US" w:eastAsia="zh-CN"/>
        </w:rPr>
        <w:t>佐龙</w:t>
      </w:r>
      <w:r>
        <w:rPr>
          <w:rFonts w:hint="eastAsia" w:cs="Times New Roman"/>
          <w:color w:val="auto"/>
          <w:kern w:val="44"/>
        </w:rPr>
        <w:t>镇</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佐龙镇生态缓冲带为佐龙镇污水处理厂段、马宗村至谢家碥段、金珠店段。根据现场勘查，该河段河岸用地类型包括城镇建成区、村落及农田，因此佐龙镇河岸带类型为①生态修复型-城镇型，②生态修复型-村落型，③生态修复型-农田型。</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eastAsia="宋体" w:cs="Times New Roman"/>
          <w:color w:val="auto"/>
          <w:kern w:val="44"/>
          <w:lang w:val="en-US" w:eastAsia="zh-CN"/>
        </w:rPr>
      </w:pPr>
      <w:r>
        <w:rPr>
          <w:rFonts w:hint="eastAsia" w:cs="Times New Roman"/>
          <w:b/>
          <w:bCs/>
          <w:color w:val="auto"/>
          <w:kern w:val="44"/>
          <w:lang w:val="en-US" w:eastAsia="zh-CN"/>
        </w:rPr>
        <w:t>3、工程设计</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生态缓冲带保护修复技术路线见下图，包括工作准备、河湖岸带分类、缓冲带范围确定、保护修复技术措施、维护与监测评价等。</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1</w:t>
      </w:r>
      <w:r>
        <w:rPr>
          <w:rFonts w:hint="eastAsia" w:cs="Times New Roman"/>
          <w:color w:val="auto"/>
          <w:kern w:val="44"/>
          <w:lang w:eastAsia="zh-CN"/>
        </w:rPr>
        <w:t>）</w:t>
      </w:r>
      <w:r>
        <w:rPr>
          <w:rFonts w:hint="eastAsia" w:cs="Times New Roman"/>
          <w:color w:val="auto"/>
          <w:kern w:val="44"/>
        </w:rPr>
        <w:t>基底修复：该段滩地衔接汇水区域地形平缓，无侵占物，因此保留原河</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岸带的地势起伏及小洼地存在；不再调整底质的物理化学特性。</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2</w:t>
      </w:r>
      <w:r>
        <w:rPr>
          <w:rFonts w:hint="eastAsia" w:cs="Times New Roman"/>
          <w:color w:val="auto"/>
          <w:kern w:val="44"/>
          <w:lang w:eastAsia="zh-CN"/>
        </w:rPr>
        <w:t>）</w:t>
      </w:r>
      <w:r>
        <w:rPr>
          <w:rFonts w:hint="eastAsia" w:cs="Times New Roman"/>
          <w:color w:val="auto"/>
          <w:kern w:val="44"/>
        </w:rPr>
        <w:t>植物群落构建：考虑《中华人民共和国防洪法》、《中华人民共和国河道 管理条例》规定，河道滩地禁止种植影响行洪的高杆作物和树木，因此植物主要采用灌木+草本植物。</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3</w:t>
      </w:r>
      <w:r>
        <w:rPr>
          <w:rFonts w:hint="eastAsia" w:cs="Times New Roman"/>
          <w:color w:val="auto"/>
          <w:kern w:val="44"/>
          <w:lang w:eastAsia="zh-CN"/>
        </w:rPr>
        <w:t>）</w:t>
      </w:r>
      <w:r>
        <w:rPr>
          <w:rFonts w:hint="eastAsia" w:cs="Times New Roman"/>
          <w:color w:val="auto"/>
          <w:kern w:val="44"/>
        </w:rPr>
        <w:t>物种配置：滩地外侧多为农田，因此，植物群落重点选择对氮、磷等污染物去除能力较强和护岸能力强的物种；主要采用适宜本土种植的植物，包括：①水生植物：水葱、雨久花、小香蒲、常绿水生鸢尾、石菖蒲②湿生植物：水芹、铜钱草、马蔺③生态缓冲带陆域草本植物：绣球小冠花、紫娇花、阔叶山麦冬、萼距花、草地早熟禾④缓冲带陆域缓冲区灌木：杜鹃、蝴蝶荚迷、山茱萸、猥实、铺地龙柏；⑤缓冲带陆域缓冲区乔木：枫杨。</w:t>
      </w:r>
    </w:p>
    <w:p>
      <w:pPr>
        <w:keepNext/>
        <w:keepLines/>
        <w:snapToGrid w:val="0"/>
        <w:ind w:firstLine="480"/>
        <w:outlineLvl w:val="2"/>
        <w:rPr>
          <w:rFonts w:eastAsia="黑体" w:cs="Times New Roman"/>
          <w:color w:val="auto"/>
        </w:rPr>
      </w:pPr>
      <w:r>
        <w:rPr>
          <w:rFonts w:hint="default" w:ascii="Times New Roman" w:hAnsi="Times New Roman" w:eastAsia="宋体" w:cs="Times New Roman"/>
          <w:b/>
          <w:bCs/>
          <w:color w:val="auto"/>
        </w:rPr>
        <w:t>3.</w:t>
      </w:r>
      <w:r>
        <w:rPr>
          <w:rFonts w:hint="eastAsia" w:cs="Times New Roman"/>
          <w:b/>
          <w:bCs/>
          <w:color w:val="auto"/>
          <w:lang w:val="en-US" w:eastAsia="zh-CN"/>
        </w:rPr>
        <w:t>3</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val="en-US" w:eastAsia="zh-CN"/>
        </w:rPr>
        <w:t>1.2配套保护河堤设计</w:t>
      </w:r>
    </w:p>
    <w:p>
      <w:pPr>
        <w:snapToGrid w:val="0"/>
        <w:ind w:firstLine="480"/>
        <w:rPr>
          <w:rFonts w:cs="Times New Roman"/>
          <w:color w:val="auto"/>
          <w:kern w:val="44"/>
        </w:rPr>
      </w:pPr>
      <w:r>
        <w:rPr>
          <w:rFonts w:hint="eastAsia" w:cs="Times New Roman"/>
          <w:color w:val="auto"/>
          <w:kern w:val="44"/>
          <w:lang w:val="en-US" w:eastAsia="zh-CN"/>
        </w:rPr>
        <w:t>1、</w:t>
      </w:r>
      <w:r>
        <w:rPr>
          <w:rFonts w:cs="Times New Roman"/>
          <w:color w:val="auto"/>
          <w:kern w:val="44"/>
        </w:rPr>
        <w:t>堤线布置</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（1）设计堤线应与河势流向相适应，并与大洪水的主流线大致平行。一个河段两岸堤防的间距应大致相等，不宜突然放大或缩小；</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（2）尽量利用现有堤防和有利地形，避开不良地基和深水地带；</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（3）本次堤线应该确保已建堤防平顺相连，避免出现弯折区域；</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（3）堤线布置尽量少占压耕地，拆迁房屋等地面建筑物， 并利于防汛抢险和工程管理；</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（4）在满足防洪要求的前提下，因地制宜， 降低工程造价，力求堤线布置经济合理。</w:t>
      </w:r>
    </w:p>
    <w:p>
      <w:pPr>
        <w:snapToGrid w:val="0"/>
        <w:ind w:firstLine="480"/>
        <w:rPr>
          <w:rFonts w:hint="eastAsia" w:cs="Times New Roman"/>
          <w:color w:val="auto"/>
          <w:kern w:val="44"/>
        </w:rPr>
      </w:pPr>
      <w:r>
        <w:rPr>
          <w:rFonts w:hint="eastAsia" w:cs="Times New Roman"/>
          <w:color w:val="auto"/>
          <w:kern w:val="44"/>
        </w:rPr>
        <w:t>本次堤线的布置充分考虑沿河村镇发展的需要、流水平顺、与现状河堤衔接等条件，按以上所确定的最小堤距，对硬弯、死角及明显碍洪的堤线段进行改造，以形成平顺的连续的曲线。本工程段堤线布置兼顾左右岸利益，其堤线基本与河道现状走向保持一致，固定凹岸，保持原有顺直微弯河段，保证该河段有足够的行洪宽度，堤线具体布置情况如下：</w:t>
      </w:r>
    </w:p>
    <w:p>
      <w:pPr>
        <w:snapToGrid w:val="0"/>
        <w:ind w:firstLine="480"/>
        <w:rPr>
          <w:rFonts w:cs="Times New Roman"/>
          <w:color w:val="auto"/>
          <w:kern w:val="44"/>
        </w:rPr>
      </w:pPr>
      <w:r>
        <w:rPr>
          <w:rFonts w:hint="eastAsia" w:cs="Times New Roman"/>
          <w:color w:val="auto"/>
          <w:kern w:val="44"/>
        </w:rPr>
        <w:t>孟石岭九台村至田坝村桥段现状堤防完好，为近期修建，堤身质量完好，无掉根基础外露悬空现象，但堤防高度较低，汛期洪水易翻越堤身淹没堤后建筑物，无法形成完整防洪体系，本次对该段进行加高处理。工程上起现状水泥路处，下至高土坎，工程长度251.8m。</w:t>
      </w:r>
    </w:p>
    <w:p>
      <w:pPr>
        <w:snapToGrid w:val="0"/>
        <w:ind w:firstLine="480"/>
        <w:rPr>
          <w:rFonts w:hint="eastAsia" w:cs="Times New Roman"/>
          <w:color w:val="auto"/>
          <w:kern w:val="44"/>
        </w:rPr>
      </w:pPr>
      <w:r>
        <w:rPr>
          <w:rFonts w:hint="eastAsia" w:cs="Times New Roman"/>
          <w:color w:val="auto"/>
          <w:kern w:val="44"/>
          <w:lang w:val="en-US" w:eastAsia="zh-CN"/>
        </w:rPr>
        <w:t>2、</w:t>
      </w:r>
      <w:r>
        <w:rPr>
          <w:rFonts w:hint="eastAsia" w:cs="Times New Roman"/>
          <w:color w:val="auto"/>
          <w:kern w:val="44"/>
        </w:rPr>
        <w:t>治理河宽确定</w:t>
      </w:r>
    </w:p>
    <w:p>
      <w:pPr>
        <w:snapToGrid w:val="0"/>
        <w:ind w:firstLine="480"/>
        <w:rPr>
          <w:rFonts w:cs="Times New Roman"/>
          <w:color w:val="auto"/>
          <w:kern w:val="44"/>
        </w:rPr>
      </w:pPr>
      <w:r>
        <w:rPr>
          <w:rFonts w:hint="eastAsia" w:cs="Times New Roman"/>
          <w:color w:val="auto"/>
          <w:kern w:val="44"/>
        </w:rPr>
        <w:t>河道治理宽度为左右岸堤岸线与河床面的交线的内侧宽度，依据实测的河槽断面和稳定河宽理论值，结合河道主河槽现状宽度及参照河宽计算结果，根据水面线计算结果，结合上下游现状行洪宽度，本次水环境治理工程中生态护岸工程基本维持现状堤防堤距不变。</w:t>
      </w:r>
    </w:p>
    <w:p>
      <w:pPr>
        <w:snapToGrid w:val="0"/>
        <w:ind w:firstLine="480"/>
        <w:rPr>
          <w:rFonts w:hint="eastAsia" w:cs="Times New Roman"/>
          <w:color w:val="auto"/>
          <w:kern w:val="44"/>
        </w:rPr>
      </w:pPr>
      <w:r>
        <w:rPr>
          <w:rFonts w:hint="eastAsia" w:cs="Times New Roman"/>
          <w:color w:val="auto"/>
          <w:kern w:val="44"/>
          <w:lang w:val="en-US" w:eastAsia="zh-CN"/>
        </w:rPr>
        <w:t>3、</w:t>
      </w:r>
      <w:r>
        <w:rPr>
          <w:rFonts w:hint="eastAsia" w:cs="Times New Roman"/>
          <w:color w:val="auto"/>
          <w:kern w:val="44"/>
        </w:rPr>
        <w:t>安全加高的选取</w:t>
      </w:r>
    </w:p>
    <w:p>
      <w:pPr>
        <w:snapToGrid w:val="0"/>
        <w:ind w:firstLine="480"/>
        <w:rPr>
          <w:rFonts w:hint="eastAsia" w:cs="Times New Roman"/>
          <w:color w:val="auto"/>
          <w:kern w:val="44"/>
        </w:rPr>
      </w:pPr>
      <w:r>
        <w:rPr>
          <w:rFonts w:hint="eastAsia" w:cs="Times New Roman"/>
          <w:color w:val="auto"/>
          <w:kern w:val="44"/>
        </w:rPr>
        <w:t>安全加高A查《堤防工程设计规范》（GB50286—2013）表3.2.1，5级堤防按不允许越浪考虑安全加高为0.5m。</w:t>
      </w:r>
    </w:p>
    <w:p>
      <w:pPr>
        <w:snapToGrid w:val="0"/>
        <w:ind w:firstLine="480"/>
        <w:rPr>
          <w:rFonts w:cs="Times New Roman"/>
          <w:color w:val="auto"/>
          <w:kern w:val="44"/>
        </w:rPr>
      </w:pPr>
      <w:r>
        <w:rPr>
          <w:rFonts w:hint="eastAsia" w:cs="Times New Roman"/>
          <w:color w:val="auto"/>
          <w:kern w:val="44"/>
          <w:lang w:val="en-US" w:eastAsia="zh-CN"/>
        </w:rPr>
        <w:t>根据初设设计，</w:t>
      </w:r>
      <w:r>
        <w:rPr>
          <w:rFonts w:hint="eastAsia" w:cs="Times New Roman"/>
          <w:color w:val="auto"/>
          <w:kern w:val="44"/>
        </w:rPr>
        <w:t>本次在工程区段选取典型断面进行超高计算，根据计算结果并结合上下游已建工程，经综合考虑新建堤防超高取值为1.0m。</w:t>
      </w:r>
    </w:p>
    <w:p>
      <w:pPr>
        <w:snapToGrid w:val="0"/>
        <w:ind w:firstLine="480"/>
        <w:rPr>
          <w:rFonts w:cs="Times New Roman"/>
          <w:color w:val="auto"/>
          <w:kern w:val="44"/>
        </w:rPr>
      </w:pPr>
      <w:r>
        <w:rPr>
          <w:rFonts w:hint="eastAsia" w:cs="Times New Roman"/>
          <w:color w:val="auto"/>
          <w:kern w:val="44"/>
        </w:rPr>
        <w:t>孟石岭九台村至田坝村桥段堤防采用浆砌石进行加高设计，加高后挡墙满足防洪要求，加高挡墙采用矩形断面，宽1.0m，高0.8m。</w:t>
      </w:r>
    </w:p>
    <w:p>
      <w:pPr>
        <w:snapToGrid w:val="0"/>
        <w:ind w:firstLine="480"/>
        <w:rPr>
          <w:rFonts w:hint="default" w:eastAsia="宋体" w:cs="Times New Roman"/>
          <w:color w:val="auto"/>
          <w:kern w:val="44"/>
          <w:lang w:val="en-US" w:eastAsia="zh-CN"/>
        </w:rPr>
      </w:pPr>
      <w:r>
        <w:rPr>
          <w:rFonts w:hint="eastAsia" w:cs="Times New Roman"/>
          <w:color w:val="auto"/>
          <w:kern w:val="44"/>
          <w:lang w:val="en-US" w:eastAsia="zh-CN"/>
        </w:rPr>
        <w:t>4、冲刷计算</w:t>
      </w:r>
    </w:p>
    <w:p>
      <w:pPr>
        <w:snapToGrid w:val="0"/>
        <w:ind w:firstLine="480"/>
        <w:rPr>
          <w:rFonts w:hint="eastAsia" w:cs="Times New Roman"/>
          <w:color w:val="auto"/>
          <w:kern w:val="44"/>
        </w:rPr>
      </w:pPr>
      <w:r>
        <w:rPr>
          <w:rFonts w:hint="eastAsia" w:cs="Times New Roman"/>
          <w:color w:val="auto"/>
          <w:kern w:val="44"/>
        </w:rPr>
        <w:t>本次设计在工程区各段选取典型断面进行冲刷深度的计算。计算得到工程段冲刷深度为0.581～1.521m，根据规定，防洪墙基础砌置深度，应根据地基土质和冲刷计算确定，要求在冲刷线以下0.5～1.0m。在季节性冻土地区，还应满足冻结深度的要求。结合工程区抗冲刷及抗冻、地基情况要求及河道河势变迁情况，本次堤基冲刷深按深泓点作为地面高程，满足冲刷线以下计算深度。综合确定工程区堤基埋置于深泓点以下1.5m，斜冲段堤基埋置深泓点以下2m。</w:t>
      </w:r>
    </w:p>
    <w:p>
      <w:pPr>
        <w:snapToGrid w:val="0"/>
        <w:ind w:firstLine="480"/>
        <w:rPr>
          <w:rFonts w:hint="eastAsia" w:cs="Times New Roman"/>
          <w:color w:val="auto"/>
          <w:kern w:val="44"/>
        </w:rPr>
      </w:pPr>
    </w:p>
    <w:p>
      <w:pPr>
        <w:snapToGrid w:val="0"/>
        <w:ind w:firstLine="480"/>
        <w:rPr>
          <w:rFonts w:hint="eastAsia" w:cs="Times New Roman"/>
          <w:color w:val="auto"/>
          <w:kern w:val="44"/>
          <w:lang w:val="en-US" w:eastAsia="zh-CN"/>
        </w:rPr>
      </w:pPr>
    </w:p>
    <w:p>
      <w:pPr>
        <w:snapToGrid w:val="0"/>
        <w:ind w:firstLine="480"/>
        <w:rPr>
          <w:rFonts w:cs="Times New Roman"/>
          <w:color w:val="auto"/>
          <w:kern w:val="44"/>
        </w:rPr>
      </w:pPr>
      <w:r>
        <w:rPr>
          <w:color w:val="auto"/>
        </w:rPr>
        <w:drawing>
          <wp:anchor distT="0" distB="0" distL="114300" distR="114300" simplePos="0" relativeHeight="251666432" behindDoc="0" locked="0" layoutInCell="1" allowOverlap="1">
            <wp:simplePos x="0" y="0"/>
            <wp:positionH relativeFrom="column">
              <wp:posOffset>-40005</wp:posOffset>
            </wp:positionH>
            <wp:positionV relativeFrom="paragraph">
              <wp:posOffset>53340</wp:posOffset>
            </wp:positionV>
            <wp:extent cx="5685790" cy="2130425"/>
            <wp:effectExtent l="19050" t="19050" r="29210" b="2222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5685790" cy="2130425"/>
                    </a:xfrm>
                    <a:prstGeom prst="rect">
                      <a:avLst/>
                    </a:prstGeom>
                    <a:noFill/>
                    <a:ln w="19050">
                      <a:solidFill>
                        <a:schemeClr val="tx1"/>
                      </a:solidFill>
                    </a:ln>
                  </pic:spPr>
                </pic:pic>
              </a:graphicData>
            </a:graphic>
          </wp:anchor>
        </w:drawing>
      </w: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left="0" w:leftChars="0" w:firstLine="0" w:firstLineChars="0"/>
        <w:jc w:val="center"/>
        <w:rPr>
          <w:rFonts w:hint="default" w:eastAsia="宋体" w:cs="Times New Roman"/>
          <w:color w:val="auto"/>
          <w:kern w:val="44"/>
          <w:lang w:val="en-US" w:eastAsia="zh-CN"/>
        </w:rPr>
      </w:pPr>
      <w:r>
        <w:rPr>
          <w:color w:val="auto"/>
        </w:rPr>
        <w:drawing>
          <wp:anchor distT="0" distB="0" distL="114300" distR="114300" simplePos="0" relativeHeight="251667456" behindDoc="0" locked="0" layoutInCell="1" allowOverlap="1">
            <wp:simplePos x="0" y="0"/>
            <wp:positionH relativeFrom="column">
              <wp:posOffset>-17145</wp:posOffset>
            </wp:positionH>
            <wp:positionV relativeFrom="paragraph">
              <wp:posOffset>247650</wp:posOffset>
            </wp:positionV>
            <wp:extent cx="5679440" cy="2930525"/>
            <wp:effectExtent l="19050" t="19050" r="35560" b="2222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5679440" cy="2930525"/>
                    </a:xfrm>
                    <a:prstGeom prst="rect">
                      <a:avLst/>
                    </a:prstGeom>
                    <a:noFill/>
                    <a:ln w="19050">
                      <a:solidFill>
                        <a:schemeClr val="tx1"/>
                      </a:solidFill>
                    </a:ln>
                  </pic:spPr>
                </pic:pic>
              </a:graphicData>
            </a:graphic>
          </wp:anchor>
        </w:drawing>
      </w:r>
      <w:r>
        <w:rPr>
          <w:rFonts w:hint="eastAsia" w:cs="Times New Roman"/>
          <w:b/>
          <w:bCs/>
          <w:color w:val="auto"/>
          <w:kern w:val="44"/>
          <w:lang w:val="en-US" w:eastAsia="zh-CN"/>
        </w:rPr>
        <w:t>图3.1 生态缓冲带剖面图（一）</w:t>
      </w: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cs="Times New Roman"/>
          <w:color w:val="auto"/>
          <w:kern w:val="44"/>
        </w:rPr>
      </w:pPr>
    </w:p>
    <w:p>
      <w:pPr>
        <w:snapToGrid w:val="0"/>
        <w:ind w:firstLine="480"/>
        <w:rPr>
          <w:rFonts w:hint="eastAsia" w:cs="Times New Roman"/>
          <w:b/>
          <w:bCs/>
          <w:color w:val="auto"/>
          <w:kern w:val="44"/>
          <w:lang w:val="en-US" w:eastAsia="zh-CN"/>
        </w:rPr>
      </w:pPr>
    </w:p>
    <w:p>
      <w:pPr>
        <w:snapToGrid w:val="0"/>
        <w:ind w:left="0" w:leftChars="0" w:firstLine="0" w:firstLineChars="0"/>
        <w:jc w:val="center"/>
        <w:rPr>
          <w:rFonts w:cs="Times New Roman"/>
          <w:color w:val="auto"/>
          <w:kern w:val="44"/>
        </w:rPr>
      </w:pPr>
      <w:r>
        <w:rPr>
          <w:rFonts w:hint="eastAsia" w:cs="Times New Roman"/>
          <w:b/>
          <w:bCs/>
          <w:color w:val="auto"/>
          <w:kern w:val="44"/>
          <w:lang w:val="en-US" w:eastAsia="zh-CN"/>
        </w:rPr>
        <w:t>图3.2 生态缓冲带剖面图（二）</w:t>
      </w:r>
    </w:p>
    <w:p>
      <w:pPr>
        <w:keepNext/>
        <w:keepLines/>
        <w:snapToGrid w:val="0"/>
        <w:ind w:firstLine="480"/>
        <w:outlineLvl w:val="2"/>
        <w:rPr>
          <w:rFonts w:eastAsia="黑体" w:cs="Times New Roman"/>
          <w:color w:val="auto"/>
        </w:rPr>
      </w:pPr>
      <w:r>
        <w:rPr>
          <w:rFonts w:eastAsia="黑体" w:cs="Times New Roman"/>
          <w:b/>
          <w:bCs/>
          <w:color w:val="auto"/>
        </w:rPr>
        <w:t>3.</w:t>
      </w:r>
      <w:r>
        <w:rPr>
          <w:rFonts w:hint="eastAsia" w:eastAsia="黑体" w:cs="Times New Roman"/>
          <w:b/>
          <w:bCs/>
          <w:color w:val="auto"/>
          <w:lang w:val="en-US" w:eastAsia="zh-CN"/>
        </w:rPr>
        <w:t>3</w:t>
      </w:r>
      <w:r>
        <w:rPr>
          <w:rFonts w:eastAsia="黑体" w:cs="Times New Roman"/>
          <w:b/>
          <w:bCs/>
          <w:color w:val="auto"/>
        </w:rPr>
        <w:t>.</w:t>
      </w:r>
      <w:r>
        <w:rPr>
          <w:rFonts w:hint="eastAsia" w:eastAsia="黑体" w:cs="Times New Roman"/>
          <w:b/>
          <w:bCs/>
          <w:color w:val="auto"/>
          <w:lang w:val="en-US" w:eastAsia="zh-CN"/>
        </w:rPr>
        <w:t>2人工湿地建设工程设计</w:t>
      </w:r>
    </w:p>
    <w:p>
      <w:pPr>
        <w:keepNext/>
        <w:keepLines/>
        <w:snapToGrid w:val="0"/>
        <w:ind w:firstLine="480"/>
        <w:outlineLvl w:val="2"/>
        <w:rPr>
          <w:rFonts w:eastAsia="黑体" w:cs="Times New Roman"/>
          <w:color w:val="auto"/>
        </w:rPr>
      </w:pPr>
      <w:r>
        <w:rPr>
          <w:rFonts w:hint="default" w:ascii="Times New Roman" w:hAnsi="Times New Roman" w:eastAsia="宋体" w:cs="Times New Roman"/>
          <w:b/>
          <w:bCs/>
          <w:color w:val="auto"/>
        </w:rPr>
        <w:t>3.</w:t>
      </w:r>
      <w:r>
        <w:rPr>
          <w:rFonts w:hint="eastAsia" w:cs="Times New Roman"/>
          <w:b/>
          <w:bCs/>
          <w:color w:val="auto"/>
          <w:lang w:val="en-US" w:eastAsia="zh-CN"/>
        </w:rPr>
        <w:t>3</w:t>
      </w:r>
      <w:r>
        <w:rPr>
          <w:rFonts w:hint="default" w:ascii="Times New Roman" w:hAnsi="Times New Roman" w:eastAsia="宋体" w:cs="Times New Roman"/>
          <w:b/>
          <w:bCs/>
          <w:color w:val="auto"/>
        </w:rPr>
        <w:t>.</w:t>
      </w:r>
      <w:r>
        <w:rPr>
          <w:rFonts w:hint="eastAsia" w:cs="Times New Roman"/>
          <w:b/>
          <w:bCs/>
          <w:color w:val="auto"/>
          <w:lang w:val="en-US" w:eastAsia="zh-CN"/>
        </w:rPr>
        <w:t>2</w:t>
      </w:r>
      <w:r>
        <w:rPr>
          <w:rFonts w:hint="default" w:ascii="Times New Roman" w:hAnsi="Times New Roman" w:eastAsia="宋体" w:cs="Times New Roman"/>
          <w:b/>
          <w:bCs/>
          <w:color w:val="auto"/>
          <w:lang w:val="en-US" w:eastAsia="zh-CN"/>
        </w:rPr>
        <w:t>.</w:t>
      </w:r>
      <w:r>
        <w:rPr>
          <w:rFonts w:hint="eastAsia" w:cs="Times New Roman"/>
          <w:b/>
          <w:bCs/>
          <w:color w:val="auto"/>
          <w:lang w:val="en-US" w:eastAsia="zh-CN"/>
        </w:rPr>
        <w:t>1沟渠湿地设计</w:t>
      </w:r>
    </w:p>
    <w:p>
      <w:pPr>
        <w:snapToGrid w:val="0"/>
        <w:ind w:firstLine="480"/>
        <w:rPr>
          <w:rFonts w:cs="Times New Roman"/>
          <w:color w:val="auto"/>
          <w:kern w:val="44"/>
        </w:rPr>
      </w:pPr>
      <w:r>
        <w:rPr>
          <w:rFonts w:hint="eastAsia" w:cs="Times New Roman"/>
          <w:color w:val="auto"/>
          <w:kern w:val="44"/>
        </w:rPr>
        <w:t>挺水植物是水生植物的主要组成部分，尤其是河湾等静水区域，往往生长良好。挺水植物除了可以增加水生态系统的自净能力，控制浮游植物发展等功能外，许多种类还是价值较高的观赏植物等。由于挺水植物叶子挺出水面进行光合作用，因此对水体的透明度要求较低，常作为富营养化水体水生植物构建的先锋种，用以控制浮游植物，改善水体透明度，为其它水生植物恢复创造条件。</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1、挺水植物选择原则</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（1）根系发达。选择根系发达的品种，以防止风浪及水流运动对挺水植物的干扰。</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（2）有一定的美化景观效果。挺水植物由于叶子挺出水面，直接影响人们的视觉效果，因此，考虑到兼顾河流的景观功能， 选择一些景观效果好、美学价值高、当地居民喜欢的植物品种。</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（3）净化效果好，去污能力强。选择对河流中营养盐有较高净化率的植物品种，以降低河流的内源污染负荷。</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（4）适应当地环境，优先选择本土种植物。挺水植物必须适应当地的土壤和气候条件，否则，难以达到理想的治理效果。</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（5）容易管理。在满足以上要求的基础上，尽量选择易管理的植物品种，减少运维与养护的工作量。</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2、挺水植物选择</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根据《人工湿地水质净化技术指南》（环办水体函〔2021〕173号）“表1全国气候分区及其行政区划范围”，安康市气候分区属Ⅲ类区（夏热冬冷地区）。其适宜的挺水植物，参照“表10各气候分区人工湿地水质净化工程推荐种植的植 物种类”有美人蕉、水葱、灯芯草、风车草、水葱、水芹、千屈菜、黄菖蒲、麦冬、芦竹、水莎草等，结合地方土著物种，本项目选择水葱、雨久花、小香蒲、常绿水生鸢尾、石菖蒲作为主要挺水植物。</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3、建设规模</w:t>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r>
        <w:rPr>
          <w:rFonts w:hint="eastAsia" w:cs="Times New Roman"/>
          <w:color w:val="auto"/>
          <w:kern w:val="44"/>
        </w:rPr>
        <w:t>在岚河流域河道左右岸临水区域3m范围内，实施以小香蒲为主的沟渠湿地构建工程，面积共计1.63hm</w:t>
      </w:r>
      <w:r>
        <w:rPr>
          <w:rFonts w:hint="eastAsia" w:cs="Times New Roman"/>
          <w:color w:val="auto"/>
          <w:kern w:val="44"/>
          <w:vertAlign w:val="superscript"/>
        </w:rPr>
        <w:t>2</w:t>
      </w:r>
      <w:r>
        <w:rPr>
          <w:rFonts w:hint="eastAsia" w:cs="Times New Roman"/>
          <w:color w:val="auto"/>
          <w:kern w:val="44"/>
        </w:rPr>
        <w:t>。参照《人工湿地水质净化技术指南》，挺水植物宜为9株/m</w:t>
      </w:r>
      <w:r>
        <w:rPr>
          <w:rFonts w:hint="eastAsia" w:cs="Times New Roman"/>
          <w:color w:val="auto"/>
          <w:kern w:val="44"/>
          <w:vertAlign w:val="superscript"/>
        </w:rPr>
        <w:t>2</w:t>
      </w:r>
      <w:r>
        <w:rPr>
          <w:rFonts w:hint="eastAsia" w:cs="Times New Roman"/>
          <w:color w:val="auto"/>
          <w:kern w:val="44"/>
        </w:rPr>
        <w:t>～25株/m</w:t>
      </w:r>
      <w:r>
        <w:rPr>
          <w:rFonts w:hint="eastAsia" w:cs="Times New Roman"/>
          <w:color w:val="auto"/>
          <w:kern w:val="44"/>
          <w:vertAlign w:val="superscript"/>
        </w:rPr>
        <w:t>2</w:t>
      </w:r>
      <w:r>
        <w:rPr>
          <w:rFonts w:hint="eastAsia" w:cs="Times New Roman"/>
          <w:color w:val="auto"/>
          <w:kern w:val="44"/>
        </w:rPr>
        <w:t>，本项目按9株/m</w:t>
      </w:r>
      <w:r>
        <w:rPr>
          <w:rFonts w:hint="eastAsia" w:cs="Times New Roman"/>
          <w:color w:val="auto"/>
          <w:kern w:val="44"/>
          <w:vertAlign w:val="superscript"/>
        </w:rPr>
        <w:t>2</w:t>
      </w:r>
      <w:r>
        <w:rPr>
          <w:rFonts w:hint="eastAsia" w:cs="Times New Roman"/>
          <w:color w:val="auto"/>
          <w:kern w:val="44"/>
        </w:rPr>
        <w:t>栽种，共计14.66万株。</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4、施工方案</w:t>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r>
        <w:rPr>
          <w:color w:val="auto"/>
          <w:position w:val="-7"/>
        </w:rPr>
        <w:drawing>
          <wp:anchor distT="0" distB="0" distL="0" distR="0" simplePos="0" relativeHeight="251661312" behindDoc="0" locked="0" layoutInCell="1" allowOverlap="1">
            <wp:simplePos x="0" y="0"/>
            <wp:positionH relativeFrom="column">
              <wp:posOffset>300990</wp:posOffset>
            </wp:positionH>
            <wp:positionV relativeFrom="paragraph">
              <wp:posOffset>239395</wp:posOffset>
            </wp:positionV>
            <wp:extent cx="5157470" cy="222885"/>
            <wp:effectExtent l="0" t="0" r="5080" b="5715"/>
            <wp:wrapNone/>
            <wp:docPr id="66" name="IM 160"/>
            <wp:cNvGraphicFramePr/>
            <a:graphic xmlns:a="http://schemas.openxmlformats.org/drawingml/2006/main">
              <a:graphicData uri="http://schemas.openxmlformats.org/drawingml/2006/picture">
                <pic:pic xmlns:pic="http://schemas.openxmlformats.org/drawingml/2006/picture">
                  <pic:nvPicPr>
                    <pic:cNvPr id="66" name="IM 160"/>
                    <pic:cNvPicPr/>
                  </pic:nvPicPr>
                  <pic:blipFill>
                    <a:blip r:embed="rId26"/>
                    <a:stretch>
                      <a:fillRect/>
                    </a:stretch>
                  </pic:blipFill>
                  <pic:spPr>
                    <a:xfrm>
                      <a:off x="0" y="0"/>
                      <a:ext cx="5157470" cy="222885"/>
                    </a:xfrm>
                    <a:prstGeom prst="rect">
                      <a:avLst/>
                    </a:prstGeom>
                  </pic:spPr>
                </pic:pic>
              </a:graphicData>
            </a:graphic>
          </wp:anchor>
        </w:drawing>
      </w:r>
      <w:r>
        <w:rPr>
          <w:rFonts w:hint="eastAsia" w:cs="Times New Roman"/>
          <w:color w:val="auto"/>
          <w:kern w:val="44"/>
        </w:rPr>
        <w:t>（1）施工流程</w:t>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（2）材料的选择</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①不同水位深度</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不同生长类型的植物有不同适宜生长的水深范围， 应根据植物特点、水深等进行配置。</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②不同土壤环境</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土壤养分含量高、保肥能力强的土壤栽种喜肥的植物类型，而土壤贫瘠、沙化严重的土壤环境则选择那些耐贫瘠的植物类型。</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③不同栽植季节</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在设计时，设计者应该预料到各种配置植物的生长旺季以及越冬时的苗情，防止在栽种后即出现因植株生长未恢复或越冬植物太弱而不能正常越冬的情况。因此，在进行植物配置选择时，应该先确定设计栽种的时间范围，再根据此时间范围并以植物的生长特性为主要依据，进行植物的设计与选择。</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④不同地域环境</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不同的地域环境选择不同的植物品种进行配置，在进行植物配置时，有一条配置应用的主线，即“以本地植物品种进行配置为主”。而对于一些新奇的外来植物品种，在配置前，应该参考其在本地区或附近地区的生长表现后再行确定，防止盲目配置而造成的施工困难。</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⑤水体造景需求</w:t>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r>
        <w:rPr>
          <w:rFonts w:hint="eastAsia" w:cs="Times New Roman"/>
          <w:color w:val="auto"/>
          <w:kern w:val="44"/>
        </w:rPr>
        <w:t>水生植物造景，既要适应当地的生态环境条件，又要采用较高观赏价值的水生植物为材料，运用艺术的手法，科学合理的配置水体并营造景观，充分发挥水生植物的姿态、色彩等自然美，达到自然美与艺术美的协调统一。</w:t>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r>
        <w:rPr>
          <w:rFonts w:cs="Times New Roman"/>
          <w:color w:val="auto"/>
          <w:kern w:val="44"/>
        </w:rPr>
        <w:t>（3）材料采购和运输</w:t>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r>
        <w:rPr>
          <w:color w:val="auto"/>
          <w:position w:val="-7"/>
        </w:rPr>
        <w:drawing>
          <wp:anchor distT="0" distB="0" distL="0" distR="0" simplePos="0" relativeHeight="251662336" behindDoc="0" locked="0" layoutInCell="1" allowOverlap="1">
            <wp:simplePos x="0" y="0"/>
            <wp:positionH relativeFrom="column">
              <wp:posOffset>484505</wp:posOffset>
            </wp:positionH>
            <wp:positionV relativeFrom="paragraph">
              <wp:posOffset>55880</wp:posOffset>
            </wp:positionV>
            <wp:extent cx="4423410" cy="239395"/>
            <wp:effectExtent l="0" t="0" r="15240" b="8255"/>
            <wp:wrapNone/>
            <wp:docPr id="67" name="IM 162"/>
            <wp:cNvGraphicFramePr/>
            <a:graphic xmlns:a="http://schemas.openxmlformats.org/drawingml/2006/main">
              <a:graphicData uri="http://schemas.openxmlformats.org/drawingml/2006/picture">
                <pic:pic xmlns:pic="http://schemas.openxmlformats.org/drawingml/2006/picture">
                  <pic:nvPicPr>
                    <pic:cNvPr id="67" name="IM 162"/>
                    <pic:cNvPicPr/>
                  </pic:nvPicPr>
                  <pic:blipFill>
                    <a:blip r:embed="rId27"/>
                    <a:stretch>
                      <a:fillRect/>
                    </a:stretch>
                  </pic:blipFill>
                  <pic:spPr>
                    <a:xfrm>
                      <a:off x="0" y="0"/>
                      <a:ext cx="4424044" cy="240029"/>
                    </a:xfrm>
                    <a:prstGeom prst="rect">
                      <a:avLst/>
                    </a:prstGeom>
                  </pic:spPr>
                </pic:pic>
              </a:graphicData>
            </a:graphic>
          </wp:anchor>
        </w:drawing>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1）核定材料品种、规格及数量</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采购前再次依据设计图纸核准确定准备购买的水生植物品种、规格高和数量，确保采购材料与设计完全一致，规格及数量不低于设计要求。</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2）确定采购区域</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①植物种苗采购以本地种苗市场为主，调查工程所在区域种苗市场，对可供销售的植株进行实地调查，包括品种，茎高、根系等进行测量记录。看植物根系植株大小，根系越发达植株越粗壮，生命力越旺盛，存活率也就越高。</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②选根系发达的根苗，并注意保护根系完整，避免造成机械损伤确保运输中根苗的安全。起苗时间与栽苗时间紧密配合，严格执行随起随运随栽原则。为保证种苗的成活率一般采用带土球起苗，然后成丛放置在竹编织筐或塑料盆中。挖掘后，对植株进行修剪，保证移植过程及生长势恢复阶段的水份平衡。</w:t>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r>
        <w:rPr>
          <w:rFonts w:hint="eastAsia" w:cs="Times New Roman"/>
          <w:color w:val="auto"/>
          <w:kern w:val="44"/>
        </w:rPr>
        <w:t>③部分缺失品种可从外地种苗基地购买， 外地采购时要避开病虫害高发地区，避免血吸虫跨区域传播。</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3）植物种苗运输</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苗木的运输质量也是影响植树成活的重要环节，保证“ 随掘、随运、随栽、随灌水”。</w:t>
      </w:r>
    </w:p>
    <w:p>
      <w:pPr>
        <w:keepNext w:val="0"/>
        <w:keepLines w:val="0"/>
        <w:pageBreakBefore w:val="0"/>
        <w:widowControl w:val="0"/>
        <w:kinsoku/>
        <w:wordWrap w:val="0"/>
        <w:overflowPunct/>
        <w:topLinePunct/>
        <w:autoSpaceDE/>
        <w:autoSpaceDN/>
        <w:bidi w:val="0"/>
        <w:adjustRightInd/>
        <w:snapToGrid w:val="0"/>
        <w:textAlignment w:val="auto"/>
        <w:rPr>
          <w:rFonts w:hint="eastAsia" w:cs="Times New Roman"/>
          <w:color w:val="auto"/>
          <w:kern w:val="44"/>
        </w:rPr>
      </w:pPr>
      <w:r>
        <w:rPr>
          <w:rFonts w:hint="eastAsia" w:cs="Times New Roman"/>
          <w:color w:val="auto"/>
          <w:kern w:val="44"/>
        </w:rPr>
        <w:t>运输时需要注意以下几点：</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①根苗运输量根据种植量确定；</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②在装运前，核对种苗的种类与规格，对已损伤不合要求的种苗淘汰，并补足苗数；</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③车箱内先垫上草袋等物，以防苗木受到磨损；</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④在装卸车时轻取轻放，不损伤根苗和根系。</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4）种苗保存及筛选</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苗木运到现场后，尽量做到当天到达，当天种完；若遇特殊情况，未能及时栽种或未栽完的，则土球用膜覆盖以保水、防水，或放入水池中储养，并及时栽种。</w:t>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r>
        <w:rPr>
          <w:rFonts w:hint="eastAsia" w:cs="Times New Roman"/>
          <w:color w:val="auto"/>
          <w:kern w:val="44"/>
        </w:rPr>
        <w:t>筛选的要求：筛选出种苗不符合合同规定的，种苗的高度，根系达不到规格要求的；将根系及茎叶机械损伤、缺失严重，且腐烂变质的种苗进行挑选出；对变种或有病虫害的劣苗进行筛选；对于以块茎为主，至少保证有2个以上的芽，以保证定干后发枝。</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（4）现场施工</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1）施工前流程</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施工前的定点、放线→场地清理→覆土→粗整理→复测→细修→复测</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2）施工方法</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①覆土量计算：根据图纸原地形高程和地形设计图高程进行覆土量的计算，计算出挺水植物种植所需要回填土方量。</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②定点、放线：按照图纸、常水位线，及其水生植物生长习性，将个水生植物的生长区域用石灰进行标出。</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③清理：土方施工前，对挺水植物种植区域表面进行全面的垃圾和砾石清理工作；清除施工范围内原地形中的杂草、树根、农作物残根、生活垃圾、建筑垃圾等。</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④覆土：根据定点、放线的各区域，在各区域内进行土方的回填，回填高度按照合同及其设计的要求进行。</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⑤粗整理：按图放样并完成土方回填达到设计标高后进行种植场地的整理。</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⑥复测：粗整理结束后，及时进行高程复查测量，校核粗整理精度，平地控制在上下10cm范围内。</w:t>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r>
        <w:rPr>
          <w:rFonts w:hint="eastAsia" w:cs="Times New Roman"/>
          <w:color w:val="auto"/>
          <w:kern w:val="44"/>
        </w:rPr>
        <w:t>⑦细修：复测结束后，如粗整理符合设计要求和施工规范要求，经业主和监理确认后进行细整，确保绿化地表面光顺。</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3）核对图纸</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在施工前，需要核对图纸，确定施工面积、施工量是否与设计图纸及设计说明一致，另要根据图纸中各区域的工程量，一方面合理的安排挺水植物的进场时间；另一方面对单个品种的种植尽量实现全区域的同时同步施工。</w:t>
      </w:r>
    </w:p>
    <w:p>
      <w:pPr>
        <w:keepNext w:val="0"/>
        <w:keepLines w:val="0"/>
        <w:pageBreakBefore w:val="0"/>
        <w:widowControl w:val="0"/>
        <w:kinsoku/>
        <w:wordWrap w:val="0"/>
        <w:overflowPunct/>
        <w:topLinePunct/>
        <w:autoSpaceDE/>
        <w:autoSpaceDN/>
        <w:bidi w:val="0"/>
        <w:adjustRightInd/>
        <w:snapToGrid w:val="0"/>
        <w:textAlignment w:val="auto"/>
        <w:rPr>
          <w:rFonts w:hint="eastAsia" w:cs="Times New Roman"/>
          <w:color w:val="auto"/>
          <w:kern w:val="44"/>
        </w:rPr>
      </w:pPr>
      <w:r>
        <w:rPr>
          <w:rFonts w:hint="eastAsia" w:cs="Times New Roman"/>
          <w:color w:val="auto"/>
          <w:kern w:val="44"/>
        </w:rPr>
        <w:t>制定合理的种植施工进度安排，对各工序进行合理的安排，保证整个施工能够紧密的结合进行，并保证施工的质量、进步。</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4）测量分区</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便于施工的合理有序的进行，可将整个工作区域进行分区，分区可按照以下依据进行：</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工程区的沟通性，可将具有隔离性的区域进行分区，分别进行施工。生态功能分区，根据施工设计时针对不同功能的定性，从而进行各区域的功能分区。</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将工程区进行分区之后，需对各个的分区的工程面积、工程量、及工程进度计划进行合理的安排，要满足整个工程的施工安排，各分区可以同步施工，并配置相应的工程对组进行组织施工。</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5）定位、定深放样</w:t>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r>
        <w:rPr>
          <w:rFonts w:hint="eastAsia" w:cs="Times New Roman"/>
          <w:color w:val="auto"/>
          <w:kern w:val="44"/>
        </w:rPr>
        <w:t>根据图纸上的种植设计，在图中将每个池中的品种分区用方格网分区标明，按比例放样于地面，确定各种苗的种植点。种植设计有规则式和自然式之分。</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规则式种植的定点放线以地面固定设施为准来定点放线， 用白灰将控制点标</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出，并在各控制点设计木桩，作为标高控制标记。</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自然式种植定点采用放线法中的距离放线法， 坡面种植植物用皮尺、经纬仪 按等图示尺寸定位放线。用上述方法定出种植范围并且用白灰洒线分块， 并在各</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拐角处设计控制木桩，作为标高控制标记。</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6）散苗</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组织工人迅速将到场种苗按设计要求及定点木桩散放于各种植分区，并注意以下要求：</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①爱护种苗轻拿轻放，不得损伤根、根皮、枝干和土球；</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②散苗速度与栽苗速度相适应，边散边栽，散毕栽完，尽量减少树根暴露时间；</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③对有特殊要求的种苗应按规定对号入座不要搞错；</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④散苗后要即时用设计图纸详细核对，发现错误立即纠正，以保证种植位置正确。</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7）种苗栽种</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种苗的栽种采用人工手植，根据种苗的保存方式，可以采用以下几种方式：</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①裸根种苗栽种方法</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将种苗放入先挖好的穴坑中并扶直，将坑边的好土填入，至填土到坑的一半时，用手将苗木轻轻往上提起，使根颈部分与地面相平，让根自然的向下舒展开来，继续填入好土，直到满坑，保持土壤的松软性。</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②栽带土球种苗栽种方法</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用木棍或者小铲，挖出坐坑，然后将将带土球的种苗直接堆放在坐坑上，并将其周边的泥土进行堆填。</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③容器栽培法</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盆栽基底准备：根据所栽苗木的大小、习性、发育阶段和现有的生产条件选择合适的容器，可以选用素烧盆或塑料盆。往植株栽种盆中填放富含腐殖质的土壤，并在土上面撒一些磷肥，再覆土混合。</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球根栽培：放入根球，用剪刀剪掉已经干掉的根系，覆土与根球的上芽齐平，土面距离盆沿要留一段距离；将栽种好盆株放入到相应施工水体中。</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整株栽培：先对植株较大的枝叶进行修剪，然后将根部放入到培育土中，然后再覆土，保证根基离土表面 2-5cm，将栽种好的盆株放入相应的水体中。</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（5）施工质量保证措施</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①需要对整个该分部工程的整个运行工序进行合理的检查、监测；</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②检查种苗，运至现场的水生植物种类、品种是否符合设计要求设置；</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③复核测量放线工作和水位控制线，做好记录，多方确认；</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④检查验收栽植床的整地，施肥、基质分项工程质量；</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⑤旁站检查样板栽植区的栽植质量， 符合要求后按样板施工并巡视检查施工栽植质量；</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⑥检查栽植范围是否符合设计要求、水生植物蓬径高矮、花色等栽植配置合理，观赏效果达到设计要求。</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⑦检查验收栽植和工程养护分项工程质量；</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⑧验收水生植物栽植分部工程质量。</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（6）安全保证措施</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①远程道路运输采用专业物流公司托运，防止道路安全事故；</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②按照陆地及水上施工作业安全操作规程进行施工作业；</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③伏天避免中暑；</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④深水区防止溺水；</w:t>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r>
        <w:rPr>
          <w:rFonts w:hint="eastAsia" w:cs="Times New Roman"/>
          <w:color w:val="auto"/>
          <w:kern w:val="44"/>
        </w:rPr>
        <w:t>⑤施工前进行安全教育和安全交底。</w:t>
      </w:r>
    </w:p>
    <w:p>
      <w:pPr>
        <w:keepNext/>
        <w:keepLines/>
        <w:snapToGrid w:val="0"/>
        <w:ind w:firstLine="480"/>
        <w:outlineLvl w:val="2"/>
        <w:rPr>
          <w:rFonts w:eastAsia="黑体" w:cs="Times New Roman"/>
          <w:color w:val="auto"/>
        </w:rPr>
      </w:pPr>
      <w:r>
        <w:rPr>
          <w:rFonts w:hint="default" w:ascii="Times New Roman" w:hAnsi="Times New Roman" w:eastAsia="宋体" w:cs="Times New Roman"/>
          <w:b/>
          <w:bCs/>
          <w:color w:val="auto"/>
        </w:rPr>
        <w:t>3.</w:t>
      </w:r>
      <w:r>
        <w:rPr>
          <w:rFonts w:hint="eastAsia" w:cs="Times New Roman"/>
          <w:b/>
          <w:bCs/>
          <w:color w:val="auto"/>
          <w:lang w:val="en-US" w:eastAsia="zh-CN"/>
        </w:rPr>
        <w:t>3</w:t>
      </w:r>
      <w:r>
        <w:rPr>
          <w:rFonts w:hint="default" w:ascii="Times New Roman" w:hAnsi="Times New Roman" w:eastAsia="宋体" w:cs="Times New Roman"/>
          <w:b/>
          <w:bCs/>
          <w:color w:val="auto"/>
        </w:rPr>
        <w:t>.</w:t>
      </w:r>
      <w:r>
        <w:rPr>
          <w:rFonts w:hint="eastAsia" w:cs="Times New Roman"/>
          <w:b/>
          <w:bCs/>
          <w:color w:val="auto"/>
          <w:lang w:val="en-US" w:eastAsia="zh-CN"/>
        </w:rPr>
        <w:t>2</w:t>
      </w:r>
      <w:r>
        <w:rPr>
          <w:rFonts w:hint="default" w:ascii="Times New Roman" w:hAnsi="Times New Roman" w:eastAsia="宋体" w:cs="Times New Roman"/>
          <w:b/>
          <w:bCs/>
          <w:color w:val="auto"/>
          <w:lang w:val="en-US" w:eastAsia="zh-CN"/>
        </w:rPr>
        <w:t>.</w:t>
      </w:r>
      <w:r>
        <w:rPr>
          <w:rFonts w:hint="eastAsia" w:cs="Times New Roman"/>
          <w:b/>
          <w:bCs/>
          <w:color w:val="auto"/>
          <w:lang w:val="en-US" w:eastAsia="zh-CN"/>
        </w:rPr>
        <w:t>2河道湿地设计</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大量的河漫滩地在丰水期时可以起到行洪的作用；然而在平水期和枯水期，将河漫滩地进行改造，成为河道湿地，发挥三个方面重要作用。</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（1）恢复河道生态植被，恢复河道生态性；</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（2）处理被污染的河水，减少入河氮磷量；</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（3）恢复自然景观。</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河道湿地的建设主要利用河道内现状地形，采用河石散置进行河床修整，点缀种植沉水植物，为河道内水生动物提供栖息地，加强河流生态系统对浮游植物的控制和提高系统的自净能力。</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color w:val="auto"/>
          <w:position w:val="-92"/>
        </w:rPr>
        <w:drawing>
          <wp:anchor distT="0" distB="0" distL="0" distR="0" simplePos="0" relativeHeight="251663360" behindDoc="0" locked="0" layoutInCell="1" allowOverlap="1">
            <wp:simplePos x="0" y="0"/>
            <wp:positionH relativeFrom="column">
              <wp:posOffset>173355</wp:posOffset>
            </wp:positionH>
            <wp:positionV relativeFrom="paragraph">
              <wp:posOffset>57150</wp:posOffset>
            </wp:positionV>
            <wp:extent cx="5273040" cy="2931795"/>
            <wp:effectExtent l="0" t="0" r="3810" b="1905"/>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28"/>
                    <a:stretch>
                      <a:fillRect/>
                    </a:stretch>
                  </pic:blipFill>
                  <pic:spPr>
                    <a:xfrm>
                      <a:off x="0" y="0"/>
                      <a:ext cx="5273421" cy="2931795"/>
                    </a:xfrm>
                    <a:prstGeom prst="rect">
                      <a:avLst/>
                    </a:prstGeom>
                  </pic:spPr>
                </pic:pic>
              </a:graphicData>
            </a:graphic>
          </wp:anchor>
        </w:drawing>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left="0" w:leftChars="0" w:firstLine="0" w:firstLineChars="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keepLines/>
        <w:snapToGrid w:val="0"/>
        <w:ind w:firstLine="480"/>
        <w:outlineLvl w:val="2"/>
        <w:rPr>
          <w:rFonts w:eastAsia="黑体" w:cs="Times New Roman"/>
          <w:color w:val="auto"/>
        </w:rPr>
      </w:pPr>
      <w:r>
        <w:rPr>
          <w:rFonts w:hint="default" w:ascii="Times New Roman" w:hAnsi="Times New Roman" w:eastAsia="宋体" w:cs="Times New Roman"/>
          <w:b/>
          <w:bCs/>
          <w:color w:val="auto"/>
        </w:rPr>
        <w:t>3.</w:t>
      </w:r>
      <w:r>
        <w:rPr>
          <w:rFonts w:hint="eastAsia" w:cs="Times New Roman"/>
          <w:b/>
          <w:bCs/>
          <w:color w:val="auto"/>
          <w:lang w:val="en-US" w:eastAsia="zh-CN"/>
        </w:rPr>
        <w:t>3</w:t>
      </w:r>
      <w:r>
        <w:rPr>
          <w:rFonts w:hint="default" w:ascii="Times New Roman" w:hAnsi="Times New Roman" w:eastAsia="宋体" w:cs="Times New Roman"/>
          <w:b/>
          <w:bCs/>
          <w:color w:val="auto"/>
        </w:rPr>
        <w:t>.</w:t>
      </w:r>
      <w:r>
        <w:rPr>
          <w:rFonts w:hint="eastAsia" w:cs="Times New Roman"/>
          <w:b/>
          <w:bCs/>
          <w:color w:val="auto"/>
          <w:lang w:val="en-US" w:eastAsia="zh-CN"/>
        </w:rPr>
        <w:t>2</w:t>
      </w:r>
      <w:r>
        <w:rPr>
          <w:rFonts w:hint="default" w:ascii="Times New Roman" w:hAnsi="Times New Roman" w:eastAsia="宋体" w:cs="Times New Roman"/>
          <w:b/>
          <w:bCs/>
          <w:color w:val="auto"/>
          <w:lang w:val="en-US" w:eastAsia="zh-CN"/>
        </w:rPr>
        <w:t>.</w:t>
      </w:r>
      <w:r>
        <w:rPr>
          <w:rFonts w:hint="eastAsia" w:cs="Times New Roman"/>
          <w:b/>
          <w:bCs/>
          <w:color w:val="auto"/>
          <w:lang w:val="en-US" w:eastAsia="zh-CN"/>
        </w:rPr>
        <w:t>3河床渗滤湿地设计</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河床渗滤湿地是河道湿地的一种辅助湿地形式，主要用于进行阻隔流向河道的泥沙，净化向地下和就近的主河道流动的河水。</w:t>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r>
        <w:rPr>
          <w:color w:val="auto"/>
          <w:position w:val="-68"/>
        </w:rPr>
        <w:drawing>
          <wp:anchor distT="0" distB="0" distL="0" distR="0" simplePos="0" relativeHeight="251664384" behindDoc="0" locked="0" layoutInCell="1" allowOverlap="1">
            <wp:simplePos x="0" y="0"/>
            <wp:positionH relativeFrom="column">
              <wp:posOffset>234315</wp:posOffset>
            </wp:positionH>
            <wp:positionV relativeFrom="paragraph">
              <wp:posOffset>56515</wp:posOffset>
            </wp:positionV>
            <wp:extent cx="5266055" cy="2181860"/>
            <wp:effectExtent l="12700" t="12700" r="17145" b="1524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9"/>
                    <a:stretch>
                      <a:fillRect/>
                    </a:stretch>
                  </pic:blipFill>
                  <pic:spPr>
                    <a:xfrm>
                      <a:off x="0" y="0"/>
                      <a:ext cx="5266309" cy="2182367"/>
                    </a:xfrm>
                    <a:prstGeom prst="rect">
                      <a:avLst/>
                    </a:prstGeom>
                    <a:ln w="12700">
                      <a:solidFill>
                        <a:schemeClr val="tx1"/>
                      </a:solidFill>
                    </a:ln>
                  </pic:spPr>
                </pic:pic>
              </a:graphicData>
            </a:graphic>
          </wp:anchor>
        </w:drawing>
      </w: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val="0"/>
        <w:keepLines w:val="0"/>
        <w:pageBreakBefore w:val="0"/>
        <w:widowControl w:val="0"/>
        <w:kinsoku/>
        <w:wordWrap w:val="0"/>
        <w:overflowPunct/>
        <w:topLinePunct/>
        <w:autoSpaceDE/>
        <w:autoSpaceDN/>
        <w:bidi w:val="0"/>
        <w:adjustRightInd/>
        <w:snapToGrid w:val="0"/>
        <w:ind w:firstLine="480"/>
        <w:textAlignment w:val="auto"/>
        <w:rPr>
          <w:rFonts w:cs="Times New Roman"/>
          <w:color w:val="auto"/>
          <w:kern w:val="44"/>
        </w:rPr>
      </w:pPr>
    </w:p>
    <w:p>
      <w:pPr>
        <w:keepNext/>
        <w:keepLines/>
        <w:snapToGrid w:val="0"/>
        <w:ind w:firstLine="480"/>
        <w:outlineLvl w:val="2"/>
        <w:rPr>
          <w:rFonts w:hint="default" w:eastAsia="黑体" w:cs="Times New Roman"/>
          <w:color w:val="auto"/>
          <w:lang w:val="en-US"/>
        </w:rPr>
      </w:pPr>
      <w:r>
        <w:rPr>
          <w:rFonts w:hint="default" w:ascii="Times New Roman" w:hAnsi="Times New Roman" w:eastAsia="宋体" w:cs="Times New Roman"/>
          <w:b/>
          <w:bCs/>
          <w:color w:val="auto"/>
        </w:rPr>
        <w:t>3.</w:t>
      </w:r>
      <w:r>
        <w:rPr>
          <w:rFonts w:hint="eastAsia" w:cs="Times New Roman"/>
          <w:b/>
          <w:bCs/>
          <w:color w:val="auto"/>
          <w:lang w:val="en-US" w:eastAsia="zh-CN"/>
        </w:rPr>
        <w:t>3</w:t>
      </w:r>
      <w:r>
        <w:rPr>
          <w:rFonts w:hint="default" w:ascii="Times New Roman" w:hAnsi="Times New Roman" w:eastAsia="宋体" w:cs="Times New Roman"/>
          <w:b/>
          <w:bCs/>
          <w:color w:val="auto"/>
        </w:rPr>
        <w:t>.</w:t>
      </w:r>
      <w:r>
        <w:rPr>
          <w:rFonts w:hint="eastAsia" w:cs="Times New Roman"/>
          <w:b/>
          <w:bCs/>
          <w:color w:val="auto"/>
          <w:lang w:val="en-US" w:eastAsia="zh-CN"/>
        </w:rPr>
        <w:t>3河道增氧设计</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default" w:eastAsia="宋体" w:cs="Times New Roman"/>
          <w:color w:val="auto"/>
          <w:kern w:val="44"/>
          <w:lang w:val="en-US" w:eastAsia="zh-CN"/>
        </w:rPr>
      </w:pPr>
      <w:r>
        <w:rPr>
          <w:rFonts w:hint="eastAsia" w:cs="Times New Roman"/>
          <w:color w:val="auto"/>
          <w:kern w:val="44"/>
          <w:lang w:val="en-US" w:eastAsia="zh-CN"/>
        </w:rPr>
        <w:t>1.实施内容</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水体中的溶解氧主要消耗在有机物的好氧生化降解、氨氮的硝化、底泥的耗氧、还原物质的氧化、水生生物和植物生长等生化及生物合成等过程中。污染河道就是由于溶解氧的总消耗量大于复氧量，水体的溶解氧大幅下降，甚至被消耗殆尽，河流水体处于无氧状态，有机物的分解就从好氧分解转为厌氧分解，水体生态系统遭到严重破坏，导致污染水体黑臭。河道增氧技术就是根据河流受到污染后缺氧的特点，通过人工曝气增氧或自然增氧的方式向水体中充入空气或氧气，加速水体复氧过程，以提高水体的溶解氧水平，恢复和增强水体中物的活力，使水体中的污染物质得以净化，从而改善河流的水质。</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eastAsia="宋体" w:cs="Times New Roman"/>
          <w:color w:val="auto"/>
          <w:kern w:val="44"/>
          <w:lang w:eastAsia="zh-CN"/>
        </w:rPr>
      </w:pPr>
      <w:r>
        <w:rPr>
          <w:rFonts w:hint="eastAsia" w:cs="Times New Roman"/>
          <w:color w:val="auto"/>
          <w:kern w:val="44"/>
        </w:rPr>
        <w:t>河水中的溶解氧主要来源于大气复氧和水生植物的光合作用，其中大气复氧是水体中溶解氧的主要来源。这种方式无动力消耗、成本较低但是增氧效果不如人工曝气，经常采用人工曝气弥补自然曝气的不足</w:t>
      </w:r>
      <w:r>
        <w:rPr>
          <w:rFonts w:hint="eastAsia" w:cs="Times New Roman"/>
          <w:color w:val="auto"/>
          <w:kern w:val="44"/>
          <w:lang w:eastAsia="zh-CN"/>
        </w:rPr>
        <w:t>。</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default" w:eastAsia="宋体" w:cs="Times New Roman"/>
          <w:color w:val="auto"/>
          <w:kern w:val="44"/>
          <w:lang w:val="en-US" w:eastAsia="zh-CN"/>
        </w:rPr>
      </w:pPr>
      <w:r>
        <w:rPr>
          <w:rFonts w:hint="eastAsia" w:cs="Times New Roman"/>
          <w:color w:val="auto"/>
          <w:kern w:val="44"/>
          <w:lang w:val="en-US" w:eastAsia="zh-CN"/>
        </w:rPr>
        <w:t>2.实施方法</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由于常年水体流动性较差，当夏季来临时水温升高，池内藻类繁殖旺盛。针对这一特点，水体复氧、控藻、水动力的提高就显得尤为重要。曝气机是专门针对江河湖泊等水体净化水质的需要而研制开发设计的增氧、造流、循环、净化水质的节能水处理设备。应用于人工及自然湖泊水体、公园、别墅区、生态住宅、高尔夫球场、城市河流湖泊、引水渠、湖泊河网水系、生态休闲乐园湖泊等景观水处理。生态循环复氧设备通过高效的水循环对受污染的水体进行混合、复氧和控藻，实现对污染水体的曝气处理。由于以虹吸及液位浮力为动力，无需岸上供电设备及电缆等设施，经安装调试完成后无需人工值守，因此设备正常运行期间无运行费用。</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val="en-US" w:eastAsia="zh-CN"/>
        </w:rPr>
        <w:t>3.</w:t>
      </w:r>
      <w:r>
        <w:rPr>
          <w:rFonts w:hint="eastAsia" w:cs="Times New Roman"/>
          <w:color w:val="auto"/>
          <w:kern w:val="44"/>
        </w:rPr>
        <w:t>纯太阳能深度复氧机</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广泛应用于河道、湖泊、内河、景观塘等；通过太阳能功能，机器通过给曝气机给水体增氧，预防水体因缺氧腐化变质，增强水体自净能力。性能特点：</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1</w:t>
      </w:r>
      <w:r>
        <w:rPr>
          <w:rFonts w:hint="eastAsia" w:cs="Times New Roman"/>
          <w:color w:val="auto"/>
          <w:kern w:val="44"/>
          <w:lang w:eastAsia="zh-CN"/>
        </w:rPr>
        <w:t>）</w:t>
      </w:r>
      <w:r>
        <w:rPr>
          <w:rFonts w:hint="eastAsia" w:cs="Times New Roman"/>
          <w:color w:val="auto"/>
          <w:kern w:val="44"/>
        </w:rPr>
        <w:t>单机每天连续15到20小时工作，无需外接电源。</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2</w:t>
      </w:r>
      <w:r>
        <w:rPr>
          <w:rFonts w:hint="eastAsia" w:cs="Times New Roman"/>
          <w:color w:val="auto"/>
          <w:kern w:val="44"/>
          <w:lang w:eastAsia="zh-CN"/>
        </w:rPr>
        <w:t>）</w:t>
      </w:r>
      <w:r>
        <w:rPr>
          <w:rFonts w:hint="eastAsia" w:cs="Times New Roman"/>
          <w:color w:val="auto"/>
          <w:kern w:val="44"/>
        </w:rPr>
        <w:t>设备使用寿命长，稳定性高，整机连续运转可达5-8年，主要部件长达23年以上。</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3</w:t>
      </w:r>
      <w:r>
        <w:rPr>
          <w:rFonts w:hint="eastAsia" w:cs="Times New Roman"/>
          <w:color w:val="auto"/>
          <w:kern w:val="44"/>
          <w:lang w:eastAsia="zh-CN"/>
        </w:rPr>
        <w:t>）</w:t>
      </w:r>
      <w:r>
        <w:rPr>
          <w:rFonts w:hint="eastAsia" w:cs="Times New Roman"/>
          <w:color w:val="auto"/>
          <w:kern w:val="44"/>
        </w:rPr>
        <w:t>设备造价成本低，见效快，安装方便，无需日常人工操作，节能高效环保，无需投加任何化学药剂，无二次污染。</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技术参数：</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1</w:t>
      </w:r>
      <w:r>
        <w:rPr>
          <w:rFonts w:hint="eastAsia" w:cs="Times New Roman"/>
          <w:color w:val="auto"/>
          <w:kern w:val="44"/>
          <w:lang w:eastAsia="zh-CN"/>
        </w:rPr>
        <w:t>）</w:t>
      </w:r>
      <w:r>
        <w:rPr>
          <w:rFonts w:hint="eastAsia" w:cs="Times New Roman"/>
          <w:color w:val="auto"/>
          <w:kern w:val="44"/>
        </w:rPr>
        <w:t>采用不锈钢防水电机，水冷高交效。</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2</w:t>
      </w:r>
      <w:r>
        <w:rPr>
          <w:rFonts w:hint="eastAsia" w:cs="Times New Roman"/>
          <w:color w:val="auto"/>
          <w:kern w:val="44"/>
          <w:lang w:eastAsia="zh-CN"/>
        </w:rPr>
        <w:t>）</w:t>
      </w:r>
      <w:r>
        <w:rPr>
          <w:rFonts w:hint="eastAsia" w:cs="Times New Roman"/>
          <w:color w:val="auto"/>
          <w:kern w:val="44"/>
        </w:rPr>
        <w:t>整体采用耐用腐蚀材料，使用寿命长。</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3</w:t>
      </w:r>
      <w:r>
        <w:rPr>
          <w:rFonts w:hint="eastAsia" w:cs="Times New Roman"/>
          <w:color w:val="auto"/>
          <w:kern w:val="44"/>
          <w:lang w:eastAsia="zh-CN"/>
        </w:rPr>
        <w:t>）</w:t>
      </w:r>
      <w:r>
        <w:rPr>
          <w:rFonts w:hint="eastAsia" w:cs="Times New Roman"/>
          <w:color w:val="auto"/>
          <w:kern w:val="44"/>
        </w:rPr>
        <w:t>.重量轻，实用，移动非常方便。</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4</w:t>
      </w:r>
      <w:r>
        <w:rPr>
          <w:rFonts w:hint="eastAsia" w:cs="Times New Roman"/>
          <w:color w:val="auto"/>
          <w:kern w:val="44"/>
          <w:lang w:eastAsia="zh-CN"/>
        </w:rPr>
        <w:t>）</w:t>
      </w:r>
      <w:r>
        <w:rPr>
          <w:rFonts w:hint="eastAsia" w:cs="Times New Roman"/>
          <w:color w:val="auto"/>
          <w:kern w:val="44"/>
        </w:rPr>
        <w:t>可适用于深层水体增氧。</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5</w:t>
      </w:r>
      <w:r>
        <w:rPr>
          <w:rFonts w:hint="eastAsia" w:cs="Times New Roman"/>
          <w:color w:val="auto"/>
          <w:kern w:val="44"/>
          <w:lang w:eastAsia="zh-CN"/>
        </w:rPr>
        <w:t>）</w:t>
      </w:r>
      <w:r>
        <w:rPr>
          <w:rFonts w:hint="eastAsia" w:cs="Times New Roman"/>
          <w:color w:val="auto"/>
          <w:kern w:val="44"/>
        </w:rPr>
        <w:t>高效的螺旋桨式叶轮， 节能高效。</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val="en-US" w:eastAsia="zh-CN"/>
        </w:rPr>
        <w:t>4.</w:t>
      </w:r>
      <w:r>
        <w:rPr>
          <w:rFonts w:hint="eastAsia" w:cs="Times New Roman"/>
          <w:color w:val="auto"/>
          <w:kern w:val="44"/>
        </w:rPr>
        <w:t>纯太阳能喷泉复氧机</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rPr>
        <w:t>性能特点：</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1</w:t>
      </w:r>
      <w:r>
        <w:rPr>
          <w:rFonts w:hint="eastAsia" w:cs="Times New Roman"/>
          <w:color w:val="auto"/>
          <w:kern w:val="44"/>
          <w:lang w:eastAsia="zh-CN"/>
        </w:rPr>
        <w:t>）</w:t>
      </w:r>
      <w:r>
        <w:rPr>
          <w:rFonts w:hint="eastAsia" w:cs="Times New Roman"/>
          <w:color w:val="auto"/>
          <w:kern w:val="44"/>
        </w:rPr>
        <w:t>输出效率高，水循环效果明显；结构紧凑、低损耗、噪声小、具有节能低耗优点，故障率低，溶氧效果好。</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2</w:t>
      </w:r>
      <w:r>
        <w:rPr>
          <w:rFonts w:hint="eastAsia" w:cs="Times New Roman"/>
          <w:color w:val="auto"/>
          <w:kern w:val="44"/>
          <w:lang w:eastAsia="zh-CN"/>
        </w:rPr>
        <w:t>）</w:t>
      </w:r>
      <w:r>
        <w:rPr>
          <w:rFonts w:hint="eastAsia" w:cs="Times New Roman"/>
          <w:color w:val="auto"/>
          <w:kern w:val="44"/>
        </w:rPr>
        <w:t>主体设备采用SUS304和HDPE 高密度聚乙烯复合材料完全耐各种腐蚀水体，设备使用适应范围广、轻便、经济于一体。</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3</w:t>
      </w:r>
      <w:r>
        <w:rPr>
          <w:rFonts w:hint="eastAsia" w:cs="Times New Roman"/>
          <w:color w:val="auto"/>
          <w:kern w:val="44"/>
          <w:lang w:eastAsia="zh-CN"/>
        </w:rPr>
        <w:t>）</w:t>
      </w:r>
      <w:r>
        <w:rPr>
          <w:rFonts w:hint="eastAsia" w:cs="Times New Roman"/>
          <w:color w:val="auto"/>
          <w:kern w:val="44"/>
        </w:rPr>
        <w:t>漂浮浮筒式安装无特殊要求，只需要两钢管插入泥底拉绳索来固定设备。</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4</w:t>
      </w:r>
      <w:r>
        <w:rPr>
          <w:rFonts w:hint="eastAsia" w:cs="Times New Roman"/>
          <w:color w:val="auto"/>
          <w:kern w:val="44"/>
          <w:lang w:eastAsia="zh-CN"/>
        </w:rPr>
        <w:t>）</w:t>
      </w:r>
      <w:r>
        <w:rPr>
          <w:rFonts w:hint="eastAsia" w:cs="Times New Roman"/>
          <w:color w:val="auto"/>
          <w:kern w:val="44"/>
        </w:rPr>
        <w:t>有效曝泉曝气于一机化，不需要机房及任何管道、泵、阀，不存在堵塞现象。</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5</w:t>
      </w:r>
      <w:r>
        <w:rPr>
          <w:rFonts w:hint="eastAsia" w:cs="Times New Roman"/>
          <w:color w:val="auto"/>
          <w:kern w:val="44"/>
          <w:lang w:eastAsia="zh-CN"/>
        </w:rPr>
        <w:t>）</w:t>
      </w:r>
      <w:r>
        <w:rPr>
          <w:rFonts w:hint="eastAsia" w:cs="Times New Roman"/>
          <w:color w:val="auto"/>
          <w:kern w:val="44"/>
        </w:rPr>
        <w:t>具有特色的造景功能设备，喷起喇叭花造型优美，增加了湖泊的气质装饰性，充分体现了人与自然的和谐。</w:t>
      </w:r>
    </w:p>
    <w:p>
      <w:pPr>
        <w:keepNext w:val="0"/>
        <w:keepLines w:val="0"/>
        <w:pageBreakBefore w:val="0"/>
        <w:widowControl w:val="0"/>
        <w:kinsoku/>
        <w:wordWrap w:val="0"/>
        <w:overflowPunct/>
        <w:topLinePunct/>
        <w:autoSpaceDE/>
        <w:autoSpaceDN/>
        <w:bidi w:val="0"/>
        <w:adjustRightInd/>
        <w:snapToGrid w:val="0"/>
        <w:ind w:firstLine="480"/>
        <w:textAlignment w:val="auto"/>
        <w:rPr>
          <w:rFonts w:hint="eastAsia" w:cs="Times New Roman"/>
          <w:color w:val="auto"/>
          <w:kern w:val="44"/>
        </w:rPr>
      </w:pPr>
      <w:r>
        <w:rPr>
          <w:rFonts w:hint="eastAsia" w:cs="Times New Roman"/>
          <w:color w:val="auto"/>
          <w:kern w:val="44"/>
          <w:lang w:eastAsia="zh-CN"/>
        </w:rPr>
        <w:t>（</w:t>
      </w:r>
      <w:r>
        <w:rPr>
          <w:rFonts w:hint="eastAsia" w:cs="Times New Roman"/>
          <w:color w:val="auto"/>
          <w:kern w:val="44"/>
          <w:lang w:val="en-US" w:eastAsia="zh-CN"/>
        </w:rPr>
        <w:t>6</w:t>
      </w:r>
      <w:r>
        <w:rPr>
          <w:rFonts w:hint="eastAsia" w:cs="Times New Roman"/>
          <w:color w:val="auto"/>
          <w:kern w:val="44"/>
          <w:lang w:eastAsia="zh-CN"/>
        </w:rPr>
        <w:t>）</w:t>
      </w:r>
      <w:r>
        <w:rPr>
          <w:rFonts w:hint="eastAsia" w:cs="Times New Roman"/>
          <w:color w:val="auto"/>
          <w:kern w:val="44"/>
        </w:rPr>
        <w:t>推动水循环功能有效地防止封闭性的水质腐臭问题，喷起的水花是具有观赏性的喇叭花形造型，为景观水体添光加彩。</w:t>
      </w:r>
    </w:p>
    <w:p>
      <w:pPr>
        <w:keepNext/>
        <w:keepLines/>
        <w:adjustRightInd w:val="0"/>
        <w:snapToGrid w:val="0"/>
        <w:ind w:left="575" w:firstLine="0" w:firstLineChars="0"/>
        <w:outlineLvl w:val="1"/>
        <w:rPr>
          <w:rFonts w:eastAsia="黑体" w:cs="Times New Roman"/>
          <w:color w:val="auto"/>
          <w:sz w:val="28"/>
        </w:rPr>
      </w:pPr>
      <w:bookmarkStart w:id="32" w:name="_Toc142388369"/>
      <w:r>
        <w:rPr>
          <w:rFonts w:eastAsia="黑体" w:cs="Times New Roman"/>
          <w:color w:val="auto"/>
          <w:sz w:val="28"/>
        </w:rPr>
        <w:t>3.</w:t>
      </w:r>
      <w:r>
        <w:rPr>
          <w:rFonts w:hint="eastAsia" w:eastAsia="黑体" w:cs="Times New Roman"/>
          <w:color w:val="auto"/>
          <w:sz w:val="28"/>
          <w:lang w:val="en-US" w:eastAsia="zh-CN"/>
        </w:rPr>
        <w:t>4</w:t>
      </w:r>
      <w:r>
        <w:rPr>
          <w:rFonts w:eastAsia="黑体" w:cs="Times New Roman"/>
          <w:color w:val="auto"/>
          <w:sz w:val="28"/>
        </w:rPr>
        <w:t>工程建设用地范围</w:t>
      </w:r>
      <w:bookmarkEnd w:id="32"/>
    </w:p>
    <w:p>
      <w:pPr>
        <w:snapToGrid w:val="0"/>
        <w:ind w:firstLine="480"/>
        <w:rPr>
          <w:rFonts w:hint="eastAsia" w:eastAsia="宋体" w:cs="Times New Roman"/>
          <w:color w:val="auto"/>
          <w:lang w:eastAsia="zh-CN"/>
        </w:rPr>
      </w:pPr>
      <w:r>
        <w:rPr>
          <w:rFonts w:hint="eastAsia" w:cs="Times New Roman"/>
          <w:color w:val="auto"/>
        </w:rPr>
        <w:t>本项目工程选址：在佐龙镇新建生态缓冲带9.96hm</w:t>
      </w:r>
      <w:r>
        <w:rPr>
          <w:rFonts w:hint="eastAsia" w:cs="Times New Roman"/>
          <w:color w:val="auto"/>
          <w:vertAlign w:val="superscript"/>
        </w:rPr>
        <w:t>2</w:t>
      </w:r>
      <w:r>
        <w:rPr>
          <w:rFonts w:hint="eastAsia" w:cs="Times New Roman"/>
          <w:color w:val="auto"/>
        </w:rPr>
        <w:t>；在城关镇新建生态缓冲带、人工湿地及生态护坡6.78hm</w:t>
      </w:r>
      <w:r>
        <w:rPr>
          <w:rFonts w:hint="eastAsia" w:cs="Times New Roman"/>
          <w:color w:val="auto"/>
          <w:vertAlign w:val="superscript"/>
        </w:rPr>
        <w:t>2</w:t>
      </w:r>
      <w:r>
        <w:rPr>
          <w:rFonts w:hint="eastAsia" w:cs="Times New Roman"/>
          <w:color w:val="auto"/>
        </w:rPr>
        <w:t>；在蔺河镇新建生态护坡0.95hm</w:t>
      </w:r>
      <w:r>
        <w:rPr>
          <w:rFonts w:hint="eastAsia" w:cs="Times New Roman"/>
          <w:color w:val="auto"/>
          <w:vertAlign w:val="superscript"/>
        </w:rPr>
        <w:t>2</w:t>
      </w:r>
      <w:r>
        <w:rPr>
          <w:rFonts w:hint="eastAsia" w:cs="Times New Roman"/>
          <w:color w:val="auto"/>
        </w:rPr>
        <w:t>；在南宫山镇新建生态缓冲带及人工湿地0.78hm</w:t>
      </w:r>
      <w:r>
        <w:rPr>
          <w:rFonts w:hint="eastAsia" w:cs="Times New Roman"/>
          <w:color w:val="auto"/>
          <w:vertAlign w:val="superscript"/>
        </w:rPr>
        <w:t>2</w:t>
      </w:r>
      <w:r>
        <w:rPr>
          <w:rFonts w:hint="eastAsia" w:cs="Times New Roman"/>
          <w:color w:val="auto"/>
        </w:rPr>
        <w:t>；在孟石岭镇新建生态缓冲带1.00hm</w:t>
      </w:r>
      <w:r>
        <w:rPr>
          <w:rFonts w:hint="eastAsia" w:cs="Times New Roman"/>
          <w:color w:val="auto"/>
          <w:vertAlign w:val="superscript"/>
        </w:rPr>
        <w:t>2</w:t>
      </w:r>
      <w:r>
        <w:rPr>
          <w:rFonts w:hint="eastAsia" w:cs="Times New Roman"/>
          <w:color w:val="auto"/>
        </w:rPr>
        <w:t>。工程场址具体建设范围见下表</w:t>
      </w:r>
      <w:r>
        <w:rPr>
          <w:rFonts w:hint="eastAsia" w:cs="Times New Roman"/>
          <w:color w:val="auto"/>
          <w:lang w:eastAsia="zh-CN"/>
        </w:rPr>
        <w:t>：</w:t>
      </w:r>
    </w:p>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cs="Times New Roman"/>
          <w:color w:val="auto"/>
        </w:rPr>
      </w:pPr>
      <w:r>
        <w:rPr>
          <w:rFonts w:cs="Times New Roman"/>
          <w:b/>
          <w:color w:val="auto"/>
          <w:kern w:val="44"/>
        </w:rPr>
        <w:t>表3.</w:t>
      </w:r>
      <w:r>
        <w:rPr>
          <w:rFonts w:hint="eastAsia" w:cs="Times New Roman"/>
          <w:b/>
          <w:color w:val="auto"/>
          <w:kern w:val="44"/>
          <w:lang w:val="en-US" w:eastAsia="zh-CN"/>
        </w:rPr>
        <w:t>4</w:t>
      </w:r>
      <w:r>
        <w:rPr>
          <w:rFonts w:cs="Times New Roman"/>
          <w:b/>
          <w:color w:val="auto"/>
          <w:kern w:val="44"/>
        </w:rPr>
        <w:t>-</w:t>
      </w:r>
      <w:r>
        <w:rPr>
          <w:rFonts w:hint="eastAsia" w:cs="Times New Roman"/>
          <w:b/>
          <w:color w:val="auto"/>
          <w:kern w:val="44"/>
          <w:lang w:val="en-US" w:eastAsia="zh-CN"/>
        </w:rPr>
        <w:t>1</w:t>
      </w:r>
      <w:r>
        <w:rPr>
          <w:rFonts w:cs="Times New Roman"/>
          <w:b/>
          <w:color w:val="auto"/>
          <w:kern w:val="44"/>
        </w:rPr>
        <w:t xml:space="preserve">   拟建生态缓冲带工程场址用地情况一览表</w:t>
      </w:r>
    </w:p>
    <w:tbl>
      <w:tblPr>
        <w:tblStyle w:val="188"/>
        <w:tblpPr w:leftFromText="180" w:rightFromText="180" w:vertAnchor="text" w:horzAnchor="page" w:tblpX="1802" w:tblpY="128"/>
        <w:tblOverlap w:val="never"/>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66"/>
        <w:gridCol w:w="2289"/>
        <w:gridCol w:w="2907"/>
        <w:gridCol w:w="29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428" w:type="pct"/>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14:textOutline w14:w="4354" w14:cap="flat" w14:cmpd="sng">
                  <w14:solidFill>
                    <w14:srgbClr w14:val="000000"/>
                  </w14:solidFill>
                  <w14:prstDash w14:val="solid"/>
                  <w14:miter w14:val="0"/>
                </w14:textOutline>
              </w:rPr>
              <w:t>序号</w:t>
            </w:r>
          </w:p>
        </w:tc>
        <w:tc>
          <w:tcPr>
            <w:tcW w:w="1277" w:type="pct"/>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14:textOutline w14:w="4354" w14:cap="flat" w14:cmpd="sng">
                  <w14:solidFill>
                    <w14:srgbClr w14:val="000000"/>
                  </w14:solidFill>
                  <w14:prstDash w14:val="solid"/>
                  <w14:miter w14:val="0"/>
                </w14:textOutline>
              </w:rPr>
              <w:t>镇名</w:t>
            </w:r>
          </w:p>
        </w:tc>
        <w:tc>
          <w:tcPr>
            <w:tcW w:w="1623" w:type="pct"/>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14:textOutline w14:w="4354" w14:cap="flat" w14:cmpd="sng">
                  <w14:solidFill>
                    <w14:srgbClr w14:val="000000"/>
                  </w14:solidFill>
                  <w14:prstDash w14:val="solid"/>
                  <w14:miter w14:val="0"/>
                </w14:textOutline>
              </w:rPr>
              <w:t>占地面积（</w:t>
            </w:r>
            <w:r>
              <w:rPr>
                <w:rFonts w:hint="default" w:ascii="Times New Roman" w:hAnsi="Times New Roman" w:eastAsia="宋体" w:cs="Times New Roman"/>
                <w:b/>
                <w:bCs/>
                <w:color w:val="auto"/>
                <w:spacing w:val="-5"/>
                <w:sz w:val="21"/>
                <w:szCs w:val="21"/>
              </w:rPr>
              <w:t>hm</w:t>
            </w:r>
            <w:r>
              <w:rPr>
                <w:rFonts w:hint="default" w:ascii="Times New Roman" w:hAnsi="Times New Roman" w:eastAsia="宋体" w:cs="Times New Roman"/>
                <w:b/>
                <w:bCs/>
                <w:color w:val="auto"/>
                <w:spacing w:val="-5"/>
                <w:position w:val="7"/>
                <w:sz w:val="21"/>
                <w:szCs w:val="21"/>
                <w:vertAlign w:val="superscript"/>
              </w:rPr>
              <w:t>2</w:t>
            </w:r>
            <w:r>
              <w:rPr>
                <w:rFonts w:hint="default" w:ascii="Times New Roman" w:hAnsi="Times New Roman" w:eastAsia="宋体" w:cs="Times New Roman"/>
                <w:color w:val="auto"/>
                <w:spacing w:val="-5"/>
                <w:sz w:val="21"/>
                <w:szCs w:val="21"/>
                <w14:textOutline w14:w="4354" w14:cap="flat" w14:cmpd="sng">
                  <w14:solidFill>
                    <w14:srgbClr w14:val="000000"/>
                  </w14:solidFill>
                  <w14:prstDash w14:val="solid"/>
                  <w14:miter w14:val="0"/>
                </w14:textOutline>
              </w:rPr>
              <w:t>）</w:t>
            </w:r>
          </w:p>
        </w:tc>
        <w:tc>
          <w:tcPr>
            <w:tcW w:w="1670" w:type="pct"/>
            <w:tcBorders>
              <w:bottom w:val="single" w:color="auto" w:sz="12" w:space="0"/>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14:textOutline w14:w="4354" w14:cap="flat" w14:cmpd="sng">
                  <w14:solidFill>
                    <w14:srgbClr w14:val="000000"/>
                  </w14:solidFill>
                  <w14:prstDash w14:val="solid"/>
                  <w14:miter w14:val="0"/>
                </w14:textOutline>
              </w:rPr>
              <w:t>土地性质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428" w:type="pc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77" w:type="pct"/>
            <w:tcBorders>
              <w:top w:val="single" w:color="auto" w:sz="12" w:space="0"/>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佐龙镇</w:t>
            </w:r>
          </w:p>
        </w:tc>
        <w:tc>
          <w:tcPr>
            <w:tcW w:w="2907"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9.96</w:t>
            </w:r>
          </w:p>
        </w:tc>
        <w:tc>
          <w:tcPr>
            <w:tcW w:w="1670" w:type="pct"/>
            <w:tcBorders>
              <w:top w:val="single" w:color="auto" w:sz="12" w:space="0"/>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岚河河道河滩地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77"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城关镇</w:t>
            </w:r>
          </w:p>
        </w:tc>
        <w:tc>
          <w:tcPr>
            <w:tcW w:w="29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6.78</w:t>
            </w:r>
          </w:p>
        </w:tc>
        <w:tc>
          <w:tcPr>
            <w:tcW w:w="1670"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岚河河道河滩地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77"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蔺河镇</w:t>
            </w:r>
          </w:p>
        </w:tc>
        <w:tc>
          <w:tcPr>
            <w:tcW w:w="29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0.95</w:t>
            </w:r>
          </w:p>
        </w:tc>
        <w:tc>
          <w:tcPr>
            <w:tcW w:w="1670"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岚河河道河滩地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77"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南宫山镇</w:t>
            </w:r>
          </w:p>
        </w:tc>
        <w:tc>
          <w:tcPr>
            <w:tcW w:w="29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0.78</w:t>
            </w:r>
          </w:p>
        </w:tc>
        <w:tc>
          <w:tcPr>
            <w:tcW w:w="1670"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岚河河道河滩地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77"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孟石岭镇</w:t>
            </w:r>
          </w:p>
        </w:tc>
        <w:tc>
          <w:tcPr>
            <w:tcW w:w="1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1.00</w:t>
            </w:r>
          </w:p>
        </w:tc>
        <w:tc>
          <w:tcPr>
            <w:tcW w:w="1670" w:type="pct"/>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岚河河道河滩地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706" w:type="pct"/>
            <w:gridSpan w:val="2"/>
            <w:tcBorders>
              <w:tl2br w:val="nil"/>
              <w:tr2bl w:val="nil"/>
            </w:tcBorders>
            <w:vAlign w:val="center"/>
          </w:tcPr>
          <w:p>
            <w:pPr>
              <w:pStyle w:val="200"/>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14:textOutline w14:w="4354" w14:cap="flat" w14:cmpd="sng">
                  <w14:solidFill>
                    <w14:srgbClr w14:val="000000"/>
                  </w14:solidFill>
                  <w14:prstDash w14:val="solid"/>
                  <w14:miter w14:val="0"/>
                </w14:textOutline>
              </w:rPr>
              <w:t>合计</w:t>
            </w:r>
          </w:p>
        </w:tc>
        <w:tc>
          <w:tcPr>
            <w:tcW w:w="1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bCs/>
                <w:color w:val="auto"/>
                <w:spacing w:val="-1"/>
                <w:sz w:val="21"/>
                <w:szCs w:val="21"/>
                <w:lang w:val="en-US" w:eastAsia="zh-CN"/>
              </w:rPr>
              <w:t>19.49</w:t>
            </w:r>
          </w:p>
        </w:tc>
        <w:tc>
          <w:tcPr>
            <w:tcW w:w="16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z w:val="21"/>
                <w:szCs w:val="21"/>
              </w:rPr>
            </w:pPr>
          </w:p>
        </w:tc>
      </w:tr>
    </w:tbl>
    <w:p>
      <w:pPr>
        <w:pStyle w:val="3"/>
        <w:numPr>
          <w:ilvl w:val="1"/>
          <w:numId w:val="0"/>
        </w:numPr>
        <w:ind w:firstLine="560" w:firstLineChars="200"/>
        <w:rPr>
          <w:rFonts w:cs="Times New Roman"/>
          <w:b w:val="0"/>
          <w:color w:val="auto"/>
        </w:rPr>
      </w:pPr>
      <w:bookmarkStart w:id="33" w:name="_Toc142388372"/>
      <w:r>
        <w:rPr>
          <w:rFonts w:cs="Times New Roman"/>
          <w:b w:val="0"/>
          <w:color w:val="auto"/>
        </w:rPr>
        <w:t>3.5</w:t>
      </w:r>
      <w:bookmarkEnd w:id="33"/>
      <w:r>
        <w:rPr>
          <w:rFonts w:cs="Times New Roman"/>
          <w:b w:val="0"/>
          <w:color w:val="auto"/>
        </w:rPr>
        <w:t>总体施工方案</w:t>
      </w:r>
    </w:p>
    <w:p>
      <w:pPr>
        <w:keepNext/>
        <w:keepLines/>
        <w:snapToGrid w:val="0"/>
        <w:ind w:firstLine="480"/>
        <w:outlineLvl w:val="2"/>
        <w:rPr>
          <w:rFonts w:hint="default" w:eastAsia="黑体" w:cs="Times New Roman"/>
          <w:color w:val="auto"/>
          <w:lang w:val="en-US" w:eastAsia="zh-CN"/>
        </w:rPr>
      </w:pPr>
      <w:r>
        <w:rPr>
          <w:rFonts w:eastAsia="黑体" w:cs="Times New Roman"/>
          <w:color w:val="auto"/>
        </w:rPr>
        <w:t>3.</w:t>
      </w:r>
      <w:r>
        <w:rPr>
          <w:rFonts w:hint="eastAsia" w:eastAsia="黑体" w:cs="Times New Roman"/>
          <w:color w:val="auto"/>
          <w:lang w:val="en-US" w:eastAsia="zh-CN"/>
        </w:rPr>
        <w:t>5</w:t>
      </w:r>
      <w:r>
        <w:rPr>
          <w:rFonts w:eastAsia="黑体" w:cs="Times New Roman"/>
          <w:color w:val="auto"/>
        </w:rPr>
        <w:t>.1</w:t>
      </w:r>
      <w:r>
        <w:rPr>
          <w:rFonts w:hint="eastAsia" w:eastAsia="黑体" w:cs="Times New Roman"/>
          <w:color w:val="auto"/>
          <w:lang w:val="en-US" w:eastAsia="zh-CN"/>
        </w:rPr>
        <w:t>施工总体布置</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施工总布置既要有利于生产，又要方便生活，因地制宜，使总体布置紧凑合理，节约用电，避免占用过多耕地。本着有利生产、方便生活、易于管理、分散与集中相结合的原则，进行施工布置。</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（1）施工区划分</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本工程主要为水环境治理，实施河道距离较长。将工程划分按照生态缓冲带与河道护岸工程划分为2个施工区，具体布设如下：</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a、项目经理部：本工程布置项目经理部1处。经理部内设业主、监理、施工单位办公室。项目经理部管理工程各项施工内容。</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b、施工生活驻地：阶段考虑成品料堆放场地、辅助生产企业以及建筑仓库集中布置，主要设置在沿河堤外铺设；工程和管理办公系统以及生活福利设施在堤外空余地带。为方便施工，部分临时仓库、施工人员临时房屋及临时堆料场可根据项目分区施工情况沿堤线布设。</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（2）施工用水</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施工用水可就近岚河常流水，生活用水可就近接自来水。</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（3）施工用电</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施工用电采用从外部线路引入和柴油发电机自发相结合，发电机作为备用。施工用电可与永久供电线路相结合或由当地电网接入，同时作为管理使用，配备两台100KW柴油发电机备用。</w:t>
      </w:r>
    </w:p>
    <w:p>
      <w:pPr>
        <w:keepNext/>
        <w:keepLines/>
        <w:snapToGrid w:val="0"/>
        <w:ind w:firstLine="480"/>
        <w:outlineLvl w:val="2"/>
        <w:rPr>
          <w:rFonts w:eastAsia="黑体" w:cs="Times New Roman"/>
          <w:color w:val="auto"/>
        </w:rPr>
      </w:pPr>
      <w:r>
        <w:rPr>
          <w:rFonts w:eastAsia="黑体" w:cs="Times New Roman"/>
          <w:color w:val="auto"/>
        </w:rPr>
        <w:t>3.</w:t>
      </w:r>
      <w:r>
        <w:rPr>
          <w:rFonts w:hint="eastAsia" w:eastAsia="黑体" w:cs="Times New Roman"/>
          <w:color w:val="auto"/>
          <w:lang w:val="en-US" w:eastAsia="zh-CN"/>
        </w:rPr>
        <w:t>5</w:t>
      </w:r>
      <w:r>
        <w:rPr>
          <w:rFonts w:eastAsia="黑体" w:cs="Times New Roman"/>
          <w:color w:val="auto"/>
        </w:rPr>
        <w:t>.</w:t>
      </w:r>
      <w:r>
        <w:rPr>
          <w:rFonts w:hint="eastAsia" w:eastAsia="黑体" w:cs="Times New Roman"/>
          <w:color w:val="auto"/>
          <w:lang w:val="en-US" w:eastAsia="zh-CN"/>
        </w:rPr>
        <w:t>2</w:t>
      </w:r>
      <w:r>
        <w:rPr>
          <w:rFonts w:eastAsia="黑体" w:cs="Times New Roman"/>
          <w:color w:val="auto"/>
        </w:rPr>
        <w:t>湿地工程的特点及要求</w:t>
      </w:r>
    </w:p>
    <w:p>
      <w:pPr>
        <w:topLinePunct/>
        <w:autoSpaceDE w:val="0"/>
        <w:snapToGrid w:val="0"/>
        <w:ind w:firstLine="480"/>
        <w:rPr>
          <w:rFonts w:hint="eastAsia" w:cs="Times New Roman"/>
          <w:color w:val="auto"/>
        </w:rPr>
      </w:pPr>
      <w:r>
        <w:rPr>
          <w:rFonts w:hint="eastAsia" w:cs="Times New Roman"/>
          <w:color w:val="auto"/>
        </w:rPr>
        <w:t>本工程湿地区域内单元划分较多，隔墙、隔堤、边墙较多，管道布置较多，工序交叉多，各个单元区域之间既独立存在又相互联系。针对上述特点，对湿地填料的埋设部署如下。</w:t>
      </w:r>
    </w:p>
    <w:p>
      <w:pPr>
        <w:topLinePunct/>
        <w:autoSpaceDE w:val="0"/>
        <w:snapToGrid w:val="0"/>
        <w:ind w:firstLine="480"/>
        <w:rPr>
          <w:rFonts w:hint="eastAsia" w:cs="Times New Roman"/>
          <w:color w:val="auto"/>
        </w:rPr>
      </w:pPr>
      <w:r>
        <w:rPr>
          <w:rFonts w:hint="eastAsia" w:cs="Times New Roman"/>
          <w:color w:val="auto"/>
        </w:rPr>
        <w:t>①湿地填料施工部署要服从施工总体安排，同时要结合防渗层施工、管道铺设、土工材料铺设、墙体砌筑等进行。</w:t>
      </w:r>
    </w:p>
    <w:p>
      <w:pPr>
        <w:topLinePunct/>
        <w:autoSpaceDE w:val="0"/>
        <w:snapToGrid w:val="0"/>
        <w:ind w:firstLine="480"/>
        <w:rPr>
          <w:rFonts w:hint="eastAsia" w:cs="Times New Roman"/>
          <w:color w:val="auto"/>
        </w:rPr>
      </w:pPr>
      <w:r>
        <w:rPr>
          <w:rFonts w:hint="eastAsia" w:cs="Times New Roman"/>
          <w:color w:val="auto"/>
        </w:rPr>
        <w:t>②湿地填料单元的划分同防渗层单元划分，即按照设计单元划分进行，同时结合防渗层施工、填料的填筑等进行。在每个单元内部，根据设计填料的种类进行填料埋设，同时要在相应部位结合安装放空管、布水管、集水管。</w:t>
      </w:r>
    </w:p>
    <w:p>
      <w:pPr>
        <w:topLinePunct/>
        <w:autoSpaceDE w:val="0"/>
        <w:snapToGrid w:val="0"/>
        <w:ind w:firstLine="480"/>
        <w:rPr>
          <w:rFonts w:hint="eastAsia" w:cs="Times New Roman"/>
          <w:color w:val="auto"/>
        </w:rPr>
      </w:pPr>
      <w:r>
        <w:rPr>
          <w:rFonts w:hint="eastAsia" w:cs="Times New Roman"/>
          <w:color w:val="auto"/>
        </w:rPr>
        <w:t>③在各单元隔墙、隔堤砌筑时，要合理预留施工洞，以供回填时材料、设备进出。</w:t>
      </w:r>
    </w:p>
    <w:p>
      <w:pPr>
        <w:topLinePunct/>
        <w:autoSpaceDE w:val="0"/>
        <w:snapToGrid w:val="0"/>
        <w:ind w:firstLine="480"/>
        <w:rPr>
          <w:rFonts w:cs="Times New Roman"/>
          <w:color w:val="auto"/>
        </w:rPr>
      </w:pPr>
      <w:r>
        <w:rPr>
          <w:rFonts w:hint="eastAsia" w:cs="Times New Roman"/>
          <w:color w:val="auto"/>
        </w:rPr>
        <w:t>④为保证填料时不对已经安装的管道造成破坏，管道附近的填料采用人工回填，施工机械只把填料送入回填面附近即可。施工洞封堵后所缺填料用存放在施工洞附近的剩余填料，即可满足施工要求。</w:t>
      </w:r>
    </w:p>
    <w:p>
      <w:pPr>
        <w:keepNext/>
        <w:keepLines/>
        <w:snapToGrid w:val="0"/>
        <w:ind w:firstLine="480"/>
        <w:outlineLvl w:val="2"/>
        <w:rPr>
          <w:rFonts w:eastAsia="黑体" w:cs="Times New Roman"/>
          <w:color w:val="auto"/>
        </w:rPr>
      </w:pPr>
      <w:r>
        <w:rPr>
          <w:rFonts w:eastAsia="黑体" w:cs="Times New Roman"/>
          <w:color w:val="auto"/>
        </w:rPr>
        <w:t>3.</w:t>
      </w:r>
      <w:r>
        <w:rPr>
          <w:rFonts w:hint="eastAsia" w:eastAsia="黑体" w:cs="Times New Roman"/>
          <w:color w:val="auto"/>
          <w:lang w:val="en-US" w:eastAsia="zh-CN"/>
        </w:rPr>
        <w:t>5</w:t>
      </w:r>
      <w:r>
        <w:rPr>
          <w:rFonts w:eastAsia="黑体" w:cs="Times New Roman"/>
          <w:color w:val="auto"/>
        </w:rPr>
        <w:t>.</w:t>
      </w:r>
      <w:r>
        <w:rPr>
          <w:rFonts w:hint="eastAsia" w:eastAsia="黑体" w:cs="Times New Roman"/>
          <w:color w:val="auto"/>
          <w:lang w:val="en-US" w:eastAsia="zh-CN"/>
        </w:rPr>
        <w:t>2</w:t>
      </w:r>
      <w:r>
        <w:rPr>
          <w:rFonts w:eastAsia="黑体" w:cs="Times New Roman"/>
          <w:color w:val="auto"/>
        </w:rPr>
        <w:t>设备材料验收、运输和堆放</w:t>
      </w:r>
    </w:p>
    <w:p>
      <w:pPr>
        <w:topLinePunct/>
        <w:autoSpaceDE w:val="0"/>
        <w:snapToGrid w:val="0"/>
        <w:ind w:firstLine="480"/>
        <w:rPr>
          <w:rFonts w:cs="Times New Roman"/>
          <w:color w:val="auto"/>
        </w:rPr>
      </w:pPr>
      <w:r>
        <w:rPr>
          <w:rFonts w:hint="eastAsia" w:cs="Times New Roman"/>
          <w:color w:val="auto"/>
        </w:rPr>
        <w:t>①设备材料到货应附产品合格证及质量检验报告。</w:t>
      </w:r>
    </w:p>
    <w:p>
      <w:pPr>
        <w:topLinePunct/>
        <w:autoSpaceDE w:val="0"/>
        <w:snapToGrid w:val="0"/>
        <w:ind w:firstLine="480"/>
        <w:rPr>
          <w:rFonts w:hint="eastAsia" w:cs="Times New Roman"/>
          <w:color w:val="auto"/>
        </w:rPr>
      </w:pPr>
      <w:r>
        <w:rPr>
          <w:rFonts w:hint="eastAsia" w:cs="Times New Roman"/>
          <w:color w:val="auto"/>
        </w:rPr>
        <w:t>②材料应按同产地同规格分批验收。用大型工具（如汽车）运输的，以400m</w:t>
      </w:r>
      <w:r>
        <w:rPr>
          <w:rFonts w:hint="eastAsia" w:cs="Times New Roman"/>
          <w:color w:val="auto"/>
          <w:vertAlign w:val="superscript"/>
        </w:rPr>
        <w:t>3</w:t>
      </w:r>
      <w:r>
        <w:rPr>
          <w:rFonts w:hint="eastAsia" w:cs="Times New Roman"/>
          <w:color w:val="auto"/>
        </w:rPr>
        <w:t>或600t为一验收批；用小型工具（如马车等）运输的，以200m</w:t>
      </w:r>
      <w:r>
        <w:rPr>
          <w:rFonts w:hint="eastAsia" w:cs="Times New Roman"/>
          <w:color w:val="auto"/>
          <w:vertAlign w:val="superscript"/>
        </w:rPr>
        <w:t>3</w:t>
      </w:r>
      <w:r>
        <w:rPr>
          <w:rFonts w:hint="eastAsia" w:cs="Times New Roman"/>
          <w:color w:val="auto"/>
        </w:rPr>
        <w:t>或300t为一验收批。</w:t>
      </w:r>
    </w:p>
    <w:p>
      <w:pPr>
        <w:topLinePunct/>
        <w:autoSpaceDE w:val="0"/>
        <w:snapToGrid w:val="0"/>
        <w:ind w:firstLine="480"/>
        <w:rPr>
          <w:rFonts w:hint="eastAsia" w:cs="Times New Roman"/>
          <w:color w:val="auto"/>
        </w:rPr>
      </w:pPr>
      <w:r>
        <w:rPr>
          <w:rFonts w:hint="eastAsia" w:cs="Times New Roman"/>
          <w:color w:val="auto"/>
        </w:rPr>
        <w:t>③每验收批至少应进行颗粒级配、泥含量、泥块含量及针、片状颗粒含量检验。对其他指标的合格性有怀疑时应予检验。当质量比较稳定时，定期检验，由监理根据产品及施工要求确定检验时间。</w:t>
      </w:r>
    </w:p>
    <w:p>
      <w:pPr>
        <w:topLinePunct/>
        <w:autoSpaceDE w:val="0"/>
        <w:snapToGrid w:val="0"/>
        <w:ind w:firstLine="480"/>
        <w:rPr>
          <w:rFonts w:hint="eastAsia" w:cs="Times New Roman"/>
          <w:color w:val="auto"/>
        </w:rPr>
      </w:pPr>
      <w:r>
        <w:rPr>
          <w:rFonts w:hint="eastAsia" w:cs="Times New Roman"/>
          <w:color w:val="auto"/>
        </w:rPr>
        <w:t>④质量检测报告内容应包括：委托单位、样品编号、工程名称、样品产地、类别、代表数量、检测依据、检测条件、检测项目、检测结果、结论等。</w:t>
      </w:r>
    </w:p>
    <w:p>
      <w:pPr>
        <w:topLinePunct/>
        <w:autoSpaceDE w:val="0"/>
        <w:snapToGrid w:val="0"/>
        <w:ind w:firstLine="480"/>
        <w:rPr>
          <w:rFonts w:hint="eastAsia" w:cs="Times New Roman"/>
          <w:color w:val="auto"/>
        </w:rPr>
      </w:pPr>
      <w:r>
        <w:rPr>
          <w:rFonts w:hint="eastAsia" w:cs="Times New Roman"/>
          <w:color w:val="auto"/>
        </w:rPr>
        <w:t>⑤碎石或卵石的数量验收按体积计算。</w:t>
      </w:r>
    </w:p>
    <w:p>
      <w:pPr>
        <w:topLinePunct/>
        <w:autoSpaceDE w:val="0"/>
        <w:snapToGrid w:val="0"/>
        <w:ind w:firstLine="480"/>
        <w:rPr>
          <w:rFonts w:cs="Times New Roman"/>
          <w:color w:val="auto"/>
        </w:rPr>
      </w:pPr>
      <w:r>
        <w:rPr>
          <w:rFonts w:hint="eastAsia" w:cs="Times New Roman"/>
          <w:color w:val="auto"/>
        </w:rPr>
        <w:t>⑥碎石或卵石在运输、装卸和堆放过程中，应防止颗粒离析和混入杂质，并应按产地、种类和规格分别堆放。堆料高度不宜超过5m，对最大粒径不超过20mm的连续粒级，堆料高度可以增加到10m。</w:t>
      </w:r>
    </w:p>
    <w:p>
      <w:pPr>
        <w:keepNext/>
        <w:keepLines/>
        <w:snapToGrid w:val="0"/>
        <w:ind w:firstLine="480"/>
        <w:outlineLvl w:val="2"/>
        <w:rPr>
          <w:rFonts w:eastAsia="黑体" w:cs="Times New Roman"/>
          <w:color w:val="auto"/>
        </w:rPr>
      </w:pPr>
      <w:r>
        <w:rPr>
          <w:rFonts w:eastAsia="黑体" w:cs="Times New Roman"/>
          <w:color w:val="auto"/>
        </w:rPr>
        <w:t>3.</w:t>
      </w:r>
      <w:r>
        <w:rPr>
          <w:rFonts w:hint="eastAsia" w:eastAsia="黑体" w:cs="Times New Roman"/>
          <w:color w:val="auto"/>
          <w:lang w:val="en-US" w:eastAsia="zh-CN"/>
        </w:rPr>
        <w:t>5</w:t>
      </w:r>
      <w:r>
        <w:rPr>
          <w:rFonts w:eastAsia="黑体" w:cs="Times New Roman"/>
          <w:color w:val="auto"/>
        </w:rPr>
        <w:t>.</w:t>
      </w:r>
      <w:r>
        <w:rPr>
          <w:rFonts w:hint="eastAsia" w:eastAsia="黑体" w:cs="Times New Roman"/>
          <w:color w:val="auto"/>
          <w:lang w:val="en-US" w:eastAsia="zh-CN"/>
        </w:rPr>
        <w:t>3施工总体思路</w:t>
      </w:r>
    </w:p>
    <w:p>
      <w:pPr>
        <w:topLinePunct/>
        <w:autoSpaceDE w:val="0"/>
        <w:snapToGrid w:val="0"/>
        <w:ind w:firstLine="480"/>
        <w:rPr>
          <w:rFonts w:hint="eastAsia" w:cs="Times New Roman"/>
          <w:color w:val="auto"/>
        </w:rPr>
      </w:pPr>
      <w:r>
        <w:rPr>
          <w:rFonts w:hint="eastAsia" w:cs="Times New Roman"/>
          <w:color w:val="auto"/>
        </w:rPr>
        <w:t>在湿地建设中，首要的工程就是地形的整理和改造，即在准备建设地区原有地形的基础上，从湿地的实用功能出发，对湿地地形、地貌、建筑、绿地、道路、管线等进行综合统筹，如进行土方计算、土方的平衡调配等。土方平衡调配工作是土方施工的一项重要内容，其目的在于使土方运输量或土方运输成本为最低的条件下，确定填、挖方区土方的调配方向和数量，从而达到缩短工期和提高经济效益的目的。</w:t>
      </w:r>
    </w:p>
    <w:p>
      <w:pPr>
        <w:topLinePunct/>
        <w:autoSpaceDE w:val="0"/>
        <w:snapToGrid w:val="0"/>
        <w:ind w:firstLine="480"/>
        <w:rPr>
          <w:rFonts w:cs="Times New Roman"/>
          <w:color w:val="auto"/>
        </w:rPr>
      </w:pPr>
      <w:r>
        <w:rPr>
          <w:rFonts w:hint="eastAsia" w:cs="Times New Roman"/>
          <w:color w:val="auto"/>
        </w:rPr>
        <w:t>根据土方平衡方案，研究制订合理的现场场地整形、土方开挖施工方案，对于能够利用的土方可选择就地消纳，不能利用的土方按施工要求进行清除，并且在需要的地方设立挡土墙；绘制施工总平面布置图和土方开挖图，确定开挖路线、顺序、范围、底标高、边坡坡度、排水沟水平位置。表面流湿地工程主要施工内容有整形植物栽培等。其中整形施工，以机械施工为主，人工修正为辅；绿化施工以人工施工为主。</w:t>
      </w:r>
    </w:p>
    <w:p>
      <w:pPr>
        <w:keepNext/>
        <w:keepLines/>
        <w:snapToGrid w:val="0"/>
        <w:ind w:firstLine="480"/>
        <w:outlineLvl w:val="2"/>
        <w:rPr>
          <w:rFonts w:eastAsia="黑体" w:cs="Times New Roman"/>
          <w:color w:val="auto"/>
        </w:rPr>
      </w:pPr>
      <w:r>
        <w:rPr>
          <w:rFonts w:eastAsia="黑体" w:cs="Times New Roman"/>
          <w:color w:val="auto"/>
        </w:rPr>
        <w:t>3.</w:t>
      </w:r>
      <w:r>
        <w:rPr>
          <w:rFonts w:hint="eastAsia" w:eastAsia="黑体" w:cs="Times New Roman"/>
          <w:color w:val="auto"/>
          <w:lang w:val="en-US" w:eastAsia="zh-CN"/>
        </w:rPr>
        <w:t>5</w:t>
      </w:r>
      <w:r>
        <w:rPr>
          <w:rFonts w:eastAsia="黑体" w:cs="Times New Roman"/>
          <w:color w:val="auto"/>
        </w:rPr>
        <w:t>.</w:t>
      </w:r>
      <w:r>
        <w:rPr>
          <w:rFonts w:hint="eastAsia" w:eastAsia="黑体" w:cs="Times New Roman"/>
          <w:color w:val="auto"/>
          <w:lang w:val="en-US" w:eastAsia="zh-CN"/>
        </w:rPr>
        <w:t>3施工总体思路</w:t>
      </w:r>
    </w:p>
    <w:p>
      <w:pPr>
        <w:topLinePunct/>
        <w:autoSpaceDE w:val="0"/>
        <w:snapToGrid w:val="0"/>
        <w:ind w:firstLine="480"/>
        <w:rPr>
          <w:rFonts w:hint="eastAsia" w:eastAsia="宋体" w:cs="Times New Roman"/>
          <w:color w:val="auto"/>
          <w:lang w:val="en-US" w:eastAsia="zh-CN"/>
        </w:rPr>
      </w:pPr>
      <w:r>
        <w:rPr>
          <w:rFonts w:hint="eastAsia" w:cs="Times New Roman"/>
          <w:color w:val="auto"/>
          <w:lang w:val="en-US" w:eastAsia="zh-CN"/>
        </w:rPr>
        <w:t>1、控制点的验收及测量定位</w:t>
      </w:r>
    </w:p>
    <w:p>
      <w:pPr>
        <w:topLinePunct/>
        <w:autoSpaceDE w:val="0"/>
        <w:snapToGrid w:val="0"/>
        <w:ind w:firstLine="480"/>
        <w:rPr>
          <w:rFonts w:hint="eastAsia" w:cs="Times New Roman"/>
          <w:color w:val="auto"/>
        </w:rPr>
      </w:pPr>
      <w:r>
        <w:rPr>
          <w:rFonts w:hint="eastAsia" w:cs="Times New Roman"/>
          <w:color w:val="auto"/>
        </w:rPr>
        <w:t>①用于测量定位的全站仪、经纬仪、水准仪、钢卷尺等仪器、量具，施工前进行计量鉴定，以保证放样定位的精度。测量仪器、量具均具有检定合格证书。</w:t>
      </w:r>
    </w:p>
    <w:p>
      <w:pPr>
        <w:topLinePunct/>
        <w:autoSpaceDE w:val="0"/>
        <w:snapToGrid w:val="0"/>
        <w:ind w:firstLine="480"/>
        <w:rPr>
          <w:rFonts w:hint="eastAsia" w:cs="Times New Roman"/>
          <w:color w:val="auto"/>
        </w:rPr>
      </w:pPr>
      <w:r>
        <w:rPr>
          <w:rFonts w:hint="eastAsia" w:cs="Times New Roman"/>
          <w:color w:val="auto"/>
        </w:rPr>
        <w:t>②工程放样前，首先对业主提供的控制点测量基准线、水准基点进行复核，并认真核算桩位与轴线关系，在确保所有点线关系准确后再进行桩位的放样定位。基准点设在不受桩基施工影响的区域，在施工中妥善保护。放样工作在硬地坪上进行，由控制点定出桩位并放出周围引桩，将所有桩位均放在硬地坪上，并做好永久性标记以便现场监理验收和以后施工。</w:t>
      </w:r>
    </w:p>
    <w:p>
      <w:pPr>
        <w:topLinePunct/>
        <w:autoSpaceDE w:val="0"/>
        <w:snapToGrid w:val="0"/>
        <w:ind w:firstLine="480"/>
        <w:rPr>
          <w:rFonts w:hint="eastAsia" w:cs="Times New Roman"/>
          <w:color w:val="auto"/>
        </w:rPr>
      </w:pPr>
      <w:r>
        <w:rPr>
          <w:rFonts w:hint="eastAsia" w:cs="Times New Roman"/>
          <w:color w:val="auto"/>
        </w:rPr>
        <w:t>③开工前做好施工测量方案设计，测量成果和资料必须报监理工程师审查。内容包括施测方法和计算方法、操作规程、观测仪器设备的配置和测量专业人员的配备等。</w:t>
      </w:r>
    </w:p>
    <w:p>
      <w:pPr>
        <w:topLinePunct/>
        <w:autoSpaceDE w:val="0"/>
        <w:snapToGrid w:val="0"/>
        <w:ind w:firstLine="480"/>
        <w:rPr>
          <w:rFonts w:hint="eastAsia" w:cs="Times New Roman"/>
          <w:color w:val="auto"/>
        </w:rPr>
      </w:pPr>
      <w:r>
        <w:rPr>
          <w:rFonts w:hint="eastAsia" w:cs="Times New Roman"/>
          <w:color w:val="auto"/>
        </w:rPr>
        <w:t>④根据设计人员提供的数据测量资料精确地测定建筑物的位置，进行放样和完成全部测量数据的计算工作。</w:t>
      </w:r>
    </w:p>
    <w:p>
      <w:pPr>
        <w:topLinePunct/>
        <w:autoSpaceDE w:val="0"/>
        <w:snapToGrid w:val="0"/>
        <w:ind w:firstLine="480"/>
        <w:rPr>
          <w:rFonts w:cs="Times New Roman"/>
          <w:color w:val="auto"/>
        </w:rPr>
      </w:pPr>
      <w:r>
        <w:rPr>
          <w:rFonts w:hint="eastAsia" w:cs="Times New Roman"/>
          <w:color w:val="auto"/>
        </w:rPr>
        <w:t>⑤全部测量数据和放样都应经监理工程师的检查。必要时监理工程师应对承包人进行旁站监督检查。</w:t>
      </w:r>
    </w:p>
    <w:p>
      <w:pPr>
        <w:keepNext/>
        <w:keepLines/>
        <w:snapToGrid w:val="0"/>
        <w:ind w:firstLine="480"/>
        <w:outlineLvl w:val="2"/>
        <w:rPr>
          <w:rFonts w:eastAsia="黑体" w:cs="Times New Roman"/>
          <w:color w:val="auto"/>
        </w:rPr>
      </w:pPr>
      <w:r>
        <w:rPr>
          <w:rFonts w:eastAsia="黑体" w:cs="Times New Roman"/>
          <w:color w:val="auto"/>
        </w:rPr>
        <w:t>3.</w:t>
      </w:r>
      <w:r>
        <w:rPr>
          <w:rFonts w:hint="eastAsia" w:eastAsia="黑体" w:cs="Times New Roman"/>
          <w:color w:val="auto"/>
          <w:lang w:val="en-US" w:eastAsia="zh-CN"/>
        </w:rPr>
        <w:t>5</w:t>
      </w:r>
      <w:r>
        <w:rPr>
          <w:rFonts w:eastAsia="黑体" w:cs="Times New Roman"/>
          <w:color w:val="auto"/>
        </w:rPr>
        <w:t>.</w:t>
      </w:r>
      <w:r>
        <w:rPr>
          <w:rFonts w:hint="eastAsia" w:eastAsia="黑体" w:cs="Times New Roman"/>
          <w:color w:val="auto"/>
          <w:lang w:val="en-US" w:eastAsia="zh-CN"/>
        </w:rPr>
        <w:t>4布置测量网点</w:t>
      </w:r>
    </w:p>
    <w:p>
      <w:pPr>
        <w:topLinePunct/>
        <w:autoSpaceDE w:val="0"/>
        <w:snapToGrid w:val="0"/>
        <w:ind w:firstLine="480"/>
        <w:rPr>
          <w:rFonts w:hint="eastAsia" w:cs="Times New Roman"/>
          <w:color w:val="auto"/>
        </w:rPr>
      </w:pPr>
      <w:r>
        <w:rPr>
          <w:rFonts w:hint="eastAsia" w:cs="Times New Roman"/>
          <w:color w:val="auto"/>
        </w:rPr>
        <w:t>根据设计和总控测量单位提供的测量数据资料研究布设自己的控制网点。这些增设的控制网点必须完全吻合设计和总控测量单位提供的三角网点和水准网点的基本数据，并应满足规定的施测精度。</w:t>
      </w:r>
    </w:p>
    <w:p>
      <w:pPr>
        <w:topLinePunct/>
        <w:autoSpaceDE w:val="0"/>
        <w:snapToGrid w:val="0"/>
        <w:ind w:firstLine="480"/>
        <w:rPr>
          <w:rFonts w:cs="Times New Roman"/>
          <w:color w:val="auto"/>
        </w:rPr>
      </w:pPr>
      <w:r>
        <w:rPr>
          <w:rFonts w:hint="eastAsia" w:cs="Times New Roman"/>
          <w:color w:val="auto"/>
        </w:rPr>
        <w:t>在沟槽和路基开挖前，先布置好每段沟槽和路基的测量网点，放出各轴线位置及地面标高。以保证支撑的及时安装和控制挖土标高，这项工作对于整个沟槽和路基开挖施工有着举足轻重的影响，现场施工人员必须加以重视。对测量基线的网点、结构基础的标高、中心线和控制点的标高及中心要严格控制。</w:t>
      </w:r>
    </w:p>
    <w:p>
      <w:pPr>
        <w:keepNext/>
        <w:keepLines/>
        <w:snapToGrid w:val="0"/>
        <w:ind w:firstLine="480"/>
        <w:outlineLvl w:val="2"/>
        <w:rPr>
          <w:rFonts w:eastAsia="黑体" w:cs="Times New Roman"/>
          <w:color w:val="auto"/>
        </w:rPr>
      </w:pPr>
      <w:r>
        <w:rPr>
          <w:rFonts w:eastAsia="黑体" w:cs="Times New Roman"/>
          <w:color w:val="auto"/>
        </w:rPr>
        <w:t>3.</w:t>
      </w:r>
      <w:r>
        <w:rPr>
          <w:rFonts w:hint="eastAsia" w:eastAsia="黑体" w:cs="Times New Roman"/>
          <w:color w:val="auto"/>
          <w:lang w:val="en-US" w:eastAsia="zh-CN"/>
        </w:rPr>
        <w:t>5</w:t>
      </w:r>
      <w:r>
        <w:rPr>
          <w:rFonts w:eastAsia="黑体" w:cs="Times New Roman"/>
          <w:color w:val="auto"/>
        </w:rPr>
        <w:t>.</w:t>
      </w:r>
      <w:r>
        <w:rPr>
          <w:rFonts w:hint="eastAsia" w:eastAsia="黑体" w:cs="Times New Roman"/>
          <w:color w:val="auto"/>
          <w:lang w:val="en-US" w:eastAsia="zh-CN"/>
        </w:rPr>
        <w:t>5测量管理</w:t>
      </w:r>
    </w:p>
    <w:p>
      <w:pPr>
        <w:topLinePunct/>
        <w:autoSpaceDE w:val="0"/>
        <w:snapToGrid w:val="0"/>
        <w:ind w:firstLine="480"/>
        <w:rPr>
          <w:rFonts w:hint="eastAsia" w:cs="Times New Roman"/>
          <w:color w:val="auto"/>
        </w:rPr>
      </w:pPr>
      <w:r>
        <w:rPr>
          <w:rFonts w:hint="eastAsia" w:cs="Times New Roman"/>
          <w:color w:val="auto"/>
        </w:rPr>
        <w:t>本工程施测的周围环境和条件较为复杂，要求的施测精度较高，为了保证湿地管道等导线及中心的精度，必须加强控制测量，严格执行三级测量复测制。</w:t>
      </w:r>
    </w:p>
    <w:p>
      <w:pPr>
        <w:topLinePunct/>
        <w:autoSpaceDE w:val="0"/>
        <w:snapToGrid w:val="0"/>
        <w:ind w:firstLine="480"/>
        <w:rPr>
          <w:rFonts w:hint="eastAsia" w:cs="Times New Roman"/>
          <w:color w:val="auto"/>
        </w:rPr>
      </w:pPr>
      <w:r>
        <w:rPr>
          <w:rFonts w:hint="eastAsia" w:cs="Times New Roman"/>
          <w:color w:val="auto"/>
        </w:rPr>
        <w:t>①中标后，立即派公司测量队与项目部的测量组参加业主组织的现场交接桩。并做好水准点、导线点的交接记录和复核记录。</w:t>
      </w:r>
    </w:p>
    <w:p>
      <w:pPr>
        <w:topLinePunct/>
        <w:autoSpaceDE w:val="0"/>
        <w:snapToGrid w:val="0"/>
        <w:ind w:firstLine="480"/>
        <w:rPr>
          <w:rFonts w:hint="eastAsia" w:cs="Times New Roman"/>
          <w:color w:val="auto"/>
        </w:rPr>
      </w:pPr>
      <w:r>
        <w:rPr>
          <w:rFonts w:hint="eastAsia" w:cs="Times New Roman"/>
          <w:color w:val="auto"/>
        </w:rPr>
        <w:t>②根据设计单位交付的控制桩，采用GPS定位系统、全站仪、精密水准仪对本标段进行恢复定线测量，布设足够的合格控制点，精心做好标志，做到点位稳定、单一、清晰易找。</w:t>
      </w:r>
    </w:p>
    <w:p>
      <w:pPr>
        <w:topLinePunct/>
        <w:autoSpaceDE w:val="0"/>
        <w:snapToGrid w:val="0"/>
        <w:ind w:firstLine="480"/>
        <w:rPr>
          <w:rFonts w:hint="eastAsia" w:cs="Times New Roman"/>
          <w:color w:val="auto"/>
        </w:rPr>
      </w:pPr>
      <w:r>
        <w:rPr>
          <w:rFonts w:hint="eastAsia" w:cs="Times New Roman"/>
          <w:color w:val="auto"/>
        </w:rPr>
        <w:t>③根据设计资料，采用三维坐标解析法进行施工放样。断面测量应用解析法测量。做好施工测量记录和复测记录。</w:t>
      </w:r>
    </w:p>
    <w:p>
      <w:pPr>
        <w:topLinePunct/>
        <w:autoSpaceDE w:val="0"/>
        <w:snapToGrid w:val="0"/>
        <w:ind w:firstLine="480"/>
        <w:rPr>
          <w:rFonts w:hint="eastAsia" w:cs="Times New Roman"/>
          <w:color w:val="auto"/>
        </w:rPr>
      </w:pPr>
      <w:r>
        <w:rPr>
          <w:rFonts w:hint="eastAsia" w:cs="Times New Roman"/>
          <w:color w:val="auto"/>
        </w:rPr>
        <w:t>④由于工程全线分为若干点面施工，为避免差错，必须与邻近工程标段进行贯通联测，做好工程测量的衔接。</w:t>
      </w:r>
    </w:p>
    <w:p>
      <w:pPr>
        <w:topLinePunct/>
        <w:autoSpaceDE w:val="0"/>
        <w:snapToGrid w:val="0"/>
        <w:ind w:firstLine="480"/>
        <w:rPr>
          <w:rFonts w:hint="eastAsia" w:cs="Times New Roman"/>
          <w:color w:val="auto"/>
        </w:rPr>
      </w:pPr>
      <w:r>
        <w:rPr>
          <w:rFonts w:hint="eastAsia" w:cs="Times New Roman"/>
          <w:color w:val="auto"/>
        </w:rPr>
        <w:t>⑤各种控制点必须由钢筋混凝土制成，施工中应得到妥善保护，不得松动和破坏。由施工引起标桩位置变动时，及时通知监理工程师进行校正。</w:t>
      </w:r>
    </w:p>
    <w:p>
      <w:pPr>
        <w:topLinePunct/>
        <w:autoSpaceDE w:val="0"/>
        <w:snapToGrid w:val="0"/>
        <w:ind w:firstLine="480"/>
        <w:rPr>
          <w:rFonts w:hint="eastAsia" w:cs="Times New Roman"/>
          <w:color w:val="auto"/>
        </w:rPr>
      </w:pPr>
      <w:r>
        <w:rPr>
          <w:rFonts w:hint="eastAsia" w:cs="Times New Roman"/>
          <w:color w:val="auto"/>
        </w:rPr>
        <w:t>⑥内业计算资料由两组现场人员使用不同的计算工具和不同的方法分别计算，在每一个阶段和最后成果相互校核，以保证计算正确无误。</w:t>
      </w:r>
    </w:p>
    <w:p>
      <w:pPr>
        <w:topLinePunct/>
        <w:autoSpaceDE w:val="0"/>
        <w:snapToGrid w:val="0"/>
        <w:ind w:firstLine="480"/>
        <w:rPr>
          <w:rFonts w:hint="eastAsia" w:cs="Times New Roman"/>
          <w:color w:val="auto"/>
        </w:rPr>
      </w:pPr>
      <w:r>
        <w:rPr>
          <w:rFonts w:hint="eastAsia" w:cs="Times New Roman"/>
          <w:color w:val="auto"/>
        </w:rPr>
        <w:t>⑦对本标段的竣工复测成果与施工准确放样资料报监理、业主审批后方能施工。</w:t>
      </w:r>
    </w:p>
    <w:p>
      <w:pPr>
        <w:topLinePunct/>
        <w:autoSpaceDE w:val="0"/>
        <w:snapToGrid w:val="0"/>
        <w:ind w:firstLine="480"/>
        <w:rPr>
          <w:rFonts w:hint="eastAsia" w:eastAsia="宋体" w:cs="Times New Roman"/>
          <w:color w:val="auto"/>
          <w:lang w:eastAsia="zh-CN"/>
        </w:rPr>
      </w:pPr>
      <w:r>
        <w:rPr>
          <w:rFonts w:hint="eastAsia" w:cs="Times New Roman"/>
          <w:color w:val="auto"/>
        </w:rPr>
        <w:t>⑧各种测量计算资料记录要正规、准确、不得涂改，并附有必要的草图，测量、计算、复核人员必须签字，专人保管，做好竣工资料的移交</w:t>
      </w:r>
      <w:r>
        <w:rPr>
          <w:rFonts w:hint="eastAsia" w:cs="Times New Roman"/>
          <w:color w:val="auto"/>
          <w:lang w:eastAsia="zh-CN"/>
        </w:rPr>
        <w:t>。</w:t>
      </w:r>
    </w:p>
    <w:p>
      <w:pPr>
        <w:keepNext/>
        <w:keepLines/>
        <w:snapToGrid w:val="0"/>
        <w:ind w:firstLine="480"/>
        <w:outlineLvl w:val="2"/>
        <w:rPr>
          <w:rFonts w:eastAsia="黑体" w:cs="Times New Roman"/>
          <w:color w:val="auto"/>
        </w:rPr>
      </w:pPr>
      <w:r>
        <w:rPr>
          <w:rFonts w:eastAsia="黑体" w:cs="Times New Roman"/>
          <w:color w:val="auto"/>
        </w:rPr>
        <w:t>3.</w:t>
      </w:r>
      <w:r>
        <w:rPr>
          <w:rFonts w:hint="eastAsia" w:eastAsia="黑体" w:cs="Times New Roman"/>
          <w:color w:val="auto"/>
          <w:lang w:val="en-US" w:eastAsia="zh-CN"/>
        </w:rPr>
        <w:t>5</w:t>
      </w:r>
      <w:r>
        <w:rPr>
          <w:rFonts w:eastAsia="黑体" w:cs="Times New Roman"/>
          <w:color w:val="auto"/>
        </w:rPr>
        <w:t>.</w:t>
      </w:r>
      <w:r>
        <w:rPr>
          <w:rFonts w:hint="eastAsia" w:eastAsia="黑体" w:cs="Times New Roman"/>
          <w:color w:val="auto"/>
          <w:lang w:val="en-US" w:eastAsia="zh-CN"/>
        </w:rPr>
        <w:t>6检验及验收</w:t>
      </w:r>
    </w:p>
    <w:p>
      <w:pPr>
        <w:topLinePunct/>
        <w:autoSpaceDE w:val="0"/>
        <w:snapToGrid w:val="0"/>
        <w:ind w:firstLine="480"/>
        <w:rPr>
          <w:rFonts w:hint="eastAsia" w:cs="Times New Roman"/>
          <w:color w:val="auto"/>
        </w:rPr>
      </w:pPr>
      <w:r>
        <w:rPr>
          <w:rFonts w:hint="eastAsia" w:cs="Times New Roman"/>
          <w:color w:val="auto"/>
        </w:rPr>
        <w:t>①施工测量应符合设计要求和国家现行规范、标准的规定。</w:t>
      </w:r>
    </w:p>
    <w:p>
      <w:pPr>
        <w:topLinePunct/>
        <w:autoSpaceDE w:val="0"/>
        <w:snapToGrid w:val="0"/>
        <w:ind w:firstLine="480"/>
        <w:rPr>
          <w:rFonts w:hint="eastAsia" w:cs="Times New Roman"/>
          <w:color w:val="auto"/>
        </w:rPr>
      </w:pPr>
      <w:r>
        <w:rPr>
          <w:rFonts w:hint="eastAsia" w:cs="Times New Roman"/>
          <w:color w:val="auto"/>
        </w:rPr>
        <w:t>②地面高程控制网按Ⅱ等水准点网施测，在Ⅱ等水准点间布设成附合或抛出环线，往返校差、附合或闭合环线高程闭合差应在规范规定之内。</w:t>
      </w:r>
    </w:p>
    <w:p>
      <w:pPr>
        <w:topLinePunct/>
        <w:autoSpaceDE w:val="0"/>
        <w:snapToGrid w:val="0"/>
        <w:ind w:firstLine="480"/>
        <w:rPr>
          <w:rFonts w:hint="eastAsia" w:cs="Times New Roman"/>
          <w:color w:val="auto"/>
        </w:rPr>
      </w:pPr>
      <w:r>
        <w:rPr>
          <w:rFonts w:hint="eastAsia" w:cs="Times New Roman"/>
          <w:color w:val="auto"/>
        </w:rPr>
        <w:t>③向沟内或坑内传递高程与坐标传递同步进行，先做趋近水准、按第等水测量方法施测，限差应在规范规定之内。</w:t>
      </w:r>
    </w:p>
    <w:p>
      <w:pPr>
        <w:topLinePunct/>
        <w:autoSpaceDE w:val="0"/>
        <w:snapToGrid w:val="0"/>
        <w:ind w:firstLine="480"/>
        <w:rPr>
          <w:rFonts w:hint="eastAsia" w:cs="Times New Roman"/>
          <w:color w:val="auto"/>
        </w:rPr>
      </w:pPr>
      <w:r>
        <w:rPr>
          <w:rFonts w:hint="eastAsia" w:cs="Times New Roman"/>
          <w:color w:val="auto"/>
        </w:rPr>
        <w:t>④采用竖井内悬挂钢尺方法传递高程时，每次独立观测3个测回。高差较量小于 3mm时取其平均值。</w:t>
      </w:r>
    </w:p>
    <w:p>
      <w:pPr>
        <w:topLinePunct/>
        <w:autoSpaceDE w:val="0"/>
        <w:snapToGrid w:val="0"/>
        <w:ind w:firstLine="480"/>
        <w:rPr>
          <w:rFonts w:hint="eastAsia" w:cs="Times New Roman"/>
          <w:color w:val="auto"/>
        </w:rPr>
      </w:pPr>
      <w:r>
        <w:rPr>
          <w:rFonts w:hint="eastAsia" w:cs="Times New Roman"/>
          <w:color w:val="auto"/>
        </w:rPr>
        <w:t>⑤其他部位施工测量精度应满足设计和规范要求。</w:t>
      </w:r>
    </w:p>
    <w:p>
      <w:pPr>
        <w:pStyle w:val="3"/>
        <w:numPr>
          <w:ilvl w:val="1"/>
          <w:numId w:val="0"/>
        </w:numPr>
        <w:ind w:firstLine="560" w:firstLineChars="200"/>
        <w:rPr>
          <w:rFonts w:cs="Times New Roman"/>
          <w:b w:val="0"/>
          <w:color w:val="auto"/>
        </w:rPr>
      </w:pPr>
      <w:r>
        <w:rPr>
          <w:rFonts w:cs="Times New Roman"/>
          <w:b w:val="0"/>
          <w:color w:val="auto"/>
        </w:rPr>
        <w:t>3.</w:t>
      </w:r>
      <w:r>
        <w:rPr>
          <w:rFonts w:hint="eastAsia" w:cs="Times New Roman"/>
          <w:b w:val="0"/>
          <w:color w:val="auto"/>
          <w:lang w:val="en-US" w:eastAsia="zh-CN"/>
        </w:rPr>
        <w:t>6工程影响因素分析</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工程包括生态护坡建设、生态沟渠建设、河滨湿地建设。主要为施工期影响。</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（1）水环境：湿地基底改造、边坡平整、开挖中产生的部分土方进入水体，会导致近岸水域悬浮物含量增加，主要污染物为SS。</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（2）环境空气：施工开挖过程中产生粉尘。</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（3）噪声：施工机械设备运行过程中产生机械噪声，汽车运输过程中产生运输噪声，对附近居民点产生不利影响。</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（4）固体废物</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施工期：弃方、建筑垃圾、清表固废、施工人员生活垃圾等。</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（5）生态环境：近水域施工对湿生动物、水生动物造成惊扰，近水域废水排放对湿生和水生动物栖息产生不利影响。</w:t>
      </w:r>
    </w:p>
    <w:p>
      <w:pPr>
        <w:topLinePunct/>
        <w:autoSpaceDE w:val="0"/>
        <w:snapToGrid w:val="0"/>
        <w:ind w:firstLine="480"/>
        <w:rPr>
          <w:rFonts w:hint="eastAsia" w:cs="Times New Roman"/>
          <w:color w:val="auto"/>
          <w:lang w:val="en-US" w:eastAsia="zh-CN"/>
        </w:rPr>
      </w:pPr>
      <w:r>
        <w:rPr>
          <w:rFonts w:hint="eastAsia" w:cs="Times New Roman"/>
          <w:color w:val="auto"/>
          <w:lang w:val="en-US" w:eastAsia="zh-CN"/>
        </w:rPr>
        <w:t>（6）水土流失：施工过程中产生的土方，如不注意防护，遇地表径流易形成水土流失。</w:t>
      </w:r>
    </w:p>
    <w:p>
      <w:pPr>
        <w:snapToGrid w:val="0"/>
        <w:spacing w:line="240" w:lineRule="auto"/>
        <w:ind w:firstLine="0" w:firstLineChars="0"/>
        <w:jc w:val="center"/>
        <w:rPr>
          <w:rFonts w:cs="Times New Roman"/>
          <w:b/>
          <w:color w:val="auto"/>
        </w:rPr>
      </w:pPr>
      <w:r>
        <w:rPr>
          <w:rFonts w:cs="Times New Roman"/>
          <w:b/>
          <w:color w:val="auto"/>
        </w:rPr>
        <w:t>表3.6-1  施工期污染影响分析一览表</w:t>
      </w:r>
    </w:p>
    <w:tbl>
      <w:tblPr>
        <w:tblStyle w:val="42"/>
        <w:tblW w:w="9769" w:type="dxa"/>
        <w:jc w:val="center"/>
        <w:tblLayout w:type="fixed"/>
        <w:tblCellMar>
          <w:top w:w="0" w:type="dxa"/>
          <w:left w:w="0" w:type="dxa"/>
          <w:bottom w:w="0" w:type="dxa"/>
          <w:right w:w="0" w:type="dxa"/>
        </w:tblCellMar>
      </w:tblPr>
      <w:tblGrid>
        <w:gridCol w:w="960"/>
        <w:gridCol w:w="1133"/>
        <w:gridCol w:w="1702"/>
        <w:gridCol w:w="1844"/>
        <w:gridCol w:w="4130"/>
      </w:tblGrid>
      <w:tr>
        <w:tblPrEx>
          <w:tblCellMar>
            <w:top w:w="0" w:type="dxa"/>
            <w:left w:w="0" w:type="dxa"/>
            <w:bottom w:w="0" w:type="dxa"/>
            <w:right w:w="0" w:type="dxa"/>
          </w:tblCellMar>
        </w:tblPrEx>
        <w:trPr>
          <w:trHeight w:val="453" w:hRule="exact"/>
          <w:tblHeader/>
          <w:jc w:val="center"/>
        </w:trPr>
        <w:tc>
          <w:tcPr>
            <w:tcW w:w="960" w:type="dxa"/>
            <w:tcBorders>
              <w:top w:val="single" w:color="000000" w:sz="10" w:space="0"/>
              <w:left w:val="nil"/>
              <w:bottom w:val="single" w:color="000000" w:sz="12" w:space="0"/>
              <w:right w:val="single" w:color="000000" w:sz="4" w:space="0"/>
            </w:tcBorders>
            <w:vAlign w:val="center"/>
          </w:tcPr>
          <w:p>
            <w:pPr>
              <w:kinsoku w:val="0"/>
              <w:overflowPunct w:val="0"/>
              <w:adjustRightInd w:val="0"/>
              <w:snapToGrid w:val="0"/>
              <w:spacing w:line="240" w:lineRule="auto"/>
              <w:ind w:firstLine="0" w:firstLineChars="0"/>
              <w:jc w:val="center"/>
              <w:rPr>
                <w:rFonts w:cs="Times New Roman"/>
                <w:b/>
                <w:color w:val="auto"/>
              </w:rPr>
            </w:pPr>
            <w:r>
              <w:rPr>
                <w:rFonts w:cs="Times New Roman"/>
                <w:b/>
                <w:color w:val="auto"/>
                <w:sz w:val="21"/>
                <w:szCs w:val="21"/>
              </w:rPr>
              <w:t>时段</w:t>
            </w:r>
          </w:p>
        </w:tc>
        <w:tc>
          <w:tcPr>
            <w:tcW w:w="1133" w:type="dxa"/>
            <w:tcBorders>
              <w:top w:val="single" w:color="000000" w:sz="10" w:space="0"/>
              <w:left w:val="single" w:color="000000" w:sz="4" w:space="0"/>
              <w:bottom w:val="single" w:color="000000" w:sz="12" w:space="0"/>
              <w:right w:val="single" w:color="000000" w:sz="4" w:space="0"/>
            </w:tcBorders>
            <w:vAlign w:val="center"/>
          </w:tcPr>
          <w:p>
            <w:pPr>
              <w:kinsoku w:val="0"/>
              <w:overflowPunct w:val="0"/>
              <w:adjustRightInd w:val="0"/>
              <w:snapToGrid w:val="0"/>
              <w:spacing w:line="240" w:lineRule="auto"/>
              <w:ind w:firstLine="0" w:firstLineChars="0"/>
              <w:jc w:val="center"/>
              <w:rPr>
                <w:rFonts w:cs="Times New Roman"/>
                <w:b/>
                <w:color w:val="auto"/>
              </w:rPr>
            </w:pPr>
            <w:r>
              <w:rPr>
                <w:rFonts w:cs="Times New Roman"/>
                <w:b/>
                <w:color w:val="auto"/>
                <w:sz w:val="21"/>
                <w:szCs w:val="21"/>
              </w:rPr>
              <w:t>环境因素</w:t>
            </w:r>
          </w:p>
        </w:tc>
        <w:tc>
          <w:tcPr>
            <w:tcW w:w="1702" w:type="dxa"/>
            <w:tcBorders>
              <w:top w:val="single" w:color="000000" w:sz="10" w:space="0"/>
              <w:left w:val="single" w:color="000000" w:sz="4" w:space="0"/>
              <w:bottom w:val="single" w:color="000000" w:sz="12" w:space="0"/>
              <w:right w:val="single" w:color="000000" w:sz="4" w:space="0"/>
            </w:tcBorders>
            <w:vAlign w:val="center"/>
          </w:tcPr>
          <w:p>
            <w:pPr>
              <w:kinsoku w:val="0"/>
              <w:overflowPunct w:val="0"/>
              <w:adjustRightInd w:val="0"/>
              <w:snapToGrid w:val="0"/>
              <w:spacing w:line="240" w:lineRule="auto"/>
              <w:ind w:firstLine="0" w:firstLineChars="0"/>
              <w:jc w:val="center"/>
              <w:rPr>
                <w:rFonts w:cs="Times New Roman"/>
                <w:b/>
                <w:color w:val="auto"/>
              </w:rPr>
            </w:pPr>
            <w:r>
              <w:rPr>
                <w:rFonts w:cs="Times New Roman"/>
                <w:b/>
                <w:color w:val="auto"/>
                <w:sz w:val="21"/>
                <w:szCs w:val="21"/>
              </w:rPr>
              <w:t>主要影响因素</w:t>
            </w:r>
          </w:p>
        </w:tc>
        <w:tc>
          <w:tcPr>
            <w:tcW w:w="1844" w:type="dxa"/>
            <w:tcBorders>
              <w:top w:val="single" w:color="000000" w:sz="10" w:space="0"/>
              <w:left w:val="single" w:color="000000" w:sz="4" w:space="0"/>
              <w:bottom w:val="single" w:color="000000" w:sz="12" w:space="0"/>
              <w:right w:val="single" w:color="000000" w:sz="4" w:space="0"/>
            </w:tcBorders>
            <w:vAlign w:val="center"/>
          </w:tcPr>
          <w:p>
            <w:pPr>
              <w:kinsoku w:val="0"/>
              <w:overflowPunct w:val="0"/>
              <w:adjustRightInd w:val="0"/>
              <w:snapToGrid w:val="0"/>
              <w:spacing w:line="240" w:lineRule="auto"/>
              <w:ind w:firstLine="0" w:firstLineChars="0"/>
              <w:jc w:val="center"/>
              <w:rPr>
                <w:rFonts w:cs="Times New Roman"/>
                <w:b/>
                <w:color w:val="auto"/>
              </w:rPr>
            </w:pPr>
            <w:r>
              <w:rPr>
                <w:rFonts w:cs="Times New Roman"/>
                <w:b/>
                <w:color w:val="auto"/>
                <w:sz w:val="21"/>
                <w:szCs w:val="21"/>
              </w:rPr>
              <w:t>影响性质</w:t>
            </w:r>
          </w:p>
        </w:tc>
        <w:tc>
          <w:tcPr>
            <w:tcW w:w="4130" w:type="dxa"/>
            <w:tcBorders>
              <w:top w:val="single" w:color="000000" w:sz="10" w:space="0"/>
              <w:left w:val="single" w:color="000000" w:sz="4" w:space="0"/>
              <w:bottom w:val="single" w:color="000000" w:sz="12" w:space="0"/>
              <w:right w:val="nil"/>
            </w:tcBorders>
            <w:vAlign w:val="center"/>
          </w:tcPr>
          <w:p>
            <w:pPr>
              <w:kinsoku w:val="0"/>
              <w:overflowPunct w:val="0"/>
              <w:adjustRightInd w:val="0"/>
              <w:snapToGrid w:val="0"/>
              <w:spacing w:line="240" w:lineRule="auto"/>
              <w:ind w:firstLine="0" w:firstLineChars="0"/>
              <w:jc w:val="center"/>
              <w:rPr>
                <w:rFonts w:cs="Times New Roman"/>
                <w:b/>
                <w:color w:val="auto"/>
              </w:rPr>
            </w:pPr>
            <w:r>
              <w:rPr>
                <w:rFonts w:cs="Times New Roman"/>
                <w:b/>
                <w:color w:val="auto"/>
                <w:sz w:val="21"/>
                <w:szCs w:val="21"/>
              </w:rPr>
              <w:t>影响分析</w:t>
            </w:r>
          </w:p>
        </w:tc>
      </w:tr>
      <w:tr>
        <w:tblPrEx>
          <w:tblCellMar>
            <w:top w:w="0" w:type="dxa"/>
            <w:left w:w="0" w:type="dxa"/>
            <w:bottom w:w="0" w:type="dxa"/>
            <w:right w:w="0" w:type="dxa"/>
          </w:tblCellMar>
        </w:tblPrEx>
        <w:trPr>
          <w:trHeight w:val="1111" w:hRule="exact"/>
          <w:jc w:val="center"/>
        </w:trPr>
        <w:tc>
          <w:tcPr>
            <w:tcW w:w="960" w:type="dxa"/>
            <w:vMerge w:val="restart"/>
            <w:tcBorders>
              <w:top w:val="single" w:color="000000" w:sz="12" w:space="0"/>
              <w:left w:val="nil"/>
              <w:bottom w:val="single" w:color="000000" w:sz="4" w:space="0"/>
              <w:right w:val="single" w:color="000000" w:sz="6" w:space="0"/>
            </w:tcBorders>
            <w:vAlign w:val="center"/>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施工期</w:t>
            </w:r>
          </w:p>
        </w:tc>
        <w:tc>
          <w:tcPr>
            <w:tcW w:w="1133" w:type="dxa"/>
            <w:vMerge w:val="restart"/>
            <w:tcBorders>
              <w:top w:val="single" w:color="000000" w:sz="12" w:space="0"/>
              <w:left w:val="single" w:color="000000" w:sz="6" w:space="0"/>
              <w:bottom w:val="single" w:color="000000" w:sz="4" w:space="0"/>
              <w:right w:val="single" w:color="000000" w:sz="6" w:space="0"/>
            </w:tcBorders>
            <w:vAlign w:val="center"/>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地表水环境</w:t>
            </w:r>
          </w:p>
        </w:tc>
        <w:tc>
          <w:tcPr>
            <w:tcW w:w="1702" w:type="dxa"/>
            <w:tcBorders>
              <w:top w:val="single" w:color="000000" w:sz="12" w:space="0"/>
              <w:left w:val="single" w:color="000000" w:sz="6" w:space="0"/>
              <w:bottom w:val="single" w:color="000000" w:sz="4" w:space="0"/>
              <w:right w:val="single" w:color="000000" w:sz="6"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施工涉水作业，</w:t>
            </w:r>
            <w:r>
              <w:rPr>
                <w:rFonts w:cs="Times New Roman"/>
                <w:color w:val="auto"/>
                <w:spacing w:val="-103"/>
                <w:sz w:val="21"/>
                <w:szCs w:val="21"/>
              </w:rPr>
              <w:t xml:space="preserve"> </w:t>
            </w:r>
            <w:r>
              <w:rPr>
                <w:rFonts w:cs="Times New Roman"/>
                <w:color w:val="auto"/>
                <w:sz w:val="21"/>
                <w:szCs w:val="21"/>
              </w:rPr>
              <w:t>进行围堰施工</w:t>
            </w:r>
          </w:p>
        </w:tc>
        <w:tc>
          <w:tcPr>
            <w:tcW w:w="1844" w:type="dxa"/>
            <w:tcBorders>
              <w:top w:val="single" w:color="000000" w:sz="12" w:space="0"/>
              <w:left w:val="single" w:color="000000" w:sz="6" w:space="0"/>
              <w:bottom w:val="single" w:color="000000" w:sz="4" w:space="0"/>
              <w:right w:val="single" w:color="000000" w:sz="6"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pacing w:val="-8"/>
                <w:sz w:val="21"/>
                <w:szCs w:val="21"/>
              </w:rPr>
              <w:t>短期、可逆、不利</w:t>
            </w:r>
          </w:p>
        </w:tc>
        <w:tc>
          <w:tcPr>
            <w:tcW w:w="4130" w:type="dxa"/>
            <w:tcBorders>
              <w:top w:val="single" w:color="000000" w:sz="12" w:space="0"/>
              <w:left w:val="single" w:color="000000" w:sz="6" w:space="0"/>
              <w:bottom w:val="single" w:color="000000" w:sz="4" w:space="0"/>
              <w:right w:val="nil"/>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pacing w:val="-2"/>
                <w:sz w:val="21"/>
                <w:szCs w:val="21"/>
              </w:rPr>
              <w:t>进行围堰施工和导流</w:t>
            </w:r>
            <w:r>
              <w:rPr>
                <w:rFonts w:cs="Times New Roman"/>
                <w:color w:val="auto"/>
                <w:spacing w:val="-79"/>
                <w:sz w:val="21"/>
                <w:szCs w:val="21"/>
              </w:rPr>
              <w:t xml:space="preserve"> </w:t>
            </w:r>
            <w:r>
              <w:rPr>
                <w:rFonts w:cs="Times New Roman"/>
                <w:color w:val="auto"/>
                <w:spacing w:val="-2"/>
                <w:sz w:val="21"/>
                <w:szCs w:val="21"/>
              </w:rPr>
              <w:t>施工，径流过程发生变化，扰动地表</w:t>
            </w:r>
            <w:r>
              <w:rPr>
                <w:rFonts w:cs="Times New Roman"/>
                <w:color w:val="auto"/>
                <w:spacing w:val="-79"/>
                <w:sz w:val="21"/>
                <w:szCs w:val="21"/>
              </w:rPr>
              <w:t xml:space="preserve"> </w:t>
            </w:r>
            <w:r>
              <w:rPr>
                <w:rFonts w:cs="Times New Roman"/>
                <w:color w:val="auto"/>
                <w:sz w:val="21"/>
                <w:szCs w:val="21"/>
              </w:rPr>
              <w:t>水体，泥沙含量升高。</w:t>
            </w:r>
          </w:p>
        </w:tc>
      </w:tr>
      <w:tr>
        <w:tblPrEx>
          <w:tblCellMar>
            <w:top w:w="0" w:type="dxa"/>
            <w:left w:w="0" w:type="dxa"/>
            <w:bottom w:w="0" w:type="dxa"/>
            <w:right w:w="0" w:type="dxa"/>
          </w:tblCellMar>
        </w:tblPrEx>
        <w:trPr>
          <w:trHeight w:val="1411" w:hRule="atLeast"/>
          <w:jc w:val="center"/>
        </w:trPr>
        <w:tc>
          <w:tcPr>
            <w:tcW w:w="960" w:type="dxa"/>
            <w:vMerge w:val="continue"/>
            <w:tcBorders>
              <w:top w:val="single" w:color="000000" w:sz="4" w:space="0"/>
              <w:left w:val="nil"/>
              <w:bottom w:val="single" w:color="000000" w:sz="4" w:space="0"/>
              <w:right w:val="single" w:color="000000" w:sz="6"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133" w:type="dxa"/>
            <w:vMerge w:val="continue"/>
            <w:tcBorders>
              <w:top w:val="single" w:color="000000" w:sz="4" w:space="0"/>
              <w:left w:val="single" w:color="000000" w:sz="6" w:space="0"/>
              <w:bottom w:val="single" w:color="000000" w:sz="4" w:space="0"/>
              <w:right w:val="single" w:color="000000" w:sz="6"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702" w:type="dxa"/>
            <w:tcBorders>
              <w:top w:val="single" w:color="000000" w:sz="4" w:space="0"/>
              <w:left w:val="single" w:color="000000" w:sz="6" w:space="0"/>
              <w:bottom w:val="single" w:color="000000" w:sz="4" w:space="0"/>
              <w:right w:val="single" w:color="000000" w:sz="6"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施工废水排放</w:t>
            </w:r>
          </w:p>
        </w:tc>
        <w:tc>
          <w:tcPr>
            <w:tcW w:w="1844" w:type="dxa"/>
            <w:tcBorders>
              <w:top w:val="single" w:color="000000" w:sz="4" w:space="0"/>
              <w:left w:val="single" w:color="000000" w:sz="6" w:space="0"/>
              <w:bottom w:val="single" w:color="000000" w:sz="4" w:space="0"/>
              <w:right w:val="single" w:color="000000" w:sz="6"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pacing w:val="-8"/>
                <w:sz w:val="21"/>
                <w:szCs w:val="21"/>
              </w:rPr>
              <w:t>短期、可逆、不利</w:t>
            </w:r>
          </w:p>
        </w:tc>
        <w:tc>
          <w:tcPr>
            <w:tcW w:w="4130" w:type="dxa"/>
            <w:tcBorders>
              <w:top w:val="single" w:color="000000" w:sz="4" w:space="0"/>
              <w:left w:val="single" w:color="000000" w:sz="6" w:space="0"/>
              <w:bottom w:val="single" w:color="000000" w:sz="4" w:space="0"/>
              <w:right w:val="nil"/>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施工过程中产生施工冲洗废水</w:t>
            </w:r>
            <w:r>
              <w:rPr>
                <w:rFonts w:hint="eastAsia" w:cs="Times New Roman"/>
                <w:color w:val="auto"/>
                <w:sz w:val="21"/>
                <w:szCs w:val="21"/>
                <w:lang w:eastAsia="zh-CN"/>
              </w:rPr>
              <w:t>，</w:t>
            </w:r>
            <w:r>
              <w:rPr>
                <w:rFonts w:cs="Times New Roman"/>
                <w:color w:val="auto"/>
                <w:spacing w:val="-2"/>
                <w:sz w:val="21"/>
                <w:szCs w:val="21"/>
              </w:rPr>
              <w:t>同时产生施工人员生活污水、基坑废水</w:t>
            </w:r>
            <w:r>
              <w:rPr>
                <w:rFonts w:cs="Times New Roman"/>
                <w:color w:val="auto"/>
                <w:sz w:val="21"/>
                <w:szCs w:val="21"/>
              </w:rPr>
              <w:t>，若不合理处置直接排放，将对</w:t>
            </w:r>
            <w:r>
              <w:rPr>
                <w:rFonts w:cs="Times New Roman"/>
                <w:color w:val="auto"/>
                <w:spacing w:val="-2"/>
                <w:sz w:val="21"/>
                <w:szCs w:val="21"/>
              </w:rPr>
              <w:t>周边水体造成不利影响，甚至会对区</w:t>
            </w:r>
            <w:r>
              <w:rPr>
                <w:rFonts w:cs="Times New Roman"/>
                <w:color w:val="auto"/>
                <w:spacing w:val="-72"/>
                <w:sz w:val="21"/>
                <w:szCs w:val="21"/>
              </w:rPr>
              <w:t xml:space="preserve"> </w:t>
            </w:r>
            <w:r>
              <w:rPr>
                <w:rFonts w:cs="Times New Roman"/>
                <w:color w:val="auto"/>
                <w:sz w:val="21"/>
                <w:szCs w:val="21"/>
              </w:rPr>
              <w:t>域地下水环境造成一定不利影响。</w:t>
            </w:r>
          </w:p>
        </w:tc>
      </w:tr>
      <w:tr>
        <w:tblPrEx>
          <w:tblCellMar>
            <w:top w:w="0" w:type="dxa"/>
            <w:left w:w="0" w:type="dxa"/>
            <w:bottom w:w="0" w:type="dxa"/>
            <w:right w:w="0" w:type="dxa"/>
          </w:tblCellMar>
        </w:tblPrEx>
        <w:trPr>
          <w:trHeight w:val="1402" w:hRule="exact"/>
          <w:jc w:val="center"/>
        </w:trPr>
        <w:tc>
          <w:tcPr>
            <w:tcW w:w="960" w:type="dxa"/>
            <w:vMerge w:val="continue"/>
            <w:tcBorders>
              <w:top w:val="single" w:color="000000" w:sz="4" w:space="0"/>
              <w:left w:val="nil"/>
              <w:right w:val="single" w:color="000000" w:sz="6"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133" w:type="dxa"/>
            <w:tcBorders>
              <w:top w:val="single" w:color="000000" w:sz="4" w:space="0"/>
              <w:left w:val="single" w:color="000000" w:sz="6" w:space="0"/>
              <w:bottom w:val="single" w:color="000000" w:sz="4" w:space="0"/>
              <w:right w:val="single" w:color="000000" w:sz="6" w:space="0"/>
            </w:tcBorders>
            <w:vAlign w:val="center"/>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地下水环境</w:t>
            </w:r>
          </w:p>
        </w:tc>
        <w:tc>
          <w:tcPr>
            <w:tcW w:w="1702" w:type="dxa"/>
            <w:tcBorders>
              <w:top w:val="single" w:color="000000" w:sz="4" w:space="0"/>
              <w:left w:val="single" w:color="000000" w:sz="6" w:space="0"/>
              <w:bottom w:val="single" w:color="000000" w:sz="4" w:space="0"/>
              <w:right w:val="single" w:color="000000" w:sz="6"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临时</w:t>
            </w:r>
            <w:r>
              <w:rPr>
                <w:rFonts w:cs="Times New Roman"/>
                <w:color w:val="auto"/>
                <w:spacing w:val="-103"/>
                <w:sz w:val="21"/>
                <w:szCs w:val="21"/>
              </w:rPr>
              <w:t xml:space="preserve"> </w:t>
            </w:r>
            <w:r>
              <w:rPr>
                <w:rFonts w:cs="Times New Roman"/>
                <w:color w:val="auto"/>
                <w:sz w:val="21"/>
                <w:szCs w:val="21"/>
              </w:rPr>
              <w:t>堆场淋</w:t>
            </w:r>
            <w:r>
              <w:rPr>
                <w:rFonts w:cs="Times New Roman"/>
                <w:color w:val="auto"/>
                <w:spacing w:val="-103"/>
                <w:sz w:val="21"/>
                <w:szCs w:val="21"/>
              </w:rPr>
              <w:t xml:space="preserve"> </w:t>
            </w:r>
            <w:r>
              <w:rPr>
                <w:rFonts w:cs="Times New Roman"/>
                <w:color w:val="auto"/>
                <w:sz w:val="21"/>
                <w:szCs w:val="21"/>
              </w:rPr>
              <w:t>渗水下渗、施工</w:t>
            </w:r>
            <w:r>
              <w:rPr>
                <w:rFonts w:cs="Times New Roman"/>
                <w:color w:val="auto"/>
                <w:spacing w:val="-103"/>
                <w:sz w:val="21"/>
                <w:szCs w:val="21"/>
              </w:rPr>
              <w:t xml:space="preserve"> </w:t>
            </w:r>
            <w:r>
              <w:rPr>
                <w:rFonts w:cs="Times New Roman"/>
                <w:color w:val="auto"/>
                <w:sz w:val="21"/>
                <w:szCs w:val="21"/>
              </w:rPr>
              <w:t>废水和生活废水</w:t>
            </w:r>
          </w:p>
        </w:tc>
        <w:tc>
          <w:tcPr>
            <w:tcW w:w="1844" w:type="dxa"/>
            <w:tcBorders>
              <w:top w:val="single" w:color="000000" w:sz="4" w:space="0"/>
              <w:left w:val="single" w:color="000000" w:sz="6" w:space="0"/>
              <w:bottom w:val="single" w:color="000000" w:sz="4" w:space="0"/>
              <w:right w:val="single" w:color="000000" w:sz="6"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pacing w:val="-8"/>
                <w:sz w:val="21"/>
                <w:szCs w:val="21"/>
              </w:rPr>
              <w:t>短期、可逆、不利</w:t>
            </w:r>
          </w:p>
        </w:tc>
        <w:tc>
          <w:tcPr>
            <w:tcW w:w="4130" w:type="dxa"/>
            <w:tcBorders>
              <w:top w:val="single" w:color="000000" w:sz="4" w:space="0"/>
              <w:left w:val="single" w:color="000000" w:sz="6" w:space="0"/>
              <w:bottom w:val="single" w:color="000000" w:sz="4" w:space="0"/>
              <w:right w:val="nil"/>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河道局部开挖会引起局部区域潜水水</w:t>
            </w:r>
            <w:r>
              <w:rPr>
                <w:rFonts w:cs="Times New Roman"/>
                <w:color w:val="auto"/>
                <w:spacing w:val="-2"/>
                <w:sz w:val="21"/>
                <w:szCs w:val="21"/>
              </w:rPr>
              <w:t>位的下降，临时堆场淋渗水的下渗会对地下水水</w:t>
            </w:r>
            <w:r>
              <w:rPr>
                <w:rFonts w:cs="Times New Roman"/>
                <w:color w:val="auto"/>
                <w:spacing w:val="-79"/>
                <w:sz w:val="21"/>
                <w:szCs w:val="21"/>
              </w:rPr>
              <w:t xml:space="preserve"> </w:t>
            </w:r>
            <w:r>
              <w:rPr>
                <w:rFonts w:cs="Times New Roman"/>
                <w:color w:val="auto"/>
                <w:spacing w:val="-2"/>
                <w:sz w:val="21"/>
                <w:szCs w:val="21"/>
              </w:rPr>
              <w:t>质造成一定的影响，同时施工废水和</w:t>
            </w:r>
            <w:r>
              <w:rPr>
                <w:rFonts w:cs="Times New Roman"/>
                <w:color w:val="auto"/>
                <w:spacing w:val="-79"/>
                <w:sz w:val="21"/>
                <w:szCs w:val="21"/>
              </w:rPr>
              <w:t xml:space="preserve"> </w:t>
            </w:r>
            <w:r>
              <w:rPr>
                <w:rFonts w:cs="Times New Roman"/>
                <w:color w:val="auto"/>
                <w:spacing w:val="-2"/>
                <w:sz w:val="21"/>
                <w:szCs w:val="21"/>
              </w:rPr>
              <w:t>生活废水若随意排放，也会造成区域</w:t>
            </w:r>
            <w:r>
              <w:rPr>
                <w:rFonts w:cs="Times New Roman"/>
                <w:color w:val="auto"/>
                <w:spacing w:val="-79"/>
                <w:sz w:val="21"/>
                <w:szCs w:val="21"/>
              </w:rPr>
              <w:t xml:space="preserve"> </w:t>
            </w:r>
            <w:r>
              <w:rPr>
                <w:rFonts w:cs="Times New Roman"/>
                <w:color w:val="auto"/>
                <w:sz w:val="21"/>
                <w:szCs w:val="21"/>
              </w:rPr>
              <w:t>地下水水质的恶化。</w:t>
            </w:r>
          </w:p>
        </w:tc>
      </w:tr>
      <w:tr>
        <w:tblPrEx>
          <w:tblCellMar>
            <w:top w:w="0" w:type="dxa"/>
            <w:left w:w="0" w:type="dxa"/>
            <w:bottom w:w="0" w:type="dxa"/>
            <w:right w:w="0" w:type="dxa"/>
          </w:tblCellMar>
        </w:tblPrEx>
        <w:trPr>
          <w:trHeight w:val="833" w:hRule="exact"/>
          <w:jc w:val="center"/>
        </w:trPr>
        <w:tc>
          <w:tcPr>
            <w:tcW w:w="960" w:type="dxa"/>
            <w:vMerge w:val="continue"/>
            <w:tcBorders>
              <w:left w:val="nil"/>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133" w:type="dxa"/>
            <w:vMerge w:val="restart"/>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大气环境</w:t>
            </w:r>
          </w:p>
        </w:tc>
        <w:tc>
          <w:tcPr>
            <w:tcW w:w="1702" w:type="dxa"/>
            <w:tcBorders>
              <w:top w:val="single" w:color="000000" w:sz="4" w:space="0"/>
              <w:left w:val="single" w:color="000000" w:sz="4" w:space="0"/>
              <w:bottom w:val="single" w:color="000000" w:sz="4"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施工粉尘</w:t>
            </w:r>
          </w:p>
        </w:tc>
        <w:tc>
          <w:tcPr>
            <w:tcW w:w="1844" w:type="dxa"/>
            <w:tcBorders>
              <w:top w:val="single" w:color="000000" w:sz="4" w:space="0"/>
              <w:left w:val="single" w:color="000000" w:sz="4" w:space="0"/>
              <w:bottom w:val="single" w:color="000000" w:sz="4"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pacing w:val="-8"/>
                <w:sz w:val="21"/>
                <w:szCs w:val="21"/>
              </w:rPr>
              <w:t>短期、可逆、不利</w:t>
            </w:r>
          </w:p>
        </w:tc>
        <w:tc>
          <w:tcPr>
            <w:tcW w:w="4130" w:type="dxa"/>
            <w:tcBorders>
              <w:top w:val="single" w:color="000000" w:sz="4" w:space="0"/>
              <w:left w:val="single" w:color="000000" w:sz="4" w:space="0"/>
              <w:bottom w:val="single" w:color="000000" w:sz="4" w:space="0"/>
              <w:right w:val="nil"/>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现场清理、土方开挖、混凝土搅拌、建构筑物</w:t>
            </w:r>
            <w:r>
              <w:rPr>
                <w:rFonts w:cs="Times New Roman"/>
                <w:color w:val="auto"/>
                <w:spacing w:val="-2"/>
                <w:sz w:val="21"/>
                <w:szCs w:val="21"/>
              </w:rPr>
              <w:t>施工等过程产生施工粉尘对</w:t>
            </w:r>
            <w:r>
              <w:rPr>
                <w:rFonts w:cs="Times New Roman"/>
                <w:color w:val="auto"/>
                <w:spacing w:val="-72"/>
                <w:sz w:val="21"/>
                <w:szCs w:val="21"/>
              </w:rPr>
              <w:t xml:space="preserve"> </w:t>
            </w:r>
            <w:r>
              <w:rPr>
                <w:rFonts w:cs="Times New Roman"/>
                <w:color w:val="auto"/>
                <w:sz w:val="21"/>
                <w:szCs w:val="21"/>
              </w:rPr>
              <w:t>区域环境空气质量造成不利影响。</w:t>
            </w:r>
          </w:p>
        </w:tc>
      </w:tr>
      <w:tr>
        <w:tblPrEx>
          <w:tblCellMar>
            <w:top w:w="0" w:type="dxa"/>
            <w:left w:w="0" w:type="dxa"/>
            <w:bottom w:w="0" w:type="dxa"/>
            <w:right w:w="0" w:type="dxa"/>
          </w:tblCellMar>
        </w:tblPrEx>
        <w:trPr>
          <w:trHeight w:val="621" w:hRule="exact"/>
          <w:jc w:val="center"/>
        </w:trPr>
        <w:tc>
          <w:tcPr>
            <w:tcW w:w="960" w:type="dxa"/>
            <w:vMerge w:val="continue"/>
            <w:tcBorders>
              <w:left w:val="nil"/>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133" w:type="dxa"/>
            <w:vMerge w:val="continue"/>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sz w:val="21"/>
                <w:szCs w:val="21"/>
              </w:rPr>
            </w:pPr>
          </w:p>
        </w:tc>
        <w:tc>
          <w:tcPr>
            <w:tcW w:w="1702" w:type="dxa"/>
            <w:tcBorders>
              <w:top w:val="single" w:color="000000" w:sz="4" w:space="0"/>
              <w:left w:val="single" w:color="000000" w:sz="4" w:space="0"/>
              <w:bottom w:val="single" w:color="000000" w:sz="4"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堆场扬尘</w:t>
            </w:r>
          </w:p>
        </w:tc>
        <w:tc>
          <w:tcPr>
            <w:tcW w:w="1844" w:type="dxa"/>
            <w:tcBorders>
              <w:top w:val="single" w:color="000000" w:sz="4" w:space="0"/>
              <w:left w:val="single" w:color="000000" w:sz="4" w:space="0"/>
              <w:bottom w:val="single" w:color="000000" w:sz="4"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pacing w:val="-8"/>
                <w:sz w:val="21"/>
                <w:szCs w:val="21"/>
              </w:rPr>
              <w:t>短期、可逆、不利</w:t>
            </w:r>
          </w:p>
        </w:tc>
        <w:tc>
          <w:tcPr>
            <w:tcW w:w="4130" w:type="dxa"/>
            <w:tcBorders>
              <w:top w:val="single" w:color="000000" w:sz="4" w:space="0"/>
              <w:left w:val="single" w:color="000000" w:sz="4" w:space="0"/>
              <w:bottom w:val="single" w:color="000000" w:sz="4" w:space="0"/>
              <w:right w:val="nil"/>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建筑材料露天堆放</w:t>
            </w:r>
            <w:r>
              <w:rPr>
                <w:rFonts w:cs="Times New Roman"/>
                <w:color w:val="auto"/>
                <w:spacing w:val="-2"/>
                <w:sz w:val="21"/>
                <w:szCs w:val="21"/>
              </w:rPr>
              <w:t>扬尘对区域环境空气质量造成不利</w:t>
            </w:r>
            <w:r>
              <w:rPr>
                <w:rFonts w:cs="Times New Roman"/>
                <w:color w:val="auto"/>
                <w:spacing w:val="-72"/>
                <w:sz w:val="21"/>
                <w:szCs w:val="21"/>
              </w:rPr>
              <w:t xml:space="preserve"> </w:t>
            </w:r>
            <w:r>
              <w:rPr>
                <w:rFonts w:cs="Times New Roman"/>
                <w:color w:val="auto"/>
                <w:sz w:val="21"/>
                <w:szCs w:val="21"/>
              </w:rPr>
              <w:t>影响</w:t>
            </w:r>
          </w:p>
        </w:tc>
      </w:tr>
      <w:tr>
        <w:tblPrEx>
          <w:tblCellMar>
            <w:top w:w="0" w:type="dxa"/>
            <w:left w:w="0" w:type="dxa"/>
            <w:bottom w:w="0" w:type="dxa"/>
            <w:right w:w="0" w:type="dxa"/>
          </w:tblCellMar>
        </w:tblPrEx>
        <w:trPr>
          <w:trHeight w:val="570" w:hRule="exact"/>
          <w:jc w:val="center"/>
        </w:trPr>
        <w:tc>
          <w:tcPr>
            <w:tcW w:w="960" w:type="dxa"/>
            <w:vMerge w:val="continue"/>
            <w:tcBorders>
              <w:left w:val="nil"/>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133" w:type="dxa"/>
            <w:vMerge w:val="continue"/>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702" w:type="dxa"/>
            <w:tcBorders>
              <w:top w:val="single" w:color="000000" w:sz="4" w:space="0"/>
              <w:left w:val="single" w:color="000000" w:sz="4" w:space="0"/>
              <w:bottom w:val="single" w:color="000000" w:sz="4"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车辆扬尘</w:t>
            </w:r>
          </w:p>
        </w:tc>
        <w:tc>
          <w:tcPr>
            <w:tcW w:w="1844" w:type="dxa"/>
            <w:tcBorders>
              <w:top w:val="single" w:color="000000" w:sz="4" w:space="0"/>
              <w:left w:val="single" w:color="000000" w:sz="4" w:space="0"/>
              <w:bottom w:val="single" w:color="000000" w:sz="4"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pacing w:val="-8"/>
                <w:sz w:val="21"/>
                <w:szCs w:val="21"/>
              </w:rPr>
              <w:t>短期、可逆、不利</w:t>
            </w:r>
          </w:p>
        </w:tc>
        <w:tc>
          <w:tcPr>
            <w:tcW w:w="4130" w:type="dxa"/>
            <w:tcBorders>
              <w:top w:val="single" w:color="000000" w:sz="4" w:space="0"/>
              <w:left w:val="single" w:color="000000" w:sz="4" w:space="0"/>
              <w:bottom w:val="single" w:color="000000" w:sz="4" w:space="0"/>
              <w:right w:val="nil"/>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施工过程道路车辆行驶过程中产生车</w:t>
            </w:r>
            <w:r>
              <w:rPr>
                <w:rFonts w:cs="Times New Roman"/>
                <w:color w:val="auto"/>
                <w:spacing w:val="-2"/>
                <w:sz w:val="21"/>
                <w:szCs w:val="21"/>
              </w:rPr>
              <w:t>辆扬尘对区域环境空气质量造成不利</w:t>
            </w:r>
            <w:r>
              <w:rPr>
                <w:rFonts w:cs="Times New Roman"/>
                <w:color w:val="auto"/>
                <w:spacing w:val="-72"/>
                <w:sz w:val="21"/>
                <w:szCs w:val="21"/>
              </w:rPr>
              <w:t xml:space="preserve"> </w:t>
            </w:r>
            <w:r>
              <w:rPr>
                <w:rFonts w:cs="Times New Roman"/>
                <w:color w:val="auto"/>
                <w:sz w:val="21"/>
                <w:szCs w:val="21"/>
              </w:rPr>
              <w:t>影响</w:t>
            </w:r>
          </w:p>
        </w:tc>
      </w:tr>
      <w:tr>
        <w:tblPrEx>
          <w:tblCellMar>
            <w:top w:w="0" w:type="dxa"/>
            <w:left w:w="0" w:type="dxa"/>
            <w:bottom w:w="0" w:type="dxa"/>
            <w:right w:w="0" w:type="dxa"/>
          </w:tblCellMar>
        </w:tblPrEx>
        <w:trPr>
          <w:trHeight w:val="833" w:hRule="exact"/>
          <w:jc w:val="center"/>
        </w:trPr>
        <w:tc>
          <w:tcPr>
            <w:tcW w:w="960" w:type="dxa"/>
            <w:vMerge w:val="continue"/>
            <w:tcBorders>
              <w:left w:val="nil"/>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133" w:type="dxa"/>
            <w:vMerge w:val="continue"/>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702" w:type="dxa"/>
            <w:tcBorders>
              <w:top w:val="single" w:color="000000" w:sz="4" w:space="0"/>
              <w:left w:val="single" w:color="000000" w:sz="4" w:space="0"/>
              <w:bottom w:val="single" w:color="000000" w:sz="4"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燃油施工机械废气</w:t>
            </w:r>
          </w:p>
        </w:tc>
        <w:tc>
          <w:tcPr>
            <w:tcW w:w="1844" w:type="dxa"/>
            <w:tcBorders>
              <w:top w:val="single" w:color="000000" w:sz="4" w:space="0"/>
              <w:left w:val="single" w:color="000000" w:sz="4" w:space="0"/>
              <w:bottom w:val="single" w:color="000000" w:sz="4"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pacing w:val="-8"/>
                <w:sz w:val="21"/>
                <w:szCs w:val="21"/>
              </w:rPr>
              <w:t>短期、可逆、不利</w:t>
            </w:r>
          </w:p>
        </w:tc>
        <w:tc>
          <w:tcPr>
            <w:tcW w:w="4130" w:type="dxa"/>
            <w:tcBorders>
              <w:top w:val="single" w:color="000000" w:sz="4" w:space="0"/>
              <w:left w:val="single" w:color="000000" w:sz="4" w:space="0"/>
              <w:bottom w:val="single" w:color="000000" w:sz="4" w:space="0"/>
              <w:right w:val="nil"/>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施工机械和重型运输车辆运行过程中</w:t>
            </w:r>
            <w:r>
              <w:rPr>
                <w:rFonts w:cs="Times New Roman"/>
                <w:color w:val="auto"/>
                <w:spacing w:val="-2"/>
                <w:sz w:val="21"/>
                <w:szCs w:val="21"/>
              </w:rPr>
              <w:t>排出的汽车尾气对区域环境空气质量</w:t>
            </w:r>
            <w:r>
              <w:rPr>
                <w:rFonts w:cs="Times New Roman"/>
                <w:color w:val="auto"/>
                <w:spacing w:val="-72"/>
                <w:sz w:val="21"/>
                <w:szCs w:val="21"/>
              </w:rPr>
              <w:t xml:space="preserve"> </w:t>
            </w:r>
            <w:r>
              <w:rPr>
                <w:rFonts w:cs="Times New Roman"/>
                <w:color w:val="auto"/>
                <w:sz w:val="21"/>
                <w:szCs w:val="21"/>
              </w:rPr>
              <w:t>造成不利影响。</w:t>
            </w:r>
          </w:p>
        </w:tc>
      </w:tr>
      <w:tr>
        <w:tblPrEx>
          <w:tblCellMar>
            <w:top w:w="0" w:type="dxa"/>
            <w:left w:w="0" w:type="dxa"/>
            <w:bottom w:w="0" w:type="dxa"/>
            <w:right w:w="0" w:type="dxa"/>
          </w:tblCellMar>
        </w:tblPrEx>
        <w:trPr>
          <w:trHeight w:val="286" w:hRule="exact"/>
          <w:jc w:val="center"/>
        </w:trPr>
        <w:tc>
          <w:tcPr>
            <w:tcW w:w="960" w:type="dxa"/>
            <w:vMerge w:val="continue"/>
            <w:tcBorders>
              <w:left w:val="nil"/>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133" w:type="dxa"/>
            <w:vMerge w:val="restart"/>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声环境</w:t>
            </w:r>
          </w:p>
        </w:tc>
        <w:tc>
          <w:tcPr>
            <w:tcW w:w="1702" w:type="dxa"/>
            <w:tcBorders>
              <w:top w:val="single" w:color="000000" w:sz="4" w:space="0"/>
              <w:left w:val="single" w:color="000000" w:sz="4" w:space="0"/>
              <w:bottom w:val="single" w:color="000000" w:sz="4"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施工机械</w:t>
            </w:r>
          </w:p>
        </w:tc>
        <w:tc>
          <w:tcPr>
            <w:tcW w:w="1844" w:type="dxa"/>
            <w:tcBorders>
              <w:top w:val="single" w:color="000000" w:sz="4" w:space="0"/>
              <w:left w:val="single" w:color="000000" w:sz="4" w:space="0"/>
              <w:bottom w:val="single" w:color="000000" w:sz="4"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pacing w:val="-8"/>
                <w:sz w:val="21"/>
                <w:szCs w:val="21"/>
              </w:rPr>
              <w:t>短期、可逆、不利</w:t>
            </w:r>
          </w:p>
        </w:tc>
        <w:tc>
          <w:tcPr>
            <w:tcW w:w="4130" w:type="dxa"/>
            <w:vMerge w:val="restart"/>
            <w:tcBorders>
              <w:top w:val="single" w:color="000000" w:sz="4" w:space="0"/>
              <w:left w:val="single" w:color="000000" w:sz="4" w:space="0"/>
              <w:bottom w:val="single" w:color="000000" w:sz="4" w:space="0"/>
              <w:right w:val="nil"/>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施工对区域声环境造成不利影响。</w:t>
            </w:r>
          </w:p>
        </w:tc>
      </w:tr>
      <w:tr>
        <w:tblPrEx>
          <w:tblCellMar>
            <w:top w:w="0" w:type="dxa"/>
            <w:left w:w="0" w:type="dxa"/>
            <w:bottom w:w="0" w:type="dxa"/>
            <w:right w:w="0" w:type="dxa"/>
          </w:tblCellMar>
        </w:tblPrEx>
        <w:trPr>
          <w:trHeight w:val="288" w:hRule="exact"/>
          <w:jc w:val="center"/>
        </w:trPr>
        <w:tc>
          <w:tcPr>
            <w:tcW w:w="960" w:type="dxa"/>
            <w:vMerge w:val="continue"/>
            <w:tcBorders>
              <w:left w:val="nil"/>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133" w:type="dxa"/>
            <w:vMerge w:val="continue"/>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702" w:type="dxa"/>
            <w:tcBorders>
              <w:top w:val="single" w:color="000000" w:sz="4" w:space="0"/>
              <w:left w:val="single" w:color="000000" w:sz="4" w:space="0"/>
              <w:bottom w:val="single" w:color="000000" w:sz="4"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施工运输车辆</w:t>
            </w:r>
          </w:p>
        </w:tc>
        <w:tc>
          <w:tcPr>
            <w:tcW w:w="1844" w:type="dxa"/>
            <w:tcBorders>
              <w:top w:val="single" w:color="000000" w:sz="4" w:space="0"/>
              <w:left w:val="single" w:color="000000" w:sz="4" w:space="0"/>
              <w:bottom w:val="single" w:color="000000" w:sz="4"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pacing w:val="-8"/>
                <w:sz w:val="21"/>
                <w:szCs w:val="21"/>
              </w:rPr>
              <w:t>短期、可逆、不利</w:t>
            </w:r>
          </w:p>
        </w:tc>
        <w:tc>
          <w:tcPr>
            <w:tcW w:w="4130" w:type="dxa"/>
            <w:vMerge w:val="continue"/>
            <w:tcBorders>
              <w:top w:val="single" w:color="000000" w:sz="4" w:space="0"/>
              <w:left w:val="single" w:color="000000" w:sz="4" w:space="0"/>
              <w:bottom w:val="single" w:color="000000" w:sz="4" w:space="0"/>
              <w:right w:val="nil"/>
            </w:tcBorders>
            <w:vAlign w:val="center"/>
          </w:tcPr>
          <w:p>
            <w:pPr>
              <w:topLinePunct/>
              <w:adjustRightInd w:val="0"/>
              <w:snapToGrid w:val="0"/>
              <w:spacing w:line="240" w:lineRule="auto"/>
              <w:ind w:firstLine="0" w:firstLineChars="0"/>
              <w:jc w:val="center"/>
              <w:rPr>
                <w:rFonts w:cs="Times New Roman"/>
                <w:color w:val="auto"/>
              </w:rPr>
            </w:pPr>
          </w:p>
        </w:tc>
      </w:tr>
      <w:tr>
        <w:tblPrEx>
          <w:tblCellMar>
            <w:top w:w="0" w:type="dxa"/>
            <w:left w:w="0" w:type="dxa"/>
            <w:bottom w:w="0" w:type="dxa"/>
            <w:right w:w="0" w:type="dxa"/>
          </w:tblCellMar>
        </w:tblPrEx>
        <w:trPr>
          <w:trHeight w:val="1385" w:hRule="exact"/>
          <w:jc w:val="center"/>
        </w:trPr>
        <w:tc>
          <w:tcPr>
            <w:tcW w:w="960" w:type="dxa"/>
            <w:vMerge w:val="continue"/>
            <w:tcBorders>
              <w:left w:val="nil"/>
              <w:bottom w:val="single" w:color="000000" w:sz="10" w:space="0"/>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p>
        </w:tc>
        <w:tc>
          <w:tcPr>
            <w:tcW w:w="1133" w:type="dxa"/>
            <w:tcBorders>
              <w:top w:val="single" w:color="000000" w:sz="4" w:space="0"/>
              <w:left w:val="single" w:color="000000" w:sz="4" w:space="0"/>
              <w:bottom w:val="single" w:color="000000" w:sz="10" w:space="0"/>
              <w:right w:val="single" w:color="000000" w:sz="4" w:space="0"/>
            </w:tcBorders>
            <w:vAlign w:val="center"/>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固体废物</w:t>
            </w:r>
          </w:p>
        </w:tc>
        <w:tc>
          <w:tcPr>
            <w:tcW w:w="1702" w:type="dxa"/>
            <w:tcBorders>
              <w:top w:val="single" w:color="000000" w:sz="4" w:space="0"/>
              <w:left w:val="single" w:color="000000" w:sz="4" w:space="0"/>
              <w:bottom w:val="single" w:color="000000" w:sz="10"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植物残体、弃土弃渣、施工生活</w:t>
            </w:r>
            <w:r>
              <w:rPr>
                <w:rFonts w:cs="Times New Roman"/>
                <w:color w:val="auto"/>
                <w:spacing w:val="-103"/>
                <w:sz w:val="21"/>
                <w:szCs w:val="21"/>
              </w:rPr>
              <w:t xml:space="preserve"> </w:t>
            </w:r>
            <w:r>
              <w:rPr>
                <w:rFonts w:cs="Times New Roman"/>
                <w:color w:val="auto"/>
                <w:sz w:val="21"/>
                <w:szCs w:val="21"/>
              </w:rPr>
              <w:t>垃圾、建筑垃圾</w:t>
            </w:r>
          </w:p>
        </w:tc>
        <w:tc>
          <w:tcPr>
            <w:tcW w:w="1844" w:type="dxa"/>
            <w:tcBorders>
              <w:top w:val="single" w:color="000000" w:sz="4" w:space="0"/>
              <w:left w:val="single" w:color="000000" w:sz="4" w:space="0"/>
              <w:bottom w:val="single" w:color="000000" w:sz="10" w:space="0"/>
              <w:right w:val="single" w:color="000000" w:sz="4" w:space="0"/>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pacing w:val="-8"/>
                <w:sz w:val="21"/>
                <w:szCs w:val="21"/>
              </w:rPr>
              <w:t>短期、可逆、不利</w:t>
            </w:r>
          </w:p>
        </w:tc>
        <w:tc>
          <w:tcPr>
            <w:tcW w:w="4130" w:type="dxa"/>
            <w:tcBorders>
              <w:top w:val="single" w:color="000000" w:sz="4" w:space="0"/>
              <w:left w:val="single" w:color="000000" w:sz="4" w:space="0"/>
              <w:bottom w:val="single" w:color="000000" w:sz="10" w:space="0"/>
              <w:right w:val="nil"/>
            </w:tcBorders>
            <w:vAlign w:val="center"/>
          </w:tcPr>
          <w:p>
            <w:pPr>
              <w:topLinePunct/>
              <w:adjustRightInd w:val="0"/>
              <w:snapToGrid w:val="0"/>
              <w:spacing w:line="240" w:lineRule="auto"/>
              <w:ind w:firstLine="0" w:firstLineChars="0"/>
              <w:jc w:val="center"/>
              <w:rPr>
                <w:rFonts w:cs="Times New Roman"/>
                <w:color w:val="auto"/>
              </w:rPr>
            </w:pPr>
            <w:r>
              <w:rPr>
                <w:rFonts w:cs="Times New Roman"/>
                <w:color w:val="auto"/>
                <w:sz w:val="21"/>
                <w:szCs w:val="21"/>
              </w:rPr>
              <w:t>施工植物残体、弃土弃渣、</w:t>
            </w:r>
            <w:r>
              <w:rPr>
                <w:rFonts w:cs="Times New Roman"/>
                <w:color w:val="auto"/>
                <w:spacing w:val="-2"/>
                <w:sz w:val="21"/>
                <w:szCs w:val="21"/>
              </w:rPr>
              <w:t>生活垃圾、建筑垃圾，若不合理处置，直接排放将对周</w:t>
            </w:r>
            <w:r>
              <w:rPr>
                <w:rFonts w:cs="Times New Roman"/>
                <w:color w:val="auto"/>
                <w:spacing w:val="-80"/>
                <w:sz w:val="21"/>
                <w:szCs w:val="21"/>
              </w:rPr>
              <w:t xml:space="preserve"> </w:t>
            </w:r>
            <w:r>
              <w:rPr>
                <w:rFonts w:cs="Times New Roman"/>
                <w:color w:val="auto"/>
                <w:spacing w:val="-2"/>
                <w:sz w:val="21"/>
                <w:szCs w:val="21"/>
              </w:rPr>
              <w:t>围区域水体、土壤、地下水造成不利</w:t>
            </w:r>
            <w:r>
              <w:rPr>
                <w:rFonts w:cs="Times New Roman"/>
                <w:color w:val="auto"/>
                <w:spacing w:val="-80"/>
                <w:sz w:val="21"/>
                <w:szCs w:val="21"/>
              </w:rPr>
              <w:t xml:space="preserve"> </w:t>
            </w:r>
            <w:r>
              <w:rPr>
                <w:rFonts w:cs="Times New Roman"/>
                <w:color w:val="auto"/>
                <w:sz w:val="21"/>
                <w:szCs w:val="21"/>
              </w:rPr>
              <w:t>影响。</w:t>
            </w:r>
          </w:p>
        </w:tc>
      </w:tr>
    </w:tbl>
    <w:p>
      <w:pPr>
        <w:keepNext/>
        <w:keepLines/>
        <w:snapToGrid w:val="0"/>
        <w:ind w:left="480" w:leftChars="200" w:firstLine="0" w:firstLineChars="0"/>
        <w:outlineLvl w:val="2"/>
        <w:rPr>
          <w:rFonts w:eastAsia="黑体" w:cs="Times New Roman"/>
          <w:color w:val="auto"/>
        </w:rPr>
      </w:pPr>
      <w:r>
        <w:rPr>
          <w:rFonts w:eastAsia="黑体" w:cs="Times New Roman"/>
          <w:color w:val="auto"/>
        </w:rPr>
        <w:t>3.6.</w:t>
      </w:r>
      <w:r>
        <w:rPr>
          <w:rFonts w:hint="eastAsia" w:eastAsia="黑体" w:cs="Times New Roman"/>
          <w:color w:val="auto"/>
          <w:lang w:val="en-US" w:eastAsia="zh-CN"/>
        </w:rPr>
        <w:t>1</w:t>
      </w:r>
      <w:r>
        <w:rPr>
          <w:rFonts w:eastAsia="黑体" w:cs="Times New Roman"/>
          <w:color w:val="auto"/>
        </w:rPr>
        <w:t>生态影响因素分析</w:t>
      </w:r>
    </w:p>
    <w:p>
      <w:pPr>
        <w:snapToGrid w:val="0"/>
        <w:ind w:firstLine="480"/>
        <w:outlineLvl w:val="3"/>
        <w:rPr>
          <w:rFonts w:cs="Times New Roman"/>
          <w:color w:val="auto"/>
        </w:rPr>
      </w:pPr>
      <w:r>
        <w:rPr>
          <w:rFonts w:cs="Times New Roman"/>
          <w:color w:val="auto"/>
        </w:rPr>
        <w:t>1</w:t>
      </w:r>
      <w:r>
        <w:rPr>
          <w:rFonts w:hint="eastAsia" w:cs="Times New Roman"/>
          <w:color w:val="auto"/>
        </w:rPr>
        <w:t>.</w:t>
      </w:r>
      <w:r>
        <w:rPr>
          <w:rFonts w:cs="Times New Roman"/>
          <w:color w:val="auto"/>
        </w:rPr>
        <w:t>施工期生态影响因素分析</w:t>
      </w:r>
    </w:p>
    <w:p>
      <w:pPr>
        <w:snapToGrid w:val="0"/>
        <w:ind w:firstLine="480"/>
        <w:rPr>
          <w:rFonts w:cs="Times New Roman"/>
          <w:color w:val="auto"/>
        </w:rPr>
      </w:pPr>
      <w:r>
        <w:rPr>
          <w:rFonts w:cs="Times New Roman"/>
          <w:color w:val="auto"/>
        </w:rPr>
        <w:t>（1）陆生生物影响</w:t>
      </w:r>
    </w:p>
    <w:p>
      <w:pPr>
        <w:snapToGrid w:val="0"/>
        <w:ind w:firstLine="480"/>
        <w:rPr>
          <w:rFonts w:cs="Times New Roman"/>
          <w:color w:val="auto"/>
        </w:rPr>
      </w:pPr>
      <w:r>
        <w:rPr>
          <w:rFonts w:hint="eastAsia" w:cs="Times New Roman"/>
          <w:color w:val="auto"/>
        </w:rPr>
        <w:t>①</w:t>
      </w:r>
      <w:r>
        <w:rPr>
          <w:rFonts w:cs="Times New Roman"/>
          <w:color w:val="auto"/>
        </w:rPr>
        <w:t>陆生植物</w:t>
      </w:r>
    </w:p>
    <w:p>
      <w:pPr>
        <w:snapToGrid w:val="0"/>
        <w:ind w:firstLine="480"/>
        <w:rPr>
          <w:rFonts w:cs="Times New Roman"/>
          <w:color w:val="auto"/>
        </w:rPr>
      </w:pPr>
      <w:r>
        <w:rPr>
          <w:rFonts w:cs="Times New Roman"/>
          <w:color w:val="auto"/>
        </w:rPr>
        <w:t>项目在施工过程中会将部分植物从地表剥落，直接对植被造成损害，在一定程度上降低区域的生物量。项目施工过程对植被损害的范围有限，临时占地通过表土回填利用进行植被恢复，可恢复原有的植物群落类型。</w:t>
      </w:r>
    </w:p>
    <w:p>
      <w:pPr>
        <w:snapToGrid w:val="0"/>
        <w:ind w:firstLine="480"/>
        <w:rPr>
          <w:rFonts w:cs="Times New Roman"/>
          <w:color w:val="auto"/>
        </w:rPr>
      </w:pPr>
      <w:r>
        <w:rPr>
          <w:rFonts w:hint="eastAsia" w:cs="Times New Roman"/>
          <w:color w:val="auto"/>
        </w:rPr>
        <w:t>②</w:t>
      </w:r>
      <w:r>
        <w:rPr>
          <w:rFonts w:cs="Times New Roman"/>
          <w:color w:val="auto"/>
        </w:rPr>
        <w:t>陆生动物</w:t>
      </w:r>
    </w:p>
    <w:p>
      <w:pPr>
        <w:snapToGrid w:val="0"/>
        <w:ind w:firstLine="480"/>
        <w:rPr>
          <w:rFonts w:cs="Times New Roman"/>
          <w:color w:val="auto"/>
        </w:rPr>
      </w:pPr>
      <w:r>
        <w:rPr>
          <w:rFonts w:cs="Times New Roman"/>
          <w:color w:val="auto"/>
        </w:rPr>
        <w:t>施工期施工人员及施工机械设备的噪声以及施工扬尘虽然会对陆生动物取食、繁衍等造成影响，破坏现有野生动物的生存环境，导致动物栖息环境改变。但工程施工区域生态环境较好，植被覆盖率较高，施工区周围可栖息地范围较广，总体环境优越，受影响的动物会在施工期迁移至周围适宜的环境中去栖息和繁衍。施工活动结束后，部分野生动物仍可以回到原栖息地附近区域，因此施工期对区域的动物资源不会产生明显影响。</w:t>
      </w:r>
    </w:p>
    <w:p>
      <w:pPr>
        <w:snapToGrid w:val="0"/>
        <w:ind w:firstLine="480"/>
        <w:rPr>
          <w:rFonts w:cs="Times New Roman"/>
          <w:color w:val="auto"/>
        </w:rPr>
      </w:pPr>
      <w:r>
        <w:rPr>
          <w:rFonts w:cs="Times New Roman"/>
          <w:color w:val="auto"/>
        </w:rPr>
        <w:t>（2）水生生物影响</w:t>
      </w:r>
    </w:p>
    <w:p>
      <w:pPr>
        <w:snapToGrid w:val="0"/>
        <w:ind w:firstLine="480"/>
        <w:rPr>
          <w:rFonts w:cs="Times New Roman"/>
          <w:color w:val="auto"/>
        </w:rPr>
      </w:pPr>
      <w:r>
        <w:rPr>
          <w:rFonts w:cs="Times New Roman"/>
          <w:color w:val="auto"/>
        </w:rPr>
        <w:t>本项目的</w:t>
      </w:r>
      <w:r>
        <w:rPr>
          <w:rFonts w:hint="eastAsia" w:cs="Times New Roman"/>
          <w:color w:val="auto"/>
          <w:lang w:val="en-US" w:eastAsia="zh-CN"/>
        </w:rPr>
        <w:t>生态</w:t>
      </w:r>
      <w:r>
        <w:rPr>
          <w:rFonts w:cs="Times New Roman"/>
          <w:color w:val="auto"/>
        </w:rPr>
        <w:t>护岸施工过程会占压河床底质，使河道近岸部分区域的水生生物栖息环境受到一定影响；</w:t>
      </w:r>
      <w:r>
        <w:rPr>
          <w:rFonts w:hint="eastAsia" w:cs="Times New Roman"/>
          <w:color w:val="auto"/>
          <w:lang w:val="en-US" w:eastAsia="zh-CN"/>
        </w:rPr>
        <w:t>河滨人工湿地</w:t>
      </w:r>
      <w:r>
        <w:rPr>
          <w:rFonts w:cs="Times New Roman"/>
          <w:color w:val="auto"/>
        </w:rPr>
        <w:t>工程会对水体进行直接扰动，改变水生生物栖息环境。</w:t>
      </w:r>
    </w:p>
    <w:p>
      <w:pPr>
        <w:snapToGrid w:val="0"/>
        <w:ind w:firstLine="480"/>
        <w:rPr>
          <w:rFonts w:cs="Times New Roman"/>
          <w:color w:val="auto"/>
        </w:rPr>
      </w:pPr>
      <w:r>
        <w:rPr>
          <w:rFonts w:hint="eastAsia" w:cs="Times New Roman"/>
          <w:color w:val="auto"/>
        </w:rPr>
        <w:t>①</w:t>
      </w:r>
      <w:r>
        <w:rPr>
          <w:rFonts w:cs="Times New Roman"/>
          <w:color w:val="auto"/>
        </w:rPr>
        <w:t>水生植物</w:t>
      </w:r>
    </w:p>
    <w:p>
      <w:pPr>
        <w:snapToGrid w:val="0"/>
        <w:ind w:firstLine="480"/>
        <w:rPr>
          <w:rFonts w:cs="Times New Roman"/>
          <w:color w:val="auto"/>
        </w:rPr>
      </w:pPr>
      <w:r>
        <w:rPr>
          <w:rFonts w:cs="Times New Roman"/>
          <w:color w:val="auto"/>
        </w:rPr>
        <w:t>本工程施工对水生植物的影响主要体现在以下两个力面，首先施工区水生植物生境条件将直接破坏，施工区内水生植物区系、</w:t>
      </w:r>
      <w:r>
        <w:rPr>
          <w:rFonts w:hint="eastAsia" w:cs="Times New Roman"/>
          <w:color w:val="auto"/>
          <w:lang w:val="en-US" w:eastAsia="zh-CN"/>
        </w:rPr>
        <w:t>种群</w:t>
      </w:r>
      <w:r>
        <w:rPr>
          <w:rFonts w:cs="Times New Roman"/>
          <w:color w:val="auto"/>
        </w:rPr>
        <w:t>、数量、种群结构将受到较大程度的影响，施工范围内已有的水生植物将随着工程的实施而不复存在，原有生态系统将完全被打破；其涉水施工会在水体中产生大量的悬浮物，在施工点周围将会形成悬浮物浓度较高区域，降低水体透明度，改变了水下光照条件，从而影响该范围内的水生植物的生长和繁殖，并影响到藻类的种类组成和群落结构。严重情况可能导致部分水生植物死亡。</w:t>
      </w:r>
    </w:p>
    <w:p>
      <w:pPr>
        <w:snapToGrid w:val="0"/>
        <w:ind w:firstLine="480"/>
        <w:rPr>
          <w:rFonts w:cs="Times New Roman"/>
          <w:color w:val="auto"/>
        </w:rPr>
      </w:pPr>
      <w:r>
        <w:rPr>
          <w:rFonts w:hint="eastAsia" w:cs="Times New Roman"/>
          <w:color w:val="auto"/>
        </w:rPr>
        <w:t>②</w:t>
      </w:r>
      <w:r>
        <w:rPr>
          <w:rFonts w:cs="Times New Roman"/>
          <w:color w:val="auto"/>
        </w:rPr>
        <w:t>水生动物</w:t>
      </w:r>
    </w:p>
    <w:p>
      <w:pPr>
        <w:snapToGrid w:val="0"/>
        <w:ind w:firstLine="480"/>
        <w:rPr>
          <w:rFonts w:cs="Times New Roman"/>
          <w:color w:val="auto"/>
        </w:rPr>
      </w:pPr>
      <w:r>
        <w:rPr>
          <w:rFonts w:cs="Times New Roman"/>
          <w:color w:val="auto"/>
        </w:rPr>
        <w:t>护岸建设及其他涉水工程将会造成作业区附近悬浮物浓度剧增，水体水质将变浑浊，水体透光性急剧降低，从而影响浮游植物的光合作用，使浮游植物的种类和生物量减少。而以浮游植物为食的浮沉动物也相应减少，其组成、分布变化与作为饵料的浮游植物有关，这些变化间接的影响到施工段河流水生生态，进而对区域渔业资源产生一定的影响。</w:t>
      </w:r>
    </w:p>
    <w:p>
      <w:pPr>
        <w:snapToGrid w:val="0"/>
        <w:ind w:firstLine="480"/>
        <w:rPr>
          <w:rFonts w:cs="Times New Roman"/>
          <w:color w:val="auto"/>
        </w:rPr>
      </w:pPr>
      <w:r>
        <w:rPr>
          <w:rFonts w:cs="Times New Roman"/>
          <w:color w:val="auto"/>
        </w:rPr>
        <w:t>项目区域不涉及重要水生生物的自然产卵场、索饵场、越冬场和回游通道。现状调查显示，评价范围内鱼类多为常见经济鱼类，未发现国家级及省级重点保护鱼类。项目施工期围堰建筑和拆除等将影响局部浮游生物、底栖动物等饵料生物量的变化，改变了原有鱼类的生存生长和繁衍条件，但是就整个河道流域来说，施工期影响相对较小，可迁移到其它地方。</w:t>
      </w:r>
    </w:p>
    <w:p>
      <w:pPr>
        <w:snapToGrid w:val="0"/>
        <w:ind w:firstLine="480"/>
        <w:rPr>
          <w:rFonts w:cs="Times New Roman"/>
          <w:color w:val="auto"/>
        </w:rPr>
      </w:pPr>
      <w:r>
        <w:rPr>
          <w:rFonts w:cs="Times New Roman"/>
          <w:color w:val="auto"/>
        </w:rPr>
        <w:t>（3）水土流失影响</w:t>
      </w:r>
    </w:p>
    <w:p>
      <w:pPr>
        <w:snapToGrid w:val="0"/>
        <w:ind w:firstLine="480"/>
        <w:rPr>
          <w:rFonts w:cs="Times New Roman"/>
          <w:color w:val="auto"/>
        </w:rPr>
      </w:pPr>
      <w:r>
        <w:rPr>
          <w:rFonts w:cs="Times New Roman"/>
          <w:color w:val="auto"/>
        </w:rPr>
        <w:t>工程施工地表清理、土石方开挖、场地平整等，施工区植被减少和地面临时裸露，极易引起水蚀和风蚀，加剧局部区域水土流失。弃渣的清运、堆放过程形成新的水土流失。</w:t>
      </w:r>
    </w:p>
    <w:p>
      <w:pPr>
        <w:snapToGrid w:val="0"/>
        <w:ind w:firstLine="480"/>
        <w:rPr>
          <w:rFonts w:cs="Times New Roman"/>
          <w:color w:val="auto"/>
        </w:rPr>
      </w:pPr>
      <w:r>
        <w:rPr>
          <w:rFonts w:cs="Times New Roman"/>
          <w:color w:val="auto"/>
        </w:rPr>
        <w:t>（4）对景观的影响</w:t>
      </w:r>
    </w:p>
    <w:p>
      <w:pPr>
        <w:snapToGrid w:val="0"/>
        <w:ind w:firstLine="480"/>
        <w:rPr>
          <w:rFonts w:cs="Times New Roman"/>
          <w:color w:val="auto"/>
        </w:rPr>
      </w:pPr>
      <w:r>
        <w:rPr>
          <w:rFonts w:cs="Times New Roman"/>
          <w:color w:val="auto"/>
        </w:rPr>
        <w:t>工程施工对局部地形、植被的破坏，必将在短期内对区域的景观环境产生不利影响，施工期对景观环境的影响主要表现在以下几个方面：</w:t>
      </w:r>
    </w:p>
    <w:p>
      <w:pPr>
        <w:snapToGrid w:val="0"/>
        <w:ind w:firstLine="480"/>
        <w:rPr>
          <w:rFonts w:cs="Times New Roman"/>
          <w:color w:val="auto"/>
        </w:rPr>
      </w:pPr>
      <w:r>
        <w:rPr>
          <w:rFonts w:hint="eastAsia" w:cs="Times New Roman"/>
          <w:color w:val="auto"/>
        </w:rPr>
        <w:t>①</w:t>
      </w:r>
      <w:r>
        <w:rPr>
          <w:rFonts w:cs="Times New Roman"/>
          <w:color w:val="auto"/>
        </w:rPr>
        <w:t>工程施工对局部地形、植被的破坏，将破坏拟建场地原有的环境的特色，影响施工场地原有良好的视觉效果。</w:t>
      </w:r>
    </w:p>
    <w:p>
      <w:pPr>
        <w:snapToGrid w:val="0"/>
        <w:ind w:firstLine="480"/>
        <w:rPr>
          <w:rFonts w:cs="Times New Roman"/>
          <w:color w:val="auto"/>
        </w:rPr>
      </w:pPr>
      <w:r>
        <w:rPr>
          <w:rFonts w:hint="eastAsia" w:cs="Times New Roman"/>
          <w:color w:val="auto"/>
        </w:rPr>
        <w:t>②</w:t>
      </w:r>
      <w:r>
        <w:rPr>
          <w:rFonts w:cs="Times New Roman"/>
          <w:color w:val="auto"/>
        </w:rPr>
        <w:t>工程施工的场地平整等工程需取弃土，施工期存在临时取弃土石方，若不及时有效地处置，将严重地影响区域的景观环境，而且工程施工时的飞灰扬尘，下雨时未完工路面及临时弃土石场的水土流失，将使区域的景观环境更加恶劣。对此，建设单位和施工单位应予以充分重视，采取及时有效的措施加以防治，并规范施工，杜绝上述现象发生。</w:t>
      </w:r>
    </w:p>
    <w:p>
      <w:pPr>
        <w:snapToGrid w:val="0"/>
        <w:ind w:firstLine="480"/>
        <w:outlineLvl w:val="3"/>
        <w:rPr>
          <w:rFonts w:cs="Times New Roman"/>
          <w:color w:val="auto"/>
        </w:rPr>
      </w:pPr>
      <w:r>
        <w:rPr>
          <w:rFonts w:cs="Times New Roman"/>
          <w:color w:val="auto"/>
        </w:rPr>
        <w:t>2</w:t>
      </w:r>
      <w:r>
        <w:rPr>
          <w:rFonts w:hint="eastAsia" w:cs="Times New Roman"/>
          <w:color w:val="auto"/>
        </w:rPr>
        <w:t>.</w:t>
      </w:r>
      <w:r>
        <w:rPr>
          <w:rFonts w:cs="Times New Roman"/>
          <w:color w:val="auto"/>
        </w:rPr>
        <w:t>运营期生态影响因素分析</w:t>
      </w:r>
    </w:p>
    <w:p>
      <w:pPr>
        <w:snapToGrid w:val="0"/>
        <w:ind w:firstLine="480"/>
        <w:rPr>
          <w:rFonts w:cs="Times New Roman"/>
          <w:color w:val="auto"/>
        </w:rPr>
      </w:pPr>
      <w:r>
        <w:rPr>
          <w:rFonts w:cs="Times New Roman"/>
          <w:color w:val="auto"/>
        </w:rPr>
        <w:t>通过本工程中景观、生态护岸、水源涵养和水土保护工程的实施，显著增加生物多样性，逐步恢复水体生态功能，提高生态系统的稳定性和自我更新、自我修复能力，逐步修复和完善区域生态环境。</w:t>
      </w:r>
    </w:p>
    <w:p>
      <w:pPr>
        <w:snapToGrid w:val="0"/>
        <w:ind w:firstLine="480"/>
        <w:rPr>
          <w:rFonts w:cs="Times New Roman"/>
          <w:color w:val="auto"/>
        </w:rPr>
      </w:pPr>
      <w:r>
        <w:rPr>
          <w:rFonts w:cs="Times New Roman"/>
          <w:color w:val="auto"/>
        </w:rPr>
        <w:t>项目运行期对生态环境的主要影响表现在以下几个方面：</w:t>
      </w:r>
    </w:p>
    <w:p>
      <w:pPr>
        <w:snapToGrid w:val="0"/>
        <w:ind w:firstLine="480"/>
        <w:rPr>
          <w:rFonts w:cs="Times New Roman"/>
          <w:color w:val="auto"/>
        </w:rPr>
      </w:pPr>
      <w:r>
        <w:rPr>
          <w:rFonts w:cs="Times New Roman"/>
          <w:color w:val="auto"/>
        </w:rPr>
        <w:t>（1）水生生物</w:t>
      </w:r>
    </w:p>
    <w:p>
      <w:pPr>
        <w:snapToGrid w:val="0"/>
        <w:ind w:firstLine="480"/>
        <w:rPr>
          <w:rFonts w:cs="Times New Roman"/>
          <w:color w:val="auto"/>
        </w:rPr>
      </w:pPr>
      <w:r>
        <w:rPr>
          <w:rFonts w:cs="Times New Roman"/>
          <w:color w:val="auto"/>
        </w:rPr>
        <w:t>本项目实施后可有效改善项目区河流水质，恢复河道水生生态系统，有效改善区域水系之间的水力联系，加强区域水系之间的水体交换，有利于水生态植物、底栖动物、鱼类等水生动物多样性的改善，提升水系生态价值。</w:t>
      </w:r>
    </w:p>
    <w:p>
      <w:pPr>
        <w:snapToGrid w:val="0"/>
        <w:ind w:firstLine="480"/>
        <w:rPr>
          <w:rFonts w:cs="Times New Roman"/>
          <w:color w:val="auto"/>
        </w:rPr>
      </w:pPr>
      <w:r>
        <w:rPr>
          <w:rFonts w:cs="Times New Roman"/>
          <w:color w:val="auto"/>
        </w:rPr>
        <w:t>（2）生物多样性</w:t>
      </w:r>
    </w:p>
    <w:p>
      <w:pPr>
        <w:snapToGrid w:val="0"/>
        <w:ind w:firstLine="480"/>
        <w:rPr>
          <w:rFonts w:cs="Times New Roman"/>
          <w:color w:val="auto"/>
        </w:rPr>
      </w:pPr>
      <w:r>
        <w:rPr>
          <w:rFonts w:cs="Times New Roman"/>
          <w:color w:val="auto"/>
        </w:rPr>
        <w:t>本项目通过种植各类植物，明显项目区域内植物物种数总体增加。园林绿化及观赏种类为主要物种增加，这将明显增加物种的种类多样性。项目建设后对于植物物种多样性的保护总体上是有利的。</w:t>
      </w:r>
    </w:p>
    <w:p>
      <w:pPr>
        <w:snapToGrid w:val="0"/>
        <w:ind w:firstLine="480"/>
        <w:rPr>
          <w:rFonts w:cs="Times New Roman"/>
          <w:color w:val="auto"/>
        </w:rPr>
      </w:pPr>
      <w:r>
        <w:rPr>
          <w:rFonts w:cs="Times New Roman"/>
          <w:color w:val="auto"/>
        </w:rPr>
        <w:t>根据相关的资料可以确定总体优越的自然生态系统为动物种群提供了良好的栖息繁们场所，物种也比较丰富。项目建成后，随着自然生态系统的发展，大量的动物将会在此繁衍，动物物种相应增加。</w:t>
      </w:r>
    </w:p>
    <w:p>
      <w:pPr>
        <w:snapToGrid w:val="0"/>
        <w:ind w:firstLine="480"/>
        <w:rPr>
          <w:rFonts w:cs="Times New Roman"/>
          <w:color w:val="auto"/>
        </w:rPr>
      </w:pPr>
      <w:r>
        <w:rPr>
          <w:rFonts w:cs="Times New Roman"/>
          <w:color w:val="auto"/>
        </w:rPr>
        <w:t>从生态系统、物种布局结构与演变规律分析，项目用地范围内，</w:t>
      </w:r>
      <w:r>
        <w:rPr>
          <w:rFonts w:hint="eastAsia" w:cs="Times New Roman"/>
          <w:color w:val="auto"/>
          <w:lang w:val="en-US" w:eastAsia="zh-CN"/>
        </w:rPr>
        <w:t>水生植物</w:t>
      </w:r>
      <w:r>
        <w:rPr>
          <w:rFonts w:cs="Times New Roman"/>
          <w:color w:val="auto"/>
        </w:rPr>
        <w:t>将会增加，区域内树木覆盖率将会增大，区域的生态系统将逐渐发展演化。因此从整体而言，绿地率的增加将使区域生态系统质量得到提高和优化。</w:t>
      </w:r>
    </w:p>
    <w:p>
      <w:pPr>
        <w:snapToGrid w:val="0"/>
        <w:ind w:firstLine="480"/>
        <w:rPr>
          <w:rFonts w:cs="Times New Roman"/>
          <w:color w:val="auto"/>
        </w:rPr>
      </w:pPr>
      <w:r>
        <w:rPr>
          <w:rFonts w:cs="Times New Roman"/>
          <w:color w:val="auto"/>
        </w:rPr>
        <w:t>总之，本项目投入运营后，会对区域环境产生正面影响，区域生态环境将得到有效改善。</w:t>
      </w:r>
    </w:p>
    <w:p>
      <w:pPr>
        <w:keepNext/>
        <w:keepLines/>
        <w:snapToGrid w:val="0"/>
        <w:ind w:left="480" w:leftChars="200" w:firstLine="0" w:firstLineChars="0"/>
        <w:outlineLvl w:val="2"/>
        <w:rPr>
          <w:rFonts w:eastAsia="黑体" w:cs="Times New Roman"/>
          <w:color w:val="auto"/>
        </w:rPr>
      </w:pPr>
      <w:r>
        <w:rPr>
          <w:rFonts w:eastAsia="黑体" w:cs="Times New Roman"/>
          <w:color w:val="auto"/>
        </w:rPr>
        <w:t>3.6.3水文情势影响因素分析</w:t>
      </w:r>
    </w:p>
    <w:p>
      <w:pPr>
        <w:snapToGrid w:val="0"/>
        <w:ind w:firstLine="480"/>
        <w:outlineLvl w:val="3"/>
        <w:rPr>
          <w:rFonts w:cs="Times New Roman"/>
          <w:color w:val="auto"/>
        </w:rPr>
      </w:pPr>
      <w:r>
        <w:rPr>
          <w:rFonts w:cs="Times New Roman"/>
          <w:color w:val="auto"/>
        </w:rPr>
        <w:t>1</w:t>
      </w:r>
      <w:r>
        <w:rPr>
          <w:rFonts w:hint="eastAsia" w:cs="Times New Roman"/>
          <w:color w:val="auto"/>
        </w:rPr>
        <w:t>.</w:t>
      </w:r>
      <w:r>
        <w:rPr>
          <w:rFonts w:cs="Times New Roman"/>
          <w:color w:val="auto"/>
        </w:rPr>
        <w:t>施工期生态影响因素分析</w:t>
      </w:r>
    </w:p>
    <w:p>
      <w:pPr>
        <w:snapToGrid w:val="0"/>
        <w:ind w:firstLine="480"/>
        <w:rPr>
          <w:rFonts w:cs="Times New Roman"/>
          <w:color w:val="auto"/>
        </w:rPr>
      </w:pPr>
      <w:r>
        <w:rPr>
          <w:rFonts w:cs="Times New Roman"/>
          <w:color w:val="auto"/>
        </w:rPr>
        <w:t>施工期主要是施工截流对河道水文情势的影响。</w:t>
      </w:r>
      <w:r>
        <w:rPr>
          <w:rFonts w:hint="eastAsia" w:cs="Times New Roman"/>
          <w:color w:val="auto"/>
          <w:lang w:val="en-US" w:eastAsia="zh-CN"/>
        </w:rPr>
        <w:t>本</w:t>
      </w:r>
      <w:r>
        <w:rPr>
          <w:rFonts w:cs="Times New Roman"/>
          <w:color w:val="auto"/>
        </w:rPr>
        <w:t>工程涉水作业将进行围堰和导流施工，会对河道进行截流。截流时，河道水位将略有升高，在截流过程中，将通过围堰进行导流，下泄流量为河道天然来流量，故截留期间对下游水文情势影响较小。</w:t>
      </w:r>
    </w:p>
    <w:p>
      <w:pPr>
        <w:snapToGrid w:val="0"/>
        <w:ind w:firstLine="480"/>
        <w:rPr>
          <w:rFonts w:cs="Times New Roman"/>
          <w:color w:val="auto"/>
        </w:rPr>
      </w:pPr>
      <w:r>
        <w:rPr>
          <w:rFonts w:cs="Times New Roman"/>
          <w:color w:val="auto"/>
        </w:rPr>
        <w:t>同时，上述涉水作业会对地表水体有一定的扰动影响，河道内泥沙含量将不可避免的有所升高，但这种泥沙含量的提高是暂时的。</w:t>
      </w:r>
    </w:p>
    <w:p>
      <w:pPr>
        <w:snapToGrid w:val="0"/>
        <w:ind w:firstLine="480"/>
        <w:outlineLvl w:val="3"/>
        <w:rPr>
          <w:rFonts w:cs="Times New Roman"/>
          <w:color w:val="auto"/>
        </w:rPr>
      </w:pPr>
      <w:r>
        <w:rPr>
          <w:rFonts w:cs="Times New Roman"/>
          <w:color w:val="auto"/>
        </w:rPr>
        <w:t>2</w:t>
      </w:r>
      <w:r>
        <w:rPr>
          <w:rFonts w:hint="eastAsia" w:cs="Times New Roman"/>
          <w:color w:val="auto"/>
        </w:rPr>
        <w:t>.</w:t>
      </w:r>
      <w:r>
        <w:rPr>
          <w:rFonts w:cs="Times New Roman"/>
          <w:color w:val="auto"/>
        </w:rPr>
        <w:t>运行期生态影响因素分析</w:t>
      </w:r>
    </w:p>
    <w:p>
      <w:pPr>
        <w:snapToGrid w:val="0"/>
        <w:ind w:firstLine="480"/>
        <w:rPr>
          <w:rFonts w:cs="Times New Roman"/>
          <w:color w:val="auto"/>
        </w:rPr>
      </w:pPr>
      <w:r>
        <w:rPr>
          <w:rFonts w:cs="Times New Roman"/>
          <w:color w:val="auto"/>
        </w:rPr>
        <w:t>本项目是一项水环境综合治理项目，工程的实施将有助于扩大河道引水能力，改善区域的水环境。运行期主要是生态补水对河道水文情势的影响，主要表现在水位、水深、流速、流量方面。</w:t>
      </w:r>
    </w:p>
    <w:p>
      <w:pPr>
        <w:keepNext/>
        <w:keepLines/>
        <w:snapToGrid w:val="0"/>
        <w:ind w:left="480" w:leftChars="200" w:firstLine="0" w:firstLineChars="0"/>
        <w:outlineLvl w:val="2"/>
        <w:rPr>
          <w:rFonts w:eastAsia="黑体" w:cs="Times New Roman"/>
          <w:color w:val="auto"/>
        </w:rPr>
      </w:pPr>
      <w:r>
        <w:rPr>
          <w:rFonts w:eastAsia="黑体" w:cs="Times New Roman"/>
          <w:color w:val="auto"/>
        </w:rPr>
        <w:t>3.6.4污染源强分析</w:t>
      </w:r>
    </w:p>
    <w:p>
      <w:pPr>
        <w:snapToGrid w:val="0"/>
        <w:ind w:firstLine="480"/>
        <w:rPr>
          <w:rFonts w:cs="Times New Roman"/>
          <w:color w:val="auto"/>
        </w:rPr>
      </w:pPr>
      <w:r>
        <w:rPr>
          <w:rFonts w:cs="Times New Roman"/>
          <w:color w:val="auto"/>
        </w:rPr>
        <w:t>项目建成后工程本身不会产生废气、废水、固废等污染，</w:t>
      </w:r>
      <w:r>
        <w:rPr>
          <w:rFonts w:cs="Times New Roman"/>
          <w:color w:val="auto"/>
          <w:szCs w:val="22"/>
        </w:rPr>
        <w:t>项目水源涵养和水土保持工程中有生产辅道的建设，为非城市道路、非等级公路，社会车辆运输非主要功能，车流量较小，并具有不连续性，因此车辆过往产生的噪声对周边的敏感点村庄不会产生明显影响。</w:t>
      </w:r>
      <w:r>
        <w:rPr>
          <w:rFonts w:cs="Times New Roman"/>
          <w:color w:val="auto"/>
        </w:rPr>
        <w:t>本次仅对施工期污染源强进行分析。</w:t>
      </w:r>
    </w:p>
    <w:p>
      <w:pPr>
        <w:snapToGrid w:val="0"/>
        <w:ind w:firstLine="480"/>
        <w:outlineLvl w:val="3"/>
        <w:rPr>
          <w:rFonts w:cs="Times New Roman"/>
          <w:color w:val="auto"/>
        </w:rPr>
      </w:pPr>
      <w:r>
        <w:rPr>
          <w:rFonts w:cs="Times New Roman"/>
          <w:color w:val="auto"/>
        </w:rPr>
        <w:t>1</w:t>
      </w:r>
      <w:r>
        <w:rPr>
          <w:rFonts w:hint="eastAsia" w:cs="Times New Roman"/>
          <w:color w:val="auto"/>
        </w:rPr>
        <w:t>.</w:t>
      </w:r>
      <w:r>
        <w:rPr>
          <w:rFonts w:cs="Times New Roman"/>
          <w:color w:val="auto"/>
        </w:rPr>
        <w:t>废气污染源</w:t>
      </w:r>
    </w:p>
    <w:p>
      <w:pPr>
        <w:snapToGrid w:val="0"/>
        <w:ind w:firstLine="480"/>
        <w:rPr>
          <w:rFonts w:cs="Times New Roman"/>
          <w:color w:val="auto"/>
          <w:highlight w:val="green"/>
        </w:rPr>
      </w:pPr>
      <w:r>
        <w:rPr>
          <w:rFonts w:cs="Times New Roman"/>
          <w:color w:val="auto"/>
        </w:rPr>
        <w:t>施工期间废气主要为施工机械燃油废气，施工作业区开挖、填筑、构筑物建设产生的粉尘，汽车行驶过程中产生的尾气、扬尘等。</w:t>
      </w:r>
    </w:p>
    <w:p>
      <w:pPr>
        <w:snapToGrid w:val="0"/>
        <w:ind w:firstLine="480"/>
        <w:rPr>
          <w:rFonts w:cs="Times New Roman"/>
          <w:color w:val="auto"/>
        </w:rPr>
      </w:pPr>
      <w:r>
        <w:rPr>
          <w:rFonts w:cs="Times New Roman"/>
          <w:color w:val="auto"/>
        </w:rPr>
        <w:t>（1）施工作业扬尘</w:t>
      </w:r>
    </w:p>
    <w:p>
      <w:pPr>
        <w:snapToGrid w:val="0"/>
        <w:ind w:firstLine="480"/>
        <w:rPr>
          <w:rFonts w:cs="Times New Roman"/>
          <w:color w:val="auto"/>
        </w:rPr>
      </w:pPr>
      <w:r>
        <w:rPr>
          <w:rFonts w:cs="Times New Roman"/>
          <w:color w:val="auto"/>
        </w:rPr>
        <w:t>施工作业扬尘主要来源于表土剥离、土石方开挖、场地平整、物料装卸等过程。主要污染物为TSP，排放位置主要位于施工基地以及沿河道两侧施工道路，呈无组织排放形式。根据相关工程各类施工活动的调查结果，工程高峰期扬尘产生量约50～100kg/d，其起尘量与物料种类、性质及气象条件等诸多因素有关。产生扬尘的工种大多持续时间较长，在各个施工阶段均存在。通过与相似工程的施工类比，土石方开挖过程中场界最大扬尘浓度不高于938.67μg/m</w:t>
      </w:r>
      <w:r>
        <w:rPr>
          <w:rFonts w:cs="Times New Roman"/>
          <w:color w:val="auto"/>
          <w:vertAlign w:val="superscript"/>
        </w:rPr>
        <w:t>3</w:t>
      </w:r>
      <w:r>
        <w:rPr>
          <w:rFonts w:cs="Times New Roman"/>
          <w:color w:val="auto"/>
        </w:rPr>
        <w:t>、回填过程扬尘浓度不高于611.89μg/m</w:t>
      </w:r>
      <w:r>
        <w:rPr>
          <w:rFonts w:cs="Times New Roman"/>
          <w:color w:val="auto"/>
          <w:vertAlign w:val="superscript"/>
        </w:rPr>
        <w:t>3</w:t>
      </w:r>
      <w:r>
        <w:rPr>
          <w:rFonts w:cs="Times New Roman"/>
          <w:color w:val="auto"/>
        </w:rPr>
        <w:t>、一般施工过程中场界最大扬尘浓度不高于78.15μg/m</w:t>
      </w:r>
      <w:r>
        <w:rPr>
          <w:rFonts w:cs="Times New Roman"/>
          <w:color w:val="auto"/>
          <w:vertAlign w:val="superscript"/>
        </w:rPr>
        <w:t>3</w:t>
      </w:r>
      <w:r>
        <w:rPr>
          <w:rFonts w:cs="Times New Roman"/>
          <w:color w:val="auto"/>
        </w:rPr>
        <w:t>。</w:t>
      </w:r>
    </w:p>
    <w:p>
      <w:pPr>
        <w:snapToGrid w:val="0"/>
        <w:ind w:firstLine="480"/>
        <w:rPr>
          <w:rFonts w:cs="Times New Roman"/>
          <w:color w:val="auto"/>
        </w:rPr>
      </w:pPr>
      <w:r>
        <w:rPr>
          <w:rFonts w:cs="Times New Roman"/>
          <w:color w:val="auto"/>
        </w:rPr>
        <w:t>（2）堆场扬尘</w:t>
      </w:r>
    </w:p>
    <w:p>
      <w:pPr>
        <w:snapToGrid w:val="0"/>
        <w:ind w:firstLine="480"/>
        <w:rPr>
          <w:rFonts w:cs="Times New Roman"/>
          <w:color w:val="auto"/>
        </w:rPr>
      </w:pPr>
      <w:r>
        <w:rPr>
          <w:rFonts w:cs="Times New Roman"/>
          <w:color w:val="auto"/>
        </w:rPr>
        <w:t>堆场扬尘主要来自露天堆场的风力扬尘。由于施工需要，一些建筑材料需要露天堆放，一些施工作业点的表层土壤在经过人工开挖后，临时露天堆放，在气候干燥且有风的情况下，会产生大量的扬尘。扬尘量可按堆场起尘经验公式计算：</w:t>
      </w:r>
    </w:p>
    <w:p>
      <w:pPr>
        <w:kinsoku w:val="0"/>
        <w:overflowPunct w:val="0"/>
        <w:spacing w:after="120" w:line="554" w:lineRule="exact"/>
        <w:ind w:left="2880" w:firstLine="400"/>
        <w:rPr>
          <w:rFonts w:cs="Times New Roman"/>
          <w:color w:val="auto"/>
          <w:position w:val="-11"/>
          <w:sz w:val="20"/>
          <w:szCs w:val="20"/>
        </w:rPr>
      </w:pPr>
      <w:r>
        <w:rPr>
          <w:rFonts w:cs="Times New Roman"/>
          <w:color w:val="auto"/>
          <w:position w:val="-11"/>
          <w:sz w:val="20"/>
          <w:szCs w:val="20"/>
        </w:rPr>
        <w:drawing>
          <wp:inline distT="0" distB="0" distL="0" distR="0">
            <wp:extent cx="1856105" cy="353695"/>
            <wp:effectExtent l="0" t="0" r="10795"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56105" cy="353695"/>
                    </a:xfrm>
                    <a:prstGeom prst="rect">
                      <a:avLst/>
                    </a:prstGeom>
                    <a:noFill/>
                    <a:ln>
                      <a:noFill/>
                    </a:ln>
                  </pic:spPr>
                </pic:pic>
              </a:graphicData>
            </a:graphic>
          </wp:inline>
        </w:drawing>
      </w:r>
    </w:p>
    <w:p>
      <w:pPr>
        <w:snapToGrid w:val="0"/>
        <w:ind w:firstLine="480"/>
        <w:rPr>
          <w:rFonts w:cs="Times New Roman"/>
          <w:color w:val="auto"/>
        </w:rPr>
      </w:pPr>
      <w:r>
        <w:rPr>
          <w:rFonts w:cs="Times New Roman"/>
          <w:color w:val="auto"/>
        </w:rPr>
        <w:t>式中：Q为起尘量，kg/吨·年；</w:t>
      </w:r>
    </w:p>
    <w:p>
      <w:pPr>
        <w:snapToGrid w:val="0"/>
        <w:ind w:firstLine="480"/>
        <w:rPr>
          <w:rFonts w:cs="Times New Roman"/>
          <w:color w:val="auto"/>
        </w:rPr>
      </w:pPr>
      <w:r>
        <w:rPr>
          <w:rFonts w:cs="Times New Roman"/>
          <w:color w:val="auto"/>
        </w:rPr>
        <w:t>V</w:t>
      </w:r>
      <w:r>
        <w:rPr>
          <w:rFonts w:cs="Times New Roman"/>
          <w:color w:val="auto"/>
          <w:vertAlign w:val="subscript"/>
        </w:rPr>
        <w:t>50</w:t>
      </w:r>
      <w:r>
        <w:rPr>
          <w:rFonts w:cs="Times New Roman"/>
          <w:color w:val="auto"/>
        </w:rPr>
        <w:t>为距地面50m处风速，m/s；</w:t>
      </w:r>
    </w:p>
    <w:p>
      <w:pPr>
        <w:snapToGrid w:val="0"/>
        <w:ind w:firstLine="480"/>
        <w:rPr>
          <w:rFonts w:cs="Times New Roman"/>
          <w:color w:val="auto"/>
        </w:rPr>
      </w:pPr>
      <w:r>
        <w:rPr>
          <w:rFonts w:cs="Times New Roman"/>
          <w:color w:val="auto"/>
        </w:rPr>
        <w:t>V</w:t>
      </w:r>
      <w:r>
        <w:rPr>
          <w:rFonts w:cs="Times New Roman"/>
          <w:color w:val="auto"/>
          <w:vertAlign w:val="subscript"/>
        </w:rPr>
        <w:t>0</w:t>
      </w:r>
      <w:r>
        <w:rPr>
          <w:rFonts w:cs="Times New Roman"/>
          <w:color w:val="auto"/>
        </w:rPr>
        <w:t>为起尘风速，m/s；</w:t>
      </w:r>
    </w:p>
    <w:p>
      <w:pPr>
        <w:snapToGrid w:val="0"/>
        <w:ind w:firstLine="480"/>
        <w:rPr>
          <w:rFonts w:cs="Times New Roman"/>
          <w:color w:val="auto"/>
        </w:rPr>
      </w:pPr>
      <w:r>
        <w:rPr>
          <w:rFonts w:cs="Times New Roman"/>
          <w:color w:val="auto"/>
        </w:rPr>
        <w:t>W为尘粒的含水率，%。</w:t>
      </w:r>
    </w:p>
    <w:p>
      <w:pPr>
        <w:snapToGrid w:val="0"/>
        <w:ind w:firstLine="480"/>
        <w:rPr>
          <w:rFonts w:cs="Times New Roman"/>
          <w:color w:val="auto"/>
        </w:rPr>
      </w:pPr>
      <w:r>
        <w:rPr>
          <w:rFonts w:cs="Times New Roman"/>
          <w:color w:val="auto"/>
        </w:rPr>
        <w:t>起尘风速与粒径和含水率有关，因此，减少露天堆放和保证一定含水率及减少裸露地面是减少风力起尘的有效手段。粉尘在空气中扩散稀释与风速等气象条件有关，也与粉尘本身沉降速度有关。不同粒径粉尘沉降速度见表3.6-2。</w:t>
      </w:r>
    </w:p>
    <w:p>
      <w:pPr>
        <w:snapToGrid w:val="0"/>
        <w:spacing w:line="240" w:lineRule="auto"/>
        <w:ind w:firstLine="0" w:firstLineChars="0"/>
        <w:jc w:val="center"/>
        <w:rPr>
          <w:rFonts w:cs="Times New Roman"/>
          <w:b/>
          <w:color w:val="auto"/>
        </w:rPr>
      </w:pPr>
      <w:r>
        <w:rPr>
          <w:rFonts w:cs="Times New Roman"/>
          <w:b/>
          <w:color w:val="auto"/>
        </w:rPr>
        <w:t>表3.6-2  不同粒径尘粒的沉降速度</w:t>
      </w:r>
    </w:p>
    <w:tbl>
      <w:tblPr>
        <w:tblStyle w:val="42"/>
        <w:tblW w:w="9359" w:type="dxa"/>
        <w:tblInd w:w="102" w:type="dxa"/>
        <w:tblLayout w:type="fixed"/>
        <w:tblCellMar>
          <w:top w:w="0" w:type="dxa"/>
          <w:left w:w="0" w:type="dxa"/>
          <w:bottom w:w="0" w:type="dxa"/>
          <w:right w:w="0" w:type="dxa"/>
        </w:tblCellMar>
      </w:tblPr>
      <w:tblGrid>
        <w:gridCol w:w="1550"/>
        <w:gridCol w:w="1285"/>
        <w:gridCol w:w="1140"/>
        <w:gridCol w:w="1142"/>
        <w:gridCol w:w="922"/>
        <w:gridCol w:w="1107"/>
        <w:gridCol w:w="1106"/>
        <w:gridCol w:w="1107"/>
      </w:tblGrid>
      <w:tr>
        <w:tblPrEx>
          <w:tblCellMar>
            <w:top w:w="0" w:type="dxa"/>
            <w:left w:w="0" w:type="dxa"/>
            <w:bottom w:w="0" w:type="dxa"/>
            <w:right w:w="0" w:type="dxa"/>
          </w:tblCellMar>
        </w:tblPrEx>
        <w:trPr>
          <w:trHeight w:val="315" w:hRule="exact"/>
        </w:trPr>
        <w:tc>
          <w:tcPr>
            <w:tcW w:w="1550" w:type="dxa"/>
            <w:tcBorders>
              <w:top w:val="single" w:color="000000" w:sz="10" w:space="0"/>
              <w:left w:val="nil"/>
              <w:bottom w:val="single" w:color="000000" w:sz="2"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粉尘粒径μm</w:t>
            </w:r>
          </w:p>
        </w:tc>
        <w:tc>
          <w:tcPr>
            <w:tcW w:w="1285" w:type="dxa"/>
            <w:tcBorders>
              <w:top w:val="single" w:color="000000" w:sz="10" w:space="0"/>
              <w:left w:val="single" w:color="000000" w:sz="4" w:space="0"/>
              <w:bottom w:val="single" w:color="000000" w:sz="2"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10</w:t>
            </w:r>
          </w:p>
        </w:tc>
        <w:tc>
          <w:tcPr>
            <w:tcW w:w="1140" w:type="dxa"/>
            <w:tcBorders>
              <w:top w:val="single" w:color="000000" w:sz="10" w:space="0"/>
              <w:left w:val="single" w:color="000000" w:sz="4" w:space="0"/>
              <w:bottom w:val="single" w:color="000000" w:sz="2"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20</w:t>
            </w:r>
          </w:p>
        </w:tc>
        <w:tc>
          <w:tcPr>
            <w:tcW w:w="1142" w:type="dxa"/>
            <w:tcBorders>
              <w:top w:val="single" w:color="000000" w:sz="10" w:space="0"/>
              <w:left w:val="single" w:color="000000" w:sz="4" w:space="0"/>
              <w:bottom w:val="single" w:color="000000" w:sz="2"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30</w:t>
            </w:r>
          </w:p>
        </w:tc>
        <w:tc>
          <w:tcPr>
            <w:tcW w:w="922" w:type="dxa"/>
            <w:tcBorders>
              <w:top w:val="single" w:color="000000" w:sz="10" w:space="0"/>
              <w:left w:val="single" w:color="000000" w:sz="4" w:space="0"/>
              <w:bottom w:val="single" w:color="000000" w:sz="2" w:space="0"/>
              <w:right w:val="single" w:color="000000" w:sz="2"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40</w:t>
            </w:r>
          </w:p>
        </w:tc>
        <w:tc>
          <w:tcPr>
            <w:tcW w:w="1107" w:type="dxa"/>
            <w:tcBorders>
              <w:top w:val="single" w:color="000000" w:sz="10" w:space="0"/>
              <w:left w:val="single" w:color="000000" w:sz="2" w:space="0"/>
              <w:bottom w:val="single" w:color="000000" w:sz="2"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50</w:t>
            </w:r>
          </w:p>
        </w:tc>
        <w:tc>
          <w:tcPr>
            <w:tcW w:w="1106" w:type="dxa"/>
            <w:tcBorders>
              <w:top w:val="single" w:color="000000" w:sz="10" w:space="0"/>
              <w:left w:val="single" w:color="000000" w:sz="4" w:space="0"/>
              <w:bottom w:val="single" w:color="000000" w:sz="2"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60</w:t>
            </w:r>
          </w:p>
        </w:tc>
        <w:tc>
          <w:tcPr>
            <w:tcW w:w="1107" w:type="dxa"/>
            <w:tcBorders>
              <w:top w:val="single" w:color="000000" w:sz="10" w:space="0"/>
              <w:left w:val="single" w:color="000000" w:sz="4" w:space="0"/>
              <w:bottom w:val="single" w:color="000000" w:sz="2" w:space="0"/>
              <w:right w:val="nil"/>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70</w:t>
            </w:r>
          </w:p>
        </w:tc>
      </w:tr>
      <w:tr>
        <w:tblPrEx>
          <w:tblCellMar>
            <w:top w:w="0" w:type="dxa"/>
            <w:left w:w="0" w:type="dxa"/>
            <w:bottom w:w="0" w:type="dxa"/>
            <w:right w:w="0" w:type="dxa"/>
          </w:tblCellMar>
        </w:tblPrEx>
        <w:trPr>
          <w:trHeight w:val="307" w:hRule="exact"/>
        </w:trPr>
        <w:tc>
          <w:tcPr>
            <w:tcW w:w="1550" w:type="dxa"/>
            <w:tcBorders>
              <w:top w:val="single" w:color="000000" w:sz="2" w:space="0"/>
              <w:left w:val="nil"/>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沉降速度</w:t>
            </w:r>
            <w:r>
              <w:rPr>
                <w:rFonts w:cs="Times New Roman"/>
                <w:color w:val="auto"/>
                <w:spacing w:val="-50"/>
                <w:sz w:val="21"/>
                <w:szCs w:val="21"/>
              </w:rPr>
              <w:t xml:space="preserve"> </w:t>
            </w:r>
            <w:r>
              <w:rPr>
                <w:rFonts w:cs="Times New Roman"/>
                <w:color w:val="auto"/>
                <w:spacing w:val="-2"/>
                <w:sz w:val="21"/>
                <w:szCs w:val="21"/>
              </w:rPr>
              <w:t>m/s</w:t>
            </w:r>
          </w:p>
        </w:tc>
        <w:tc>
          <w:tcPr>
            <w:tcW w:w="1285" w:type="dxa"/>
            <w:tcBorders>
              <w:top w:val="single" w:color="000000" w:sz="2"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0.003</w:t>
            </w:r>
          </w:p>
        </w:tc>
        <w:tc>
          <w:tcPr>
            <w:tcW w:w="1140" w:type="dxa"/>
            <w:tcBorders>
              <w:top w:val="single" w:color="000000" w:sz="2"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0.012</w:t>
            </w:r>
          </w:p>
        </w:tc>
        <w:tc>
          <w:tcPr>
            <w:tcW w:w="1142" w:type="dxa"/>
            <w:tcBorders>
              <w:top w:val="single" w:color="000000" w:sz="2"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0.027</w:t>
            </w:r>
          </w:p>
        </w:tc>
        <w:tc>
          <w:tcPr>
            <w:tcW w:w="922" w:type="dxa"/>
            <w:tcBorders>
              <w:top w:val="single" w:color="000000" w:sz="2" w:space="0"/>
              <w:left w:val="single" w:color="000000" w:sz="4" w:space="0"/>
              <w:bottom w:val="single" w:color="000000" w:sz="4" w:space="0"/>
              <w:right w:val="single" w:color="000000" w:sz="2"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0.048</w:t>
            </w:r>
          </w:p>
        </w:tc>
        <w:tc>
          <w:tcPr>
            <w:tcW w:w="1107" w:type="dxa"/>
            <w:tcBorders>
              <w:top w:val="single" w:color="000000" w:sz="2" w:space="0"/>
              <w:left w:val="single" w:color="000000" w:sz="2"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0.075</w:t>
            </w:r>
          </w:p>
        </w:tc>
        <w:tc>
          <w:tcPr>
            <w:tcW w:w="1106" w:type="dxa"/>
            <w:tcBorders>
              <w:top w:val="single" w:color="000000" w:sz="2"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0.108</w:t>
            </w:r>
          </w:p>
        </w:tc>
        <w:tc>
          <w:tcPr>
            <w:tcW w:w="1107" w:type="dxa"/>
            <w:tcBorders>
              <w:top w:val="single" w:color="000000" w:sz="2" w:space="0"/>
              <w:left w:val="single" w:color="000000" w:sz="4" w:space="0"/>
              <w:bottom w:val="single" w:color="000000" w:sz="4" w:space="0"/>
              <w:right w:val="nil"/>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0.147</w:t>
            </w:r>
          </w:p>
        </w:tc>
      </w:tr>
      <w:tr>
        <w:tblPrEx>
          <w:tblCellMar>
            <w:top w:w="0" w:type="dxa"/>
            <w:left w:w="0" w:type="dxa"/>
            <w:bottom w:w="0" w:type="dxa"/>
            <w:right w:w="0" w:type="dxa"/>
          </w:tblCellMar>
        </w:tblPrEx>
        <w:trPr>
          <w:trHeight w:val="311" w:hRule="exact"/>
        </w:trPr>
        <w:tc>
          <w:tcPr>
            <w:tcW w:w="1550" w:type="dxa"/>
            <w:tcBorders>
              <w:top w:val="single" w:color="000000" w:sz="4" w:space="0"/>
              <w:left w:val="nil"/>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粉尘粒径μm</w:t>
            </w:r>
          </w:p>
        </w:tc>
        <w:tc>
          <w:tcPr>
            <w:tcW w:w="1285"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80</w:t>
            </w:r>
          </w:p>
        </w:tc>
        <w:tc>
          <w:tcPr>
            <w:tcW w:w="1140"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90</w:t>
            </w:r>
          </w:p>
        </w:tc>
        <w:tc>
          <w:tcPr>
            <w:tcW w:w="1142"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100</w:t>
            </w:r>
          </w:p>
        </w:tc>
        <w:tc>
          <w:tcPr>
            <w:tcW w:w="922" w:type="dxa"/>
            <w:tcBorders>
              <w:top w:val="single" w:color="000000" w:sz="4" w:space="0"/>
              <w:left w:val="single" w:color="000000" w:sz="4" w:space="0"/>
              <w:bottom w:val="single" w:color="000000" w:sz="4" w:space="0"/>
              <w:right w:val="single" w:color="000000" w:sz="2"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150</w:t>
            </w:r>
          </w:p>
        </w:tc>
        <w:tc>
          <w:tcPr>
            <w:tcW w:w="1107" w:type="dxa"/>
            <w:tcBorders>
              <w:top w:val="single" w:color="000000" w:sz="4" w:space="0"/>
              <w:left w:val="single" w:color="000000" w:sz="2"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200</w:t>
            </w:r>
          </w:p>
        </w:tc>
        <w:tc>
          <w:tcPr>
            <w:tcW w:w="1106"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250</w:t>
            </w:r>
          </w:p>
        </w:tc>
        <w:tc>
          <w:tcPr>
            <w:tcW w:w="1107" w:type="dxa"/>
            <w:tcBorders>
              <w:top w:val="single" w:color="000000" w:sz="4" w:space="0"/>
              <w:left w:val="single" w:color="000000" w:sz="4" w:space="0"/>
              <w:bottom w:val="single" w:color="000000" w:sz="4" w:space="0"/>
              <w:right w:val="nil"/>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350</w:t>
            </w:r>
          </w:p>
        </w:tc>
      </w:tr>
      <w:tr>
        <w:tblPrEx>
          <w:tblCellMar>
            <w:top w:w="0" w:type="dxa"/>
            <w:left w:w="0" w:type="dxa"/>
            <w:bottom w:w="0" w:type="dxa"/>
            <w:right w:w="0" w:type="dxa"/>
          </w:tblCellMar>
        </w:tblPrEx>
        <w:trPr>
          <w:trHeight w:val="314" w:hRule="exact"/>
        </w:trPr>
        <w:tc>
          <w:tcPr>
            <w:tcW w:w="1550" w:type="dxa"/>
            <w:tcBorders>
              <w:top w:val="single" w:color="000000" w:sz="4" w:space="0"/>
              <w:left w:val="nil"/>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沉降速度</w:t>
            </w:r>
            <w:r>
              <w:rPr>
                <w:rFonts w:cs="Times New Roman"/>
                <w:color w:val="auto"/>
                <w:spacing w:val="-50"/>
                <w:sz w:val="21"/>
                <w:szCs w:val="21"/>
              </w:rPr>
              <w:t xml:space="preserve"> </w:t>
            </w:r>
            <w:r>
              <w:rPr>
                <w:rFonts w:cs="Times New Roman"/>
                <w:color w:val="auto"/>
                <w:spacing w:val="-2"/>
                <w:sz w:val="21"/>
                <w:szCs w:val="21"/>
              </w:rPr>
              <w:t>m/s</w:t>
            </w:r>
          </w:p>
        </w:tc>
        <w:tc>
          <w:tcPr>
            <w:tcW w:w="1285"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0.158</w:t>
            </w:r>
          </w:p>
        </w:tc>
        <w:tc>
          <w:tcPr>
            <w:tcW w:w="1140"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0.170</w:t>
            </w:r>
          </w:p>
        </w:tc>
        <w:tc>
          <w:tcPr>
            <w:tcW w:w="1142"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0.182</w:t>
            </w:r>
          </w:p>
        </w:tc>
        <w:tc>
          <w:tcPr>
            <w:tcW w:w="922" w:type="dxa"/>
            <w:tcBorders>
              <w:top w:val="single" w:color="000000" w:sz="4" w:space="0"/>
              <w:left w:val="single" w:color="000000" w:sz="4" w:space="0"/>
              <w:bottom w:val="single" w:color="000000" w:sz="4" w:space="0"/>
              <w:right w:val="single" w:color="000000" w:sz="2"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0.239</w:t>
            </w:r>
          </w:p>
        </w:tc>
        <w:tc>
          <w:tcPr>
            <w:tcW w:w="1107" w:type="dxa"/>
            <w:tcBorders>
              <w:top w:val="single" w:color="000000" w:sz="4" w:space="0"/>
              <w:left w:val="single" w:color="000000" w:sz="2"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0.804</w:t>
            </w:r>
          </w:p>
        </w:tc>
        <w:tc>
          <w:tcPr>
            <w:tcW w:w="1106"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1.05</w:t>
            </w:r>
          </w:p>
        </w:tc>
        <w:tc>
          <w:tcPr>
            <w:tcW w:w="1107" w:type="dxa"/>
            <w:tcBorders>
              <w:top w:val="single" w:color="000000" w:sz="4" w:space="0"/>
              <w:left w:val="single" w:color="000000" w:sz="4" w:space="0"/>
              <w:bottom w:val="single" w:color="000000" w:sz="4" w:space="0"/>
              <w:right w:val="nil"/>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1.829</w:t>
            </w:r>
          </w:p>
        </w:tc>
      </w:tr>
      <w:tr>
        <w:tblPrEx>
          <w:tblCellMar>
            <w:top w:w="0" w:type="dxa"/>
            <w:left w:w="0" w:type="dxa"/>
            <w:bottom w:w="0" w:type="dxa"/>
            <w:right w:w="0" w:type="dxa"/>
          </w:tblCellMar>
        </w:tblPrEx>
        <w:trPr>
          <w:trHeight w:val="313" w:hRule="exact"/>
        </w:trPr>
        <w:tc>
          <w:tcPr>
            <w:tcW w:w="1550" w:type="dxa"/>
            <w:tcBorders>
              <w:top w:val="single" w:color="000000" w:sz="4" w:space="0"/>
              <w:left w:val="nil"/>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粉尘粒径μm</w:t>
            </w:r>
          </w:p>
        </w:tc>
        <w:tc>
          <w:tcPr>
            <w:tcW w:w="1285"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450</w:t>
            </w:r>
          </w:p>
        </w:tc>
        <w:tc>
          <w:tcPr>
            <w:tcW w:w="1140"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550</w:t>
            </w:r>
          </w:p>
        </w:tc>
        <w:tc>
          <w:tcPr>
            <w:tcW w:w="1142"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650</w:t>
            </w:r>
          </w:p>
        </w:tc>
        <w:tc>
          <w:tcPr>
            <w:tcW w:w="922" w:type="dxa"/>
            <w:tcBorders>
              <w:top w:val="single" w:color="000000" w:sz="4" w:space="0"/>
              <w:left w:val="single" w:color="000000" w:sz="4" w:space="0"/>
              <w:bottom w:val="single" w:color="000000" w:sz="4" w:space="0"/>
              <w:right w:val="single" w:color="000000" w:sz="2"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750</w:t>
            </w:r>
          </w:p>
        </w:tc>
        <w:tc>
          <w:tcPr>
            <w:tcW w:w="1107" w:type="dxa"/>
            <w:tcBorders>
              <w:top w:val="single" w:color="000000" w:sz="4" w:space="0"/>
              <w:left w:val="single" w:color="000000" w:sz="2"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850</w:t>
            </w:r>
          </w:p>
        </w:tc>
        <w:tc>
          <w:tcPr>
            <w:tcW w:w="1106"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950</w:t>
            </w:r>
          </w:p>
        </w:tc>
        <w:tc>
          <w:tcPr>
            <w:tcW w:w="1107" w:type="dxa"/>
            <w:tcBorders>
              <w:top w:val="single" w:color="000000" w:sz="4" w:space="0"/>
              <w:left w:val="single" w:color="000000" w:sz="4" w:space="0"/>
              <w:bottom w:val="single" w:color="000000" w:sz="4" w:space="0"/>
              <w:right w:val="nil"/>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1050</w:t>
            </w:r>
          </w:p>
        </w:tc>
      </w:tr>
      <w:tr>
        <w:tblPrEx>
          <w:tblCellMar>
            <w:top w:w="0" w:type="dxa"/>
            <w:left w:w="0" w:type="dxa"/>
            <w:bottom w:w="0" w:type="dxa"/>
            <w:right w:w="0" w:type="dxa"/>
          </w:tblCellMar>
        </w:tblPrEx>
        <w:trPr>
          <w:trHeight w:val="320" w:hRule="exact"/>
        </w:trPr>
        <w:tc>
          <w:tcPr>
            <w:tcW w:w="1550" w:type="dxa"/>
            <w:tcBorders>
              <w:top w:val="single" w:color="000000" w:sz="4" w:space="0"/>
              <w:left w:val="nil"/>
              <w:bottom w:val="single" w:color="000000" w:sz="10"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沉降速度</w:t>
            </w:r>
            <w:r>
              <w:rPr>
                <w:rFonts w:cs="Times New Roman"/>
                <w:color w:val="auto"/>
                <w:spacing w:val="-50"/>
                <w:sz w:val="21"/>
                <w:szCs w:val="21"/>
              </w:rPr>
              <w:t xml:space="preserve"> </w:t>
            </w:r>
            <w:r>
              <w:rPr>
                <w:rFonts w:cs="Times New Roman"/>
                <w:color w:val="auto"/>
                <w:spacing w:val="-2"/>
                <w:sz w:val="21"/>
                <w:szCs w:val="21"/>
              </w:rPr>
              <w:t>m/s</w:t>
            </w:r>
          </w:p>
        </w:tc>
        <w:tc>
          <w:tcPr>
            <w:tcW w:w="1285" w:type="dxa"/>
            <w:tcBorders>
              <w:top w:val="single" w:color="000000" w:sz="4" w:space="0"/>
              <w:left w:val="single" w:color="000000" w:sz="4" w:space="0"/>
              <w:bottom w:val="single" w:color="000000" w:sz="10"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2.211</w:t>
            </w:r>
          </w:p>
        </w:tc>
        <w:tc>
          <w:tcPr>
            <w:tcW w:w="1140" w:type="dxa"/>
            <w:tcBorders>
              <w:top w:val="single" w:color="000000" w:sz="4" w:space="0"/>
              <w:left w:val="single" w:color="000000" w:sz="4" w:space="0"/>
              <w:bottom w:val="single" w:color="000000" w:sz="10"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2.614</w:t>
            </w:r>
          </w:p>
        </w:tc>
        <w:tc>
          <w:tcPr>
            <w:tcW w:w="1142" w:type="dxa"/>
            <w:tcBorders>
              <w:top w:val="single" w:color="000000" w:sz="4" w:space="0"/>
              <w:left w:val="single" w:color="000000" w:sz="4" w:space="0"/>
              <w:bottom w:val="single" w:color="000000" w:sz="10"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3.016</w:t>
            </w:r>
          </w:p>
        </w:tc>
        <w:tc>
          <w:tcPr>
            <w:tcW w:w="922" w:type="dxa"/>
            <w:tcBorders>
              <w:top w:val="single" w:color="000000" w:sz="4" w:space="0"/>
              <w:left w:val="single" w:color="000000" w:sz="4" w:space="0"/>
              <w:bottom w:val="single" w:color="000000" w:sz="10" w:space="0"/>
              <w:right w:val="single" w:color="000000" w:sz="2"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3.418</w:t>
            </w:r>
          </w:p>
        </w:tc>
        <w:tc>
          <w:tcPr>
            <w:tcW w:w="1107" w:type="dxa"/>
            <w:tcBorders>
              <w:top w:val="single" w:color="000000" w:sz="4" w:space="0"/>
              <w:left w:val="single" w:color="000000" w:sz="2" w:space="0"/>
              <w:bottom w:val="single" w:color="000000" w:sz="10"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3.820</w:t>
            </w:r>
          </w:p>
        </w:tc>
        <w:tc>
          <w:tcPr>
            <w:tcW w:w="1106" w:type="dxa"/>
            <w:tcBorders>
              <w:top w:val="single" w:color="000000" w:sz="4" w:space="0"/>
              <w:left w:val="single" w:color="000000" w:sz="4" w:space="0"/>
              <w:bottom w:val="single" w:color="000000" w:sz="10" w:space="0"/>
              <w:right w:val="single" w:color="000000" w:sz="4" w:space="0"/>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4.222</w:t>
            </w:r>
          </w:p>
        </w:tc>
        <w:tc>
          <w:tcPr>
            <w:tcW w:w="1107" w:type="dxa"/>
            <w:tcBorders>
              <w:top w:val="single" w:color="000000" w:sz="4" w:space="0"/>
              <w:left w:val="single" w:color="000000" w:sz="4" w:space="0"/>
              <w:bottom w:val="single" w:color="000000" w:sz="10" w:space="0"/>
              <w:right w:val="nil"/>
            </w:tcBorders>
          </w:tcPr>
          <w:p>
            <w:pPr>
              <w:kinsoku w:val="0"/>
              <w:overflowPunct w:val="0"/>
              <w:adjustRightInd w:val="0"/>
              <w:snapToGrid w:val="0"/>
              <w:spacing w:line="240" w:lineRule="auto"/>
              <w:ind w:firstLine="0" w:firstLineChars="0"/>
              <w:jc w:val="center"/>
              <w:rPr>
                <w:rFonts w:cs="Times New Roman"/>
                <w:color w:val="auto"/>
              </w:rPr>
            </w:pPr>
            <w:r>
              <w:rPr>
                <w:rFonts w:cs="Times New Roman"/>
                <w:color w:val="auto"/>
                <w:sz w:val="21"/>
                <w:szCs w:val="21"/>
              </w:rPr>
              <w:t>4.624</w:t>
            </w:r>
          </w:p>
        </w:tc>
      </w:tr>
    </w:tbl>
    <w:p>
      <w:pPr>
        <w:snapToGrid w:val="0"/>
        <w:ind w:firstLine="480"/>
        <w:rPr>
          <w:rFonts w:cs="Times New Roman"/>
          <w:color w:val="auto"/>
        </w:rPr>
      </w:pPr>
      <w:r>
        <w:rPr>
          <w:rFonts w:cs="Times New Roman"/>
          <w:color w:val="auto"/>
        </w:rPr>
        <w:t>由上表可知，粉尘沉降速度随粒径增大而迅速增大。当粒径为250m时，沉降速度为1.05m/s，因此可以认为当尘粒大于250m时，主要影响范围在扬尘点下风向近距离范围内，而真正对外环境产生影响是一些微小粒径的粉尘。</w:t>
      </w:r>
    </w:p>
    <w:p>
      <w:pPr>
        <w:snapToGrid w:val="0"/>
        <w:ind w:firstLine="480"/>
        <w:rPr>
          <w:rFonts w:cs="Times New Roman"/>
          <w:color w:val="auto"/>
        </w:rPr>
      </w:pPr>
      <w:r>
        <w:rPr>
          <w:rFonts w:cs="Times New Roman"/>
          <w:color w:val="auto"/>
        </w:rPr>
        <w:t>（3）施工场地粉尘</w:t>
      </w:r>
    </w:p>
    <w:p>
      <w:pPr>
        <w:snapToGrid w:val="0"/>
        <w:ind w:firstLine="480"/>
        <w:rPr>
          <w:rFonts w:cs="Times New Roman"/>
          <w:color w:val="auto"/>
        </w:rPr>
      </w:pPr>
      <w:r>
        <w:rPr>
          <w:rFonts w:cs="Times New Roman"/>
          <w:color w:val="auto"/>
        </w:rPr>
        <w:t>项目施工场地设置混凝土拌和系统、砂浆拌和系统和石料加工系统，在混凝土、砂浆拌和石料人工分解破碎及物料堆放过程中会产生粉尘。根据典型施工现场及周边的粉尘监测（表3.6-3）</w:t>
      </w:r>
      <w:r>
        <w:rPr>
          <w:rFonts w:hint="eastAsia" w:cs="Times New Roman"/>
          <w:color w:val="auto"/>
        </w:rPr>
        <w:t>。</w:t>
      </w:r>
    </w:p>
    <w:p>
      <w:pPr>
        <w:snapToGrid w:val="0"/>
        <w:spacing w:line="240" w:lineRule="auto"/>
        <w:ind w:firstLine="0" w:firstLineChars="0"/>
        <w:jc w:val="center"/>
        <w:rPr>
          <w:rFonts w:cs="Times New Roman"/>
          <w:b/>
          <w:color w:val="auto"/>
        </w:rPr>
      </w:pPr>
      <w:r>
        <w:rPr>
          <w:rFonts w:cs="Times New Roman"/>
          <w:b/>
          <w:color w:val="auto"/>
        </w:rPr>
        <w:t>表3.6-3   施工场地空气中TSP浓度（mg/m</w:t>
      </w:r>
      <w:r>
        <w:rPr>
          <w:rFonts w:cs="Times New Roman"/>
          <w:b/>
          <w:color w:val="auto"/>
          <w:vertAlign w:val="superscript"/>
        </w:rPr>
        <w:t>3</w:t>
      </w:r>
      <w:r>
        <w:rPr>
          <w:rFonts w:cs="Times New Roman"/>
          <w:b/>
          <w:color w:val="auto"/>
        </w:rPr>
        <w:t>）变化表</w:t>
      </w:r>
    </w:p>
    <w:tbl>
      <w:tblPr>
        <w:tblStyle w:val="42"/>
        <w:tblW w:w="9251" w:type="dxa"/>
        <w:jc w:val="center"/>
        <w:tblLayout w:type="fixed"/>
        <w:tblCellMar>
          <w:top w:w="0" w:type="dxa"/>
          <w:left w:w="0" w:type="dxa"/>
          <w:bottom w:w="0" w:type="dxa"/>
          <w:right w:w="0" w:type="dxa"/>
        </w:tblCellMar>
      </w:tblPr>
      <w:tblGrid>
        <w:gridCol w:w="1110"/>
        <w:gridCol w:w="3101"/>
        <w:gridCol w:w="3061"/>
        <w:gridCol w:w="1979"/>
      </w:tblGrid>
      <w:tr>
        <w:tblPrEx>
          <w:tblCellMar>
            <w:top w:w="0" w:type="dxa"/>
            <w:left w:w="0" w:type="dxa"/>
            <w:bottom w:w="0" w:type="dxa"/>
            <w:right w:w="0" w:type="dxa"/>
          </w:tblCellMar>
        </w:tblPrEx>
        <w:trPr>
          <w:trHeight w:val="355" w:hRule="exact"/>
          <w:jc w:val="center"/>
        </w:trPr>
        <w:tc>
          <w:tcPr>
            <w:tcW w:w="1110" w:type="dxa"/>
            <w:tcBorders>
              <w:top w:val="single" w:color="000000" w:sz="10" w:space="0"/>
              <w:left w:val="nil"/>
              <w:bottom w:val="single" w:color="000000" w:sz="10" w:space="0"/>
              <w:right w:val="single" w:color="000000" w:sz="4"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序号</w:t>
            </w:r>
          </w:p>
        </w:tc>
        <w:tc>
          <w:tcPr>
            <w:tcW w:w="3101" w:type="dxa"/>
            <w:tcBorders>
              <w:top w:val="single" w:color="000000" w:sz="10" w:space="0"/>
              <w:left w:val="single" w:color="000000" w:sz="4" w:space="0"/>
              <w:bottom w:val="single" w:color="000000" w:sz="10" w:space="0"/>
              <w:right w:val="single" w:color="000000" w:sz="4"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距离</w:t>
            </w:r>
          </w:p>
        </w:tc>
        <w:tc>
          <w:tcPr>
            <w:tcW w:w="3061" w:type="dxa"/>
            <w:tcBorders>
              <w:top w:val="single" w:color="000000" w:sz="10" w:space="0"/>
              <w:left w:val="single" w:color="000000" w:sz="4" w:space="0"/>
              <w:bottom w:val="single" w:color="000000" w:sz="10" w:space="0"/>
              <w:right w:val="single" w:color="000000" w:sz="4"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浓度范围</w:t>
            </w:r>
          </w:p>
        </w:tc>
        <w:tc>
          <w:tcPr>
            <w:tcW w:w="1979" w:type="dxa"/>
            <w:tcBorders>
              <w:top w:val="single" w:color="000000" w:sz="10" w:space="0"/>
              <w:left w:val="single" w:color="000000" w:sz="4" w:space="0"/>
              <w:bottom w:val="single" w:color="000000" w:sz="10" w:space="0"/>
              <w:right w:val="nil"/>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浓度均值</w:t>
            </w:r>
          </w:p>
        </w:tc>
      </w:tr>
      <w:tr>
        <w:tblPrEx>
          <w:tblCellMar>
            <w:top w:w="0" w:type="dxa"/>
            <w:left w:w="0" w:type="dxa"/>
            <w:bottom w:w="0" w:type="dxa"/>
            <w:right w:w="0" w:type="dxa"/>
          </w:tblCellMar>
        </w:tblPrEx>
        <w:trPr>
          <w:trHeight w:val="344" w:hRule="exact"/>
          <w:jc w:val="center"/>
        </w:trPr>
        <w:tc>
          <w:tcPr>
            <w:tcW w:w="1110" w:type="dxa"/>
            <w:tcBorders>
              <w:top w:val="single" w:color="000000" w:sz="10" w:space="0"/>
              <w:left w:val="nil"/>
              <w:bottom w:val="single" w:color="000000" w:sz="4" w:space="0"/>
              <w:right w:val="single" w:color="000000" w:sz="4"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1</w:t>
            </w:r>
          </w:p>
        </w:tc>
        <w:tc>
          <w:tcPr>
            <w:tcW w:w="3101" w:type="dxa"/>
            <w:tcBorders>
              <w:top w:val="single" w:color="000000" w:sz="10"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场界</w:t>
            </w:r>
          </w:p>
        </w:tc>
        <w:tc>
          <w:tcPr>
            <w:tcW w:w="3061" w:type="dxa"/>
            <w:tcBorders>
              <w:top w:val="single" w:color="000000" w:sz="10"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1.259~2.308</w:t>
            </w:r>
          </w:p>
        </w:tc>
        <w:tc>
          <w:tcPr>
            <w:tcW w:w="1979" w:type="dxa"/>
            <w:tcBorders>
              <w:top w:val="single" w:color="000000" w:sz="10" w:space="0"/>
              <w:left w:val="single" w:color="000000" w:sz="4" w:space="0"/>
              <w:bottom w:val="single" w:color="000000" w:sz="4" w:space="0"/>
              <w:right w:val="nil"/>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1.784</w:t>
            </w:r>
          </w:p>
        </w:tc>
      </w:tr>
      <w:tr>
        <w:tblPrEx>
          <w:tblCellMar>
            <w:top w:w="0" w:type="dxa"/>
            <w:left w:w="0" w:type="dxa"/>
            <w:bottom w:w="0" w:type="dxa"/>
            <w:right w:w="0" w:type="dxa"/>
          </w:tblCellMar>
        </w:tblPrEx>
        <w:trPr>
          <w:trHeight w:val="329" w:hRule="exact"/>
          <w:jc w:val="center"/>
        </w:trPr>
        <w:tc>
          <w:tcPr>
            <w:tcW w:w="1110" w:type="dxa"/>
            <w:tcBorders>
              <w:top w:val="single" w:color="000000" w:sz="4" w:space="0"/>
              <w:left w:val="nil"/>
              <w:bottom w:val="single" w:color="000000" w:sz="4" w:space="0"/>
              <w:right w:val="single" w:color="000000" w:sz="4"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2</w:t>
            </w:r>
          </w:p>
        </w:tc>
        <w:tc>
          <w:tcPr>
            <w:tcW w:w="3101"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场界下风向10m</w:t>
            </w:r>
          </w:p>
        </w:tc>
        <w:tc>
          <w:tcPr>
            <w:tcW w:w="3061"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1.456~2.044</w:t>
            </w:r>
          </w:p>
        </w:tc>
        <w:tc>
          <w:tcPr>
            <w:tcW w:w="1979" w:type="dxa"/>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1.750</w:t>
            </w:r>
          </w:p>
        </w:tc>
      </w:tr>
      <w:tr>
        <w:tblPrEx>
          <w:tblCellMar>
            <w:top w:w="0" w:type="dxa"/>
            <w:left w:w="0" w:type="dxa"/>
            <w:bottom w:w="0" w:type="dxa"/>
            <w:right w:w="0" w:type="dxa"/>
          </w:tblCellMar>
        </w:tblPrEx>
        <w:trPr>
          <w:trHeight w:val="344" w:hRule="exact"/>
          <w:jc w:val="center"/>
        </w:trPr>
        <w:tc>
          <w:tcPr>
            <w:tcW w:w="1110" w:type="dxa"/>
            <w:tcBorders>
              <w:top w:val="single" w:color="000000" w:sz="4" w:space="0"/>
              <w:left w:val="nil"/>
              <w:bottom w:val="single" w:color="000000" w:sz="10" w:space="0"/>
              <w:right w:val="single" w:color="000000" w:sz="4"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3</w:t>
            </w:r>
          </w:p>
        </w:tc>
        <w:tc>
          <w:tcPr>
            <w:tcW w:w="3101" w:type="dxa"/>
            <w:tcBorders>
              <w:top w:val="single" w:color="000000" w:sz="4" w:space="0"/>
              <w:left w:val="single" w:color="000000" w:sz="4" w:space="0"/>
              <w:bottom w:val="single" w:color="000000" w:sz="10" w:space="0"/>
              <w:right w:val="single" w:color="000000" w:sz="4"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场界下风向30m</w:t>
            </w:r>
          </w:p>
        </w:tc>
        <w:tc>
          <w:tcPr>
            <w:tcW w:w="3061" w:type="dxa"/>
            <w:tcBorders>
              <w:top w:val="single" w:color="000000" w:sz="4" w:space="0"/>
              <w:left w:val="single" w:color="000000" w:sz="4" w:space="0"/>
              <w:bottom w:val="single" w:color="000000" w:sz="10" w:space="0"/>
              <w:right w:val="single" w:color="000000" w:sz="4"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0.544~0.670</w:t>
            </w:r>
          </w:p>
        </w:tc>
        <w:tc>
          <w:tcPr>
            <w:tcW w:w="1979" w:type="dxa"/>
            <w:tcBorders>
              <w:top w:val="single" w:color="000000" w:sz="4" w:space="0"/>
              <w:left w:val="single" w:color="000000" w:sz="4" w:space="0"/>
              <w:bottom w:val="single" w:color="000000" w:sz="10" w:space="0"/>
              <w:right w:val="nil"/>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0.607</w:t>
            </w:r>
          </w:p>
        </w:tc>
      </w:tr>
    </w:tbl>
    <w:p>
      <w:pPr>
        <w:snapToGrid w:val="0"/>
        <w:ind w:firstLine="480"/>
        <w:rPr>
          <w:rFonts w:cs="Times New Roman"/>
          <w:color w:val="auto"/>
        </w:rPr>
      </w:pPr>
      <w:r>
        <w:rPr>
          <w:rFonts w:cs="Times New Roman"/>
          <w:color w:val="auto"/>
        </w:rPr>
        <w:t>将以上数据在直角坐标系上做成曲线，则外推日均浓度值的超标范围约离场界达46m。因此，将对周围46m范围内的大气环境质量及居民生活质量产生影响。距施工场地不同距离处空气中TSP浓度值见表3.6-4。</w:t>
      </w:r>
    </w:p>
    <w:p>
      <w:pPr>
        <w:snapToGrid w:val="0"/>
        <w:spacing w:line="240" w:lineRule="auto"/>
        <w:ind w:firstLine="0" w:firstLineChars="0"/>
        <w:jc w:val="center"/>
        <w:rPr>
          <w:rFonts w:cs="Times New Roman"/>
          <w:color w:val="auto"/>
        </w:rPr>
      </w:pPr>
      <w:r>
        <w:rPr>
          <w:rFonts w:cs="Times New Roman"/>
          <w:b/>
          <w:bCs/>
          <w:color w:val="auto"/>
        </w:rPr>
        <w:t>表3.6-4  距施工场地不同距离处空气中TSP浓度值</w:t>
      </w:r>
    </w:p>
    <w:tbl>
      <w:tblPr>
        <w:tblStyle w:val="42"/>
        <w:tblW w:w="9338" w:type="dxa"/>
        <w:jc w:val="center"/>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Layout w:type="fixed"/>
        <w:tblCellMar>
          <w:top w:w="0" w:type="dxa"/>
          <w:left w:w="0" w:type="dxa"/>
          <w:bottom w:w="0" w:type="dxa"/>
          <w:right w:w="0" w:type="dxa"/>
        </w:tblCellMar>
      </w:tblPr>
      <w:tblGrid>
        <w:gridCol w:w="2830"/>
        <w:gridCol w:w="2143"/>
        <w:gridCol w:w="2411"/>
        <w:gridCol w:w="1954"/>
      </w:tblGrid>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388" w:hRule="exact"/>
          <w:jc w:val="center"/>
        </w:trPr>
        <w:tc>
          <w:tcPr>
            <w:tcW w:w="2830" w:type="dxa"/>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距离（m）</w:t>
            </w:r>
          </w:p>
        </w:tc>
        <w:tc>
          <w:tcPr>
            <w:tcW w:w="2143" w:type="dxa"/>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10</w:t>
            </w:r>
          </w:p>
        </w:tc>
        <w:tc>
          <w:tcPr>
            <w:tcW w:w="2411" w:type="dxa"/>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30</w:t>
            </w:r>
          </w:p>
        </w:tc>
        <w:tc>
          <w:tcPr>
            <w:tcW w:w="1954" w:type="dxa"/>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50</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418" w:hRule="exact"/>
          <w:jc w:val="center"/>
        </w:trPr>
        <w:tc>
          <w:tcPr>
            <w:tcW w:w="2830" w:type="dxa"/>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浓度（mg/m</w:t>
            </w:r>
            <w:r>
              <w:rPr>
                <w:rFonts w:cs="Times New Roman"/>
                <w:color w:val="auto"/>
                <w:sz w:val="21"/>
                <w:szCs w:val="21"/>
                <w:vertAlign w:val="superscript"/>
              </w:rPr>
              <w:t>3</w:t>
            </w:r>
            <w:r>
              <w:rPr>
                <w:rFonts w:cs="Times New Roman"/>
                <w:color w:val="auto"/>
                <w:sz w:val="21"/>
                <w:szCs w:val="21"/>
              </w:rPr>
              <w:t>）</w:t>
            </w:r>
          </w:p>
        </w:tc>
        <w:tc>
          <w:tcPr>
            <w:tcW w:w="2143" w:type="dxa"/>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1.750</w:t>
            </w:r>
          </w:p>
        </w:tc>
        <w:tc>
          <w:tcPr>
            <w:tcW w:w="2411" w:type="dxa"/>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0.607</w:t>
            </w:r>
          </w:p>
        </w:tc>
        <w:tc>
          <w:tcPr>
            <w:tcW w:w="1954" w:type="dxa"/>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0.219</w:t>
            </w:r>
          </w:p>
        </w:tc>
      </w:tr>
    </w:tbl>
    <w:p>
      <w:pPr>
        <w:snapToGrid w:val="0"/>
        <w:ind w:firstLine="480"/>
        <w:rPr>
          <w:rFonts w:cs="Times New Roman"/>
          <w:color w:val="auto"/>
        </w:rPr>
      </w:pPr>
      <w:r>
        <w:rPr>
          <w:rFonts w:cs="Times New Roman"/>
          <w:color w:val="auto"/>
        </w:rPr>
        <w:t>（4）运输道路扬尘</w:t>
      </w:r>
    </w:p>
    <w:p>
      <w:pPr>
        <w:snapToGrid w:val="0"/>
        <w:ind w:firstLine="480"/>
        <w:rPr>
          <w:rFonts w:cs="Times New Roman"/>
          <w:color w:val="auto"/>
        </w:rPr>
      </w:pPr>
      <w:r>
        <w:rPr>
          <w:rFonts w:cs="Times New Roman"/>
          <w:color w:val="auto"/>
        </w:rPr>
        <w:t>车辆运输过程中产生粉尘散落及道路二次扬尘，施工区交通扬尘主要来源于进场公路和场内公路。在干燥天气情况下，车辆行驶容易产生扬尘，道路扬尘量与路面状况、路面清洁程度、路面湿润程度、车流量、车速、载重量、风速等有关。车辆行驶产生的扬尘，在完全干燥的情况下，可按下列公式进行计算：</w:t>
      </w:r>
    </w:p>
    <w:p>
      <w:pPr>
        <w:ind w:firstLine="480"/>
        <w:jc w:val="center"/>
        <w:rPr>
          <w:rFonts w:cs="Times New Roman"/>
          <w:color w:val="auto"/>
        </w:rPr>
      </w:pPr>
      <w:r>
        <w:rPr>
          <w:rFonts w:cs="Times New Roman"/>
          <w:color w:val="auto"/>
        </w:rPr>
        <w:drawing>
          <wp:inline distT="0" distB="0" distL="114300" distR="114300">
            <wp:extent cx="2560955" cy="647700"/>
            <wp:effectExtent l="0" t="0" r="10795" b="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31"/>
                    <a:stretch>
                      <a:fillRect/>
                    </a:stretch>
                  </pic:blipFill>
                  <pic:spPr>
                    <a:xfrm>
                      <a:off x="0" y="0"/>
                      <a:ext cx="2560955" cy="647700"/>
                    </a:xfrm>
                    <a:prstGeom prst="rect">
                      <a:avLst/>
                    </a:prstGeom>
                    <a:noFill/>
                    <a:ln>
                      <a:noFill/>
                    </a:ln>
                  </pic:spPr>
                </pic:pic>
              </a:graphicData>
            </a:graphic>
          </wp:inline>
        </w:drawing>
      </w:r>
    </w:p>
    <w:p>
      <w:pPr>
        <w:snapToGrid w:val="0"/>
        <w:ind w:firstLine="480"/>
        <w:rPr>
          <w:rFonts w:cs="Times New Roman"/>
          <w:color w:val="auto"/>
        </w:rPr>
      </w:pPr>
      <w:r>
        <w:rPr>
          <w:rFonts w:cs="Times New Roman"/>
          <w:color w:val="auto"/>
        </w:rPr>
        <w:t>式中：Q-汽车行驶的扬尘，kg/km·辆；</w:t>
      </w:r>
    </w:p>
    <w:p>
      <w:pPr>
        <w:snapToGrid w:val="0"/>
        <w:ind w:firstLine="480"/>
        <w:rPr>
          <w:rFonts w:cs="Times New Roman"/>
          <w:color w:val="auto"/>
        </w:rPr>
      </w:pPr>
      <w:r>
        <w:rPr>
          <w:rFonts w:cs="Times New Roman"/>
          <w:color w:val="auto"/>
        </w:rPr>
        <w:t>V-汽车速度，km/h；</w:t>
      </w:r>
    </w:p>
    <w:p>
      <w:pPr>
        <w:snapToGrid w:val="0"/>
        <w:ind w:firstLine="480"/>
        <w:rPr>
          <w:rFonts w:cs="Times New Roman"/>
          <w:color w:val="auto"/>
        </w:rPr>
      </w:pPr>
      <w:r>
        <w:rPr>
          <w:rFonts w:cs="Times New Roman"/>
          <w:color w:val="auto"/>
        </w:rPr>
        <w:t>W-汽车载重量，t；</w:t>
      </w:r>
    </w:p>
    <w:p>
      <w:pPr>
        <w:snapToGrid w:val="0"/>
        <w:ind w:firstLine="480"/>
        <w:rPr>
          <w:rFonts w:cs="Times New Roman"/>
          <w:color w:val="auto"/>
        </w:rPr>
      </w:pPr>
      <w:r>
        <w:rPr>
          <w:rFonts w:cs="Times New Roman"/>
          <w:color w:val="auto"/>
        </w:rPr>
        <w:t>P-道路表面粉尘量，kg/m</w:t>
      </w:r>
      <w:r>
        <w:rPr>
          <w:rFonts w:cs="Times New Roman"/>
          <w:color w:val="auto"/>
          <w:vertAlign w:val="superscript"/>
        </w:rPr>
        <w:t>2</w:t>
      </w:r>
      <w:r>
        <w:rPr>
          <w:rFonts w:cs="Times New Roman"/>
          <w:color w:val="auto"/>
        </w:rPr>
        <w:t>。</w:t>
      </w:r>
    </w:p>
    <w:p>
      <w:pPr>
        <w:snapToGrid w:val="0"/>
        <w:ind w:firstLine="480"/>
        <w:rPr>
          <w:rFonts w:cs="Times New Roman"/>
          <w:color w:val="auto"/>
        </w:rPr>
      </w:pPr>
      <w:r>
        <w:rPr>
          <w:rFonts w:cs="Times New Roman"/>
          <w:color w:val="auto"/>
        </w:rPr>
        <w:t>不同车速和地面清洁度汽车扬尘计算结果见表3.6-5。</w:t>
      </w:r>
    </w:p>
    <w:p>
      <w:pPr>
        <w:snapToGrid w:val="0"/>
        <w:spacing w:line="240" w:lineRule="auto"/>
        <w:ind w:firstLine="0" w:firstLineChars="0"/>
        <w:jc w:val="center"/>
        <w:rPr>
          <w:rFonts w:cs="Times New Roman"/>
          <w:b/>
          <w:color w:val="auto"/>
        </w:rPr>
      </w:pPr>
      <w:r>
        <w:rPr>
          <w:rFonts w:cs="Times New Roman"/>
          <w:b/>
          <w:color w:val="auto"/>
        </w:rPr>
        <w:t>表3.6-5  不同车速和地面清洁程度时汽车扬尘   单位：kg/km·辆</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1294"/>
        <w:gridCol w:w="1295"/>
        <w:gridCol w:w="1295"/>
        <w:gridCol w:w="1295"/>
        <w:gridCol w:w="1295"/>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12" w:space="0"/>
              <w:left w:val="nil"/>
              <w:bottom w:val="single" w:color="auto" w:sz="12" w:space="0"/>
              <w:tl2br w:val="single" w:color="auto" w:sz="4" w:space="0"/>
            </w:tcBorders>
            <w:vAlign w:val="center"/>
          </w:tcPr>
          <w:p>
            <w:pPr>
              <w:snapToGrid w:val="0"/>
              <w:spacing w:line="240" w:lineRule="auto"/>
              <w:ind w:firstLine="0" w:firstLineChars="0"/>
              <w:jc w:val="right"/>
              <w:rPr>
                <w:rFonts w:cs="Times New Roman"/>
                <w:b/>
                <w:color w:val="auto"/>
                <w:sz w:val="21"/>
                <w:szCs w:val="21"/>
              </w:rPr>
            </w:pPr>
            <w:r>
              <w:rPr>
                <w:rFonts w:cs="Times New Roman"/>
                <w:b/>
                <w:color w:val="auto"/>
                <w:sz w:val="21"/>
                <w:szCs w:val="21"/>
              </w:rPr>
              <w:t>V</w:t>
            </w:r>
          </w:p>
          <w:p>
            <w:pPr>
              <w:snapToGrid w:val="0"/>
              <w:spacing w:line="240" w:lineRule="auto"/>
              <w:ind w:firstLine="0" w:firstLineChars="0"/>
              <w:jc w:val="left"/>
              <w:rPr>
                <w:rFonts w:cs="Times New Roman"/>
                <w:b/>
                <w:color w:val="auto"/>
                <w:sz w:val="21"/>
                <w:szCs w:val="21"/>
              </w:rPr>
            </w:pPr>
            <w:r>
              <w:rPr>
                <w:rFonts w:cs="Times New Roman"/>
                <w:b/>
                <w:color w:val="auto"/>
                <w:sz w:val="21"/>
                <w:szCs w:val="21"/>
              </w:rPr>
              <w:t>P</w:t>
            </w:r>
          </w:p>
        </w:tc>
        <w:tc>
          <w:tcPr>
            <w:tcW w:w="705" w:type="pct"/>
            <w:tcBorders>
              <w:top w:val="single" w:color="auto" w:sz="12" w:space="0"/>
              <w:bottom w:val="single" w:color="auto" w:sz="12" w:space="0"/>
            </w:tcBorders>
            <w:vAlign w:val="center"/>
          </w:tcPr>
          <w:p>
            <w:pPr>
              <w:snapToGrid w:val="0"/>
              <w:spacing w:line="240" w:lineRule="auto"/>
              <w:ind w:firstLine="0" w:firstLineChars="0"/>
              <w:jc w:val="center"/>
              <w:rPr>
                <w:rFonts w:cs="Times New Roman"/>
                <w:b/>
                <w:color w:val="auto"/>
                <w:sz w:val="21"/>
                <w:szCs w:val="21"/>
              </w:rPr>
            </w:pPr>
            <w:r>
              <w:rPr>
                <w:rFonts w:cs="Times New Roman"/>
                <w:b/>
                <w:color w:val="auto"/>
                <w:sz w:val="21"/>
                <w:szCs w:val="21"/>
              </w:rPr>
              <w:t>0.1（kg/m</w:t>
            </w:r>
            <w:r>
              <w:rPr>
                <w:rFonts w:cs="Times New Roman"/>
                <w:b/>
                <w:color w:val="auto"/>
                <w:sz w:val="21"/>
                <w:szCs w:val="21"/>
                <w:vertAlign w:val="superscript"/>
              </w:rPr>
              <w:t>2</w:t>
            </w:r>
            <w:r>
              <w:rPr>
                <w:rFonts w:cs="Times New Roman"/>
                <w:b/>
                <w:color w:val="auto"/>
                <w:sz w:val="21"/>
                <w:szCs w:val="21"/>
              </w:rPr>
              <w:t>）</w:t>
            </w:r>
          </w:p>
        </w:tc>
        <w:tc>
          <w:tcPr>
            <w:tcW w:w="705" w:type="pct"/>
            <w:tcBorders>
              <w:top w:val="single" w:color="auto" w:sz="12" w:space="0"/>
              <w:bottom w:val="single" w:color="auto" w:sz="12" w:space="0"/>
            </w:tcBorders>
            <w:vAlign w:val="center"/>
          </w:tcPr>
          <w:p>
            <w:pPr>
              <w:snapToGrid w:val="0"/>
              <w:spacing w:line="240" w:lineRule="auto"/>
              <w:ind w:firstLine="0" w:firstLineChars="0"/>
              <w:jc w:val="center"/>
              <w:rPr>
                <w:rFonts w:cs="Times New Roman"/>
                <w:b/>
                <w:color w:val="auto"/>
                <w:sz w:val="21"/>
                <w:szCs w:val="21"/>
              </w:rPr>
            </w:pPr>
            <w:r>
              <w:rPr>
                <w:rFonts w:cs="Times New Roman"/>
                <w:b/>
                <w:color w:val="auto"/>
                <w:sz w:val="21"/>
                <w:szCs w:val="21"/>
              </w:rPr>
              <w:t>0.2（kg/m</w:t>
            </w:r>
            <w:r>
              <w:rPr>
                <w:rFonts w:cs="Times New Roman"/>
                <w:b/>
                <w:color w:val="auto"/>
                <w:sz w:val="21"/>
                <w:szCs w:val="21"/>
                <w:vertAlign w:val="superscript"/>
              </w:rPr>
              <w:t>2</w:t>
            </w:r>
            <w:r>
              <w:rPr>
                <w:rFonts w:cs="Times New Roman"/>
                <w:b/>
                <w:color w:val="auto"/>
                <w:sz w:val="21"/>
                <w:szCs w:val="21"/>
              </w:rPr>
              <w:t>）</w:t>
            </w:r>
          </w:p>
        </w:tc>
        <w:tc>
          <w:tcPr>
            <w:tcW w:w="705" w:type="pct"/>
            <w:tcBorders>
              <w:top w:val="single" w:color="auto" w:sz="12" w:space="0"/>
              <w:bottom w:val="single" w:color="auto" w:sz="12" w:space="0"/>
            </w:tcBorders>
            <w:vAlign w:val="center"/>
          </w:tcPr>
          <w:p>
            <w:pPr>
              <w:snapToGrid w:val="0"/>
              <w:spacing w:line="240" w:lineRule="auto"/>
              <w:ind w:firstLine="0" w:firstLineChars="0"/>
              <w:jc w:val="center"/>
              <w:rPr>
                <w:rFonts w:cs="Times New Roman"/>
                <w:b/>
                <w:color w:val="auto"/>
                <w:sz w:val="21"/>
                <w:szCs w:val="21"/>
              </w:rPr>
            </w:pPr>
            <w:r>
              <w:rPr>
                <w:rFonts w:cs="Times New Roman"/>
                <w:b/>
                <w:color w:val="auto"/>
                <w:sz w:val="21"/>
                <w:szCs w:val="21"/>
              </w:rPr>
              <w:t>0.3（kg/m</w:t>
            </w:r>
            <w:r>
              <w:rPr>
                <w:rFonts w:cs="Times New Roman"/>
                <w:b/>
                <w:color w:val="auto"/>
                <w:sz w:val="21"/>
                <w:szCs w:val="21"/>
                <w:vertAlign w:val="superscript"/>
              </w:rPr>
              <w:t>2</w:t>
            </w:r>
            <w:r>
              <w:rPr>
                <w:rFonts w:cs="Times New Roman"/>
                <w:b/>
                <w:color w:val="auto"/>
                <w:sz w:val="21"/>
                <w:szCs w:val="21"/>
              </w:rPr>
              <w:t>）</w:t>
            </w:r>
          </w:p>
        </w:tc>
        <w:tc>
          <w:tcPr>
            <w:tcW w:w="705" w:type="pct"/>
            <w:tcBorders>
              <w:top w:val="single" w:color="auto" w:sz="12" w:space="0"/>
              <w:bottom w:val="single" w:color="auto" w:sz="12" w:space="0"/>
            </w:tcBorders>
            <w:vAlign w:val="center"/>
          </w:tcPr>
          <w:p>
            <w:pPr>
              <w:snapToGrid w:val="0"/>
              <w:spacing w:line="240" w:lineRule="auto"/>
              <w:ind w:firstLine="0" w:firstLineChars="0"/>
              <w:jc w:val="center"/>
              <w:rPr>
                <w:rFonts w:cs="Times New Roman"/>
                <w:b/>
                <w:color w:val="auto"/>
                <w:sz w:val="21"/>
                <w:szCs w:val="21"/>
              </w:rPr>
            </w:pPr>
            <w:r>
              <w:rPr>
                <w:rFonts w:cs="Times New Roman"/>
                <w:b/>
                <w:color w:val="auto"/>
                <w:sz w:val="21"/>
                <w:szCs w:val="21"/>
              </w:rPr>
              <w:t>0.4（kg/m</w:t>
            </w:r>
            <w:r>
              <w:rPr>
                <w:rFonts w:cs="Times New Roman"/>
                <w:b/>
                <w:color w:val="auto"/>
                <w:sz w:val="21"/>
                <w:szCs w:val="21"/>
                <w:vertAlign w:val="superscript"/>
              </w:rPr>
              <w:t>2</w:t>
            </w:r>
            <w:r>
              <w:rPr>
                <w:rFonts w:cs="Times New Roman"/>
                <w:b/>
                <w:color w:val="auto"/>
                <w:sz w:val="21"/>
                <w:szCs w:val="21"/>
              </w:rPr>
              <w:t>）</w:t>
            </w:r>
          </w:p>
        </w:tc>
        <w:tc>
          <w:tcPr>
            <w:tcW w:w="705" w:type="pct"/>
            <w:tcBorders>
              <w:top w:val="single" w:color="auto" w:sz="12" w:space="0"/>
              <w:bottom w:val="single" w:color="auto" w:sz="12" w:space="0"/>
            </w:tcBorders>
            <w:vAlign w:val="center"/>
          </w:tcPr>
          <w:p>
            <w:pPr>
              <w:snapToGrid w:val="0"/>
              <w:spacing w:line="240" w:lineRule="auto"/>
              <w:ind w:firstLine="0" w:firstLineChars="0"/>
              <w:jc w:val="center"/>
              <w:rPr>
                <w:rFonts w:cs="Times New Roman"/>
                <w:b/>
                <w:color w:val="auto"/>
                <w:sz w:val="21"/>
                <w:szCs w:val="21"/>
              </w:rPr>
            </w:pPr>
            <w:r>
              <w:rPr>
                <w:rFonts w:cs="Times New Roman"/>
                <w:b/>
                <w:color w:val="auto"/>
                <w:sz w:val="21"/>
                <w:szCs w:val="21"/>
              </w:rPr>
              <w:t>0.5（kg/m</w:t>
            </w:r>
            <w:r>
              <w:rPr>
                <w:rFonts w:cs="Times New Roman"/>
                <w:b/>
                <w:color w:val="auto"/>
                <w:sz w:val="21"/>
                <w:szCs w:val="21"/>
                <w:vertAlign w:val="superscript"/>
              </w:rPr>
              <w:t>2</w:t>
            </w:r>
            <w:r>
              <w:rPr>
                <w:rFonts w:cs="Times New Roman"/>
                <w:b/>
                <w:color w:val="auto"/>
                <w:sz w:val="21"/>
                <w:szCs w:val="21"/>
              </w:rPr>
              <w:t>）</w:t>
            </w:r>
          </w:p>
        </w:tc>
        <w:tc>
          <w:tcPr>
            <w:tcW w:w="705" w:type="pct"/>
            <w:tcBorders>
              <w:top w:val="single" w:color="auto" w:sz="12" w:space="0"/>
              <w:bottom w:val="single" w:color="auto" w:sz="12" w:space="0"/>
              <w:right w:val="nil"/>
            </w:tcBorders>
            <w:vAlign w:val="center"/>
          </w:tcPr>
          <w:p>
            <w:pPr>
              <w:snapToGrid w:val="0"/>
              <w:spacing w:line="240" w:lineRule="auto"/>
              <w:ind w:firstLine="0" w:firstLineChars="0"/>
              <w:jc w:val="center"/>
              <w:rPr>
                <w:rFonts w:cs="Times New Roman"/>
                <w:b/>
                <w:color w:val="auto"/>
                <w:sz w:val="21"/>
                <w:szCs w:val="21"/>
              </w:rPr>
            </w:pPr>
            <w:r>
              <w:rPr>
                <w:rFonts w:cs="Times New Roman"/>
                <w:b/>
                <w:color w:val="auto"/>
                <w:sz w:val="21"/>
                <w:szCs w:val="21"/>
              </w:rPr>
              <w:t>1.0（kg/m</w:t>
            </w:r>
            <w:r>
              <w:rPr>
                <w:rFonts w:cs="Times New Roman"/>
                <w:b/>
                <w:color w:val="auto"/>
                <w:sz w:val="21"/>
                <w:szCs w:val="21"/>
                <w:vertAlign w:val="superscript"/>
              </w:rPr>
              <w:t>2</w:t>
            </w:r>
            <w:r>
              <w:rPr>
                <w:rFonts w:cs="Times New Roman"/>
                <w:b/>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12" w:space="0"/>
              <w:left w:val="nil"/>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5km/h</w:t>
            </w:r>
          </w:p>
        </w:tc>
        <w:tc>
          <w:tcPr>
            <w:tcW w:w="705" w:type="pct"/>
            <w:tcBorders>
              <w:top w:val="single" w:color="auto" w:sz="12"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0.40</w:t>
            </w:r>
          </w:p>
        </w:tc>
        <w:tc>
          <w:tcPr>
            <w:tcW w:w="705" w:type="pct"/>
            <w:tcBorders>
              <w:top w:val="single" w:color="auto" w:sz="12"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0.65</w:t>
            </w:r>
          </w:p>
        </w:tc>
        <w:tc>
          <w:tcPr>
            <w:tcW w:w="705" w:type="pct"/>
            <w:tcBorders>
              <w:top w:val="single" w:color="auto" w:sz="12"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0.88</w:t>
            </w:r>
          </w:p>
        </w:tc>
        <w:tc>
          <w:tcPr>
            <w:tcW w:w="705" w:type="pct"/>
            <w:tcBorders>
              <w:top w:val="single" w:color="auto" w:sz="12"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1.08</w:t>
            </w:r>
          </w:p>
        </w:tc>
        <w:tc>
          <w:tcPr>
            <w:tcW w:w="705" w:type="pct"/>
            <w:tcBorders>
              <w:top w:val="single" w:color="auto" w:sz="12"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1.26</w:t>
            </w:r>
          </w:p>
        </w:tc>
        <w:tc>
          <w:tcPr>
            <w:tcW w:w="705" w:type="pct"/>
            <w:tcBorders>
              <w:top w:val="single" w:color="auto" w:sz="12" w:space="0"/>
              <w:right w:val="nil"/>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left w:val="nil"/>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10km/h</w:t>
            </w:r>
          </w:p>
        </w:tc>
        <w:tc>
          <w:tcPr>
            <w:tcW w:w="70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0.79</w:t>
            </w:r>
          </w:p>
        </w:tc>
        <w:tc>
          <w:tcPr>
            <w:tcW w:w="70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1.31</w:t>
            </w:r>
          </w:p>
        </w:tc>
        <w:tc>
          <w:tcPr>
            <w:tcW w:w="70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1.75</w:t>
            </w:r>
          </w:p>
        </w:tc>
        <w:tc>
          <w:tcPr>
            <w:tcW w:w="70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2.15</w:t>
            </w:r>
          </w:p>
        </w:tc>
        <w:tc>
          <w:tcPr>
            <w:tcW w:w="70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2.53</w:t>
            </w:r>
          </w:p>
        </w:tc>
        <w:tc>
          <w:tcPr>
            <w:tcW w:w="705" w:type="pct"/>
            <w:tcBorders>
              <w:right w:val="nil"/>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left w:val="nil"/>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15km/h</w:t>
            </w:r>
          </w:p>
        </w:tc>
        <w:tc>
          <w:tcPr>
            <w:tcW w:w="70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1.19</w:t>
            </w:r>
          </w:p>
        </w:tc>
        <w:tc>
          <w:tcPr>
            <w:tcW w:w="70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1.96</w:t>
            </w:r>
          </w:p>
        </w:tc>
        <w:tc>
          <w:tcPr>
            <w:tcW w:w="70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2.63</w:t>
            </w:r>
          </w:p>
        </w:tc>
        <w:tc>
          <w:tcPr>
            <w:tcW w:w="70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3.23</w:t>
            </w:r>
          </w:p>
        </w:tc>
        <w:tc>
          <w:tcPr>
            <w:tcW w:w="70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3.79</w:t>
            </w:r>
          </w:p>
        </w:tc>
        <w:tc>
          <w:tcPr>
            <w:tcW w:w="705" w:type="pct"/>
            <w:tcBorders>
              <w:right w:val="nil"/>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left w:val="nil"/>
              <w:bottom w:val="single" w:color="auto" w:sz="12" w:space="0"/>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20km/h</w:t>
            </w:r>
          </w:p>
        </w:tc>
        <w:tc>
          <w:tcPr>
            <w:tcW w:w="705" w:type="pct"/>
            <w:tcBorders>
              <w:bottom w:val="single" w:color="auto" w:sz="12"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1.59</w:t>
            </w:r>
          </w:p>
        </w:tc>
        <w:tc>
          <w:tcPr>
            <w:tcW w:w="705" w:type="pct"/>
            <w:tcBorders>
              <w:bottom w:val="single" w:color="auto" w:sz="12"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2.62</w:t>
            </w:r>
          </w:p>
        </w:tc>
        <w:tc>
          <w:tcPr>
            <w:tcW w:w="705" w:type="pct"/>
            <w:tcBorders>
              <w:bottom w:val="single" w:color="auto" w:sz="12"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3.50</w:t>
            </w:r>
          </w:p>
        </w:tc>
        <w:tc>
          <w:tcPr>
            <w:tcW w:w="705" w:type="pct"/>
            <w:tcBorders>
              <w:bottom w:val="single" w:color="auto" w:sz="12"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4.31</w:t>
            </w:r>
          </w:p>
        </w:tc>
        <w:tc>
          <w:tcPr>
            <w:tcW w:w="705" w:type="pct"/>
            <w:tcBorders>
              <w:bottom w:val="single" w:color="auto" w:sz="12"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5.06</w:t>
            </w:r>
          </w:p>
        </w:tc>
        <w:tc>
          <w:tcPr>
            <w:tcW w:w="705" w:type="pct"/>
            <w:tcBorders>
              <w:bottom w:val="single" w:color="auto" w:sz="12" w:space="0"/>
              <w:right w:val="nil"/>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8.33</w:t>
            </w:r>
          </w:p>
        </w:tc>
      </w:tr>
    </w:tbl>
    <w:p>
      <w:pPr>
        <w:snapToGrid w:val="0"/>
        <w:ind w:firstLine="480"/>
        <w:rPr>
          <w:rFonts w:cs="Times New Roman"/>
          <w:color w:val="auto"/>
        </w:rPr>
      </w:pPr>
      <w:r>
        <w:rPr>
          <w:rFonts w:cs="Times New Roman"/>
          <w:color w:val="auto"/>
        </w:rPr>
        <w:t>通过对运输车辆进行严格覆盖，洒水降尘等措施降低产生的扬尘。</w:t>
      </w:r>
    </w:p>
    <w:p>
      <w:pPr>
        <w:snapToGrid w:val="0"/>
        <w:ind w:firstLine="480"/>
        <w:rPr>
          <w:rFonts w:cs="Times New Roman"/>
          <w:color w:val="auto"/>
        </w:rPr>
      </w:pPr>
      <w:r>
        <w:rPr>
          <w:rFonts w:cs="Times New Roman"/>
          <w:color w:val="auto"/>
        </w:rPr>
        <w:t>（5）燃油施工机械废气</w:t>
      </w:r>
    </w:p>
    <w:p>
      <w:pPr>
        <w:snapToGrid w:val="0"/>
        <w:ind w:firstLine="480"/>
        <w:rPr>
          <w:rFonts w:cs="Times New Roman"/>
          <w:color w:val="auto"/>
        </w:rPr>
      </w:pPr>
      <w:r>
        <w:rPr>
          <w:rFonts w:cs="Times New Roman"/>
          <w:color w:val="auto"/>
        </w:rPr>
        <w:t>工程施工过程中使用挖掘机、推土机等施工机械及载重汽车等重型运输车辆等，燃油废气主要来源于施工机械、运输车辆运行时产生的燃油废气，主要污染物为NOx、CO等，排放强度较小。由于施工机械、运输车辆分布较分散，属于无组织排放。根据《水电水利工程施工环境保护技术规程》（DL/T5260-2010）、《水工设计手册第三卷征地移民、环境保护与水土保持》、《工业交通环保概论(王肇润编著)》等相关资料，每耗1L油料，排放空气污染物NOx9g，CO27g，折算1t燃油将排放NOx10.714kg和CO29.35kg。根据项目资料，本工程施工期消耗柴油</w:t>
      </w:r>
      <w:r>
        <w:rPr>
          <w:rFonts w:hint="eastAsia" w:cs="Times New Roman"/>
          <w:color w:val="auto"/>
          <w:lang w:val="en-US" w:eastAsia="zh-CN"/>
        </w:rPr>
        <w:t>362.0</w:t>
      </w:r>
      <w:r>
        <w:rPr>
          <w:rFonts w:cs="Times New Roman"/>
          <w:color w:val="auto"/>
        </w:rPr>
        <w:t>t，估算此工程施工燃油产生的NOx</w:t>
      </w:r>
      <w:r>
        <w:rPr>
          <w:rFonts w:hint="eastAsia" w:cs="Times New Roman"/>
          <w:color w:val="auto"/>
          <w:lang w:val="en-US" w:eastAsia="zh-CN"/>
        </w:rPr>
        <w:t>3.9</w:t>
      </w:r>
      <w:r>
        <w:rPr>
          <w:rFonts w:cs="Times New Roman"/>
          <w:color w:val="auto"/>
        </w:rPr>
        <w:t>t、CO</w:t>
      </w:r>
      <w:r>
        <w:rPr>
          <w:rFonts w:hint="eastAsia" w:cs="Times New Roman"/>
          <w:color w:val="auto"/>
          <w:lang w:val="en-US" w:eastAsia="zh-CN"/>
        </w:rPr>
        <w:t>10.6</w:t>
      </w:r>
      <w:r>
        <w:rPr>
          <w:rFonts w:cs="Times New Roman"/>
          <w:color w:val="auto"/>
        </w:rPr>
        <w:t>t。</w:t>
      </w:r>
    </w:p>
    <w:p>
      <w:pPr>
        <w:snapToGrid w:val="0"/>
        <w:ind w:firstLine="480"/>
        <w:outlineLvl w:val="3"/>
        <w:rPr>
          <w:rFonts w:cs="Times New Roman"/>
          <w:color w:val="auto"/>
        </w:rPr>
      </w:pPr>
      <w:r>
        <w:rPr>
          <w:rFonts w:cs="Times New Roman"/>
          <w:color w:val="auto"/>
        </w:rPr>
        <w:t>2</w:t>
      </w:r>
      <w:r>
        <w:rPr>
          <w:rFonts w:hint="eastAsia" w:cs="Times New Roman"/>
          <w:color w:val="auto"/>
        </w:rPr>
        <w:t>.</w:t>
      </w:r>
      <w:r>
        <w:rPr>
          <w:rFonts w:cs="Times New Roman"/>
          <w:color w:val="auto"/>
        </w:rPr>
        <w:t>废水污染源</w:t>
      </w:r>
    </w:p>
    <w:p>
      <w:pPr>
        <w:snapToGrid w:val="0"/>
        <w:ind w:firstLine="480"/>
        <w:rPr>
          <w:rFonts w:cs="Times New Roman"/>
          <w:color w:val="auto"/>
        </w:rPr>
      </w:pPr>
      <w:r>
        <w:rPr>
          <w:rFonts w:cs="Times New Roman"/>
          <w:color w:val="auto"/>
        </w:rPr>
        <w:t>（1）机械车辆冲洗废水</w:t>
      </w:r>
    </w:p>
    <w:p>
      <w:pPr>
        <w:snapToGrid w:val="0"/>
        <w:ind w:firstLine="480"/>
        <w:rPr>
          <w:rFonts w:cs="Times New Roman"/>
          <w:color w:val="auto"/>
        </w:rPr>
      </w:pPr>
      <w:r>
        <w:rPr>
          <w:rFonts w:cs="Times New Roman"/>
          <w:color w:val="auto"/>
        </w:rPr>
        <w:t>工程施工过程中，施工机械车辆需要冲洗，将产生一定量的冲洗废水。本工程施工线路长，施工区分散，需定期清洗的主要施工机械设备约</w:t>
      </w:r>
      <w:r>
        <w:rPr>
          <w:rFonts w:hint="eastAsia" w:cs="Times New Roman"/>
          <w:color w:val="auto"/>
          <w:lang w:val="en-US" w:eastAsia="zh-CN"/>
        </w:rPr>
        <w:t>2</w:t>
      </w:r>
      <w:r>
        <w:rPr>
          <w:rFonts w:cs="Times New Roman"/>
          <w:color w:val="auto"/>
        </w:rPr>
        <w:t>0台（辆）。施工机械冲洗废水按平均每台0.5m</w:t>
      </w:r>
      <w:r>
        <w:rPr>
          <w:rFonts w:cs="Times New Roman"/>
          <w:color w:val="auto"/>
          <w:vertAlign w:val="superscript"/>
        </w:rPr>
        <w:t>3</w:t>
      </w:r>
      <w:r>
        <w:rPr>
          <w:rFonts w:cs="Times New Roman"/>
          <w:color w:val="auto"/>
        </w:rPr>
        <w:t>计算，废水产生量</w:t>
      </w:r>
      <w:r>
        <w:rPr>
          <w:rFonts w:hint="eastAsia" w:cs="Times New Roman"/>
          <w:color w:val="auto"/>
          <w:lang w:val="en-US" w:eastAsia="zh-CN"/>
        </w:rPr>
        <w:t>10</w:t>
      </w:r>
      <w:r>
        <w:rPr>
          <w:rFonts w:cs="Times New Roman"/>
          <w:color w:val="auto"/>
        </w:rPr>
        <w:t>m</w:t>
      </w:r>
      <w:r>
        <w:rPr>
          <w:rFonts w:cs="Times New Roman"/>
          <w:color w:val="auto"/>
          <w:vertAlign w:val="superscript"/>
        </w:rPr>
        <w:t>3</w:t>
      </w:r>
      <w:r>
        <w:rPr>
          <w:rFonts w:cs="Times New Roman"/>
          <w:color w:val="auto"/>
        </w:rPr>
        <w:t>/d。</w:t>
      </w:r>
    </w:p>
    <w:p>
      <w:pPr>
        <w:snapToGrid w:val="0"/>
        <w:ind w:firstLine="480"/>
        <w:rPr>
          <w:rFonts w:cs="Times New Roman"/>
          <w:color w:val="auto"/>
        </w:rPr>
      </w:pPr>
      <w:r>
        <w:rPr>
          <w:rFonts w:cs="Times New Roman"/>
          <w:color w:val="auto"/>
        </w:rPr>
        <w:t>根据类似工程实测，机械车辆冲洗废水特点是废水量较少，污染物主要为SS、石油类，其浓度分别约为3000mg/L、20mg/L。设计在每个施工生产区车辆冲洗台排水口下游各设置1座沉淀池—隔油池—清水池，处理后上清液废水回用于车辆冲洗，不向地表水体排放，定期对沉淀池进行清淤。</w:t>
      </w:r>
    </w:p>
    <w:p>
      <w:pPr>
        <w:snapToGrid w:val="0"/>
        <w:ind w:firstLine="480"/>
        <w:rPr>
          <w:rFonts w:cs="Times New Roman"/>
          <w:color w:val="auto"/>
        </w:rPr>
      </w:pPr>
      <w:r>
        <w:rPr>
          <w:rFonts w:cs="Times New Roman"/>
          <w:color w:val="auto"/>
        </w:rPr>
        <w:t>（2）施工场地混凝土拌和冲洗废水</w:t>
      </w:r>
    </w:p>
    <w:p>
      <w:pPr>
        <w:snapToGrid w:val="0"/>
        <w:ind w:firstLine="480"/>
        <w:rPr>
          <w:rFonts w:cs="Times New Roman"/>
          <w:color w:val="auto"/>
        </w:rPr>
      </w:pPr>
      <w:r>
        <w:rPr>
          <w:rFonts w:cs="Times New Roman"/>
          <w:color w:val="auto"/>
        </w:rPr>
        <w:t>施工场地内进行混凝土进行拌和，每天停止使用的时候需对搅拌机进行清洗，混凝土拌和系统使用时间约6个月，预计清洗</w:t>
      </w:r>
      <w:r>
        <w:rPr>
          <w:rFonts w:hint="eastAsia" w:cs="Times New Roman"/>
          <w:color w:val="auto"/>
          <w:lang w:val="en-US" w:eastAsia="zh-CN"/>
        </w:rPr>
        <w:t>200</w:t>
      </w:r>
      <w:r>
        <w:rPr>
          <w:rFonts w:cs="Times New Roman"/>
          <w:color w:val="auto"/>
        </w:rPr>
        <w:t>次，每次冲洗用水量按0.8m</w:t>
      </w:r>
      <w:r>
        <w:rPr>
          <w:rFonts w:cs="Times New Roman"/>
          <w:color w:val="auto"/>
          <w:vertAlign w:val="superscript"/>
        </w:rPr>
        <w:t>3</w:t>
      </w:r>
      <w:r>
        <w:rPr>
          <w:rFonts w:cs="Times New Roman"/>
          <w:color w:val="auto"/>
        </w:rPr>
        <w:t>计，废水产生系数按照0.9计，则废水产生量为</w:t>
      </w:r>
      <w:r>
        <w:rPr>
          <w:rFonts w:hint="eastAsia" w:cs="Times New Roman"/>
          <w:color w:val="auto"/>
          <w:lang w:val="en-US" w:eastAsia="zh-CN"/>
        </w:rPr>
        <w:t>0.8</w:t>
      </w:r>
      <w:r>
        <w:rPr>
          <w:rFonts w:cs="Times New Roman"/>
          <w:color w:val="auto"/>
        </w:rPr>
        <w:t>m</w:t>
      </w:r>
      <w:r>
        <w:rPr>
          <w:rFonts w:cs="Times New Roman"/>
          <w:color w:val="auto"/>
          <w:vertAlign w:val="superscript"/>
        </w:rPr>
        <w:t>3</w:t>
      </w:r>
      <w:r>
        <w:rPr>
          <w:rFonts w:cs="Times New Roman"/>
          <w:color w:val="auto"/>
        </w:rPr>
        <w:t>/d，施工场地设置沉淀池，沉淀后全部用于混凝土生产用水，不外排。定期清洗沉淀池沉渣回用于搅拌过程。</w:t>
      </w:r>
    </w:p>
    <w:p>
      <w:pPr>
        <w:snapToGrid w:val="0"/>
        <w:ind w:firstLine="480"/>
        <w:rPr>
          <w:rFonts w:cs="Times New Roman"/>
          <w:color w:val="auto"/>
        </w:rPr>
      </w:pPr>
      <w:r>
        <w:rPr>
          <w:rFonts w:cs="Times New Roman"/>
          <w:color w:val="auto"/>
        </w:rPr>
        <w:t>混凝土养护过程中养护用水大部分蒸发耗散，小部分渗入土壤，无法收集。</w:t>
      </w:r>
    </w:p>
    <w:p>
      <w:pPr>
        <w:snapToGrid w:val="0"/>
        <w:ind w:firstLine="480"/>
        <w:rPr>
          <w:rFonts w:cs="Times New Roman"/>
          <w:color w:val="auto"/>
        </w:rPr>
      </w:pPr>
      <w:r>
        <w:rPr>
          <w:rFonts w:cs="Times New Roman"/>
          <w:color w:val="auto"/>
        </w:rPr>
        <w:t>（</w:t>
      </w:r>
      <w:r>
        <w:rPr>
          <w:rFonts w:hint="eastAsia" w:cs="Times New Roman"/>
          <w:color w:val="auto"/>
          <w:lang w:val="en-US" w:eastAsia="zh-CN"/>
        </w:rPr>
        <w:t>3</w:t>
      </w:r>
      <w:r>
        <w:rPr>
          <w:rFonts w:cs="Times New Roman"/>
          <w:color w:val="auto"/>
        </w:rPr>
        <w:t>）基坑排水</w:t>
      </w:r>
    </w:p>
    <w:p>
      <w:pPr>
        <w:snapToGrid w:val="0"/>
        <w:ind w:firstLine="480"/>
        <w:rPr>
          <w:rFonts w:cs="Times New Roman"/>
          <w:color w:val="auto"/>
        </w:rPr>
      </w:pPr>
      <w:r>
        <w:rPr>
          <w:rFonts w:cs="Times New Roman"/>
          <w:color w:val="auto"/>
        </w:rPr>
        <w:t>本工程涉及的护岸和</w:t>
      </w:r>
      <w:r>
        <w:rPr>
          <w:rFonts w:hint="eastAsia" w:cs="Times New Roman"/>
          <w:color w:val="auto"/>
          <w:lang w:val="en-US" w:eastAsia="zh-CN"/>
        </w:rPr>
        <w:t>人工湿地</w:t>
      </w:r>
      <w:r>
        <w:rPr>
          <w:rFonts w:cs="Times New Roman"/>
          <w:color w:val="auto"/>
        </w:rPr>
        <w:t>等建筑物施工过程存在开挖形成的基坑，由于降雨，基坑内需要经常性排水，排水的悬浮物含量较高，通过潜水泵抽排出基坑。基坑废水经沉淀处理后洒水降尘，不外排。</w:t>
      </w:r>
    </w:p>
    <w:p>
      <w:pPr>
        <w:snapToGrid w:val="0"/>
        <w:ind w:firstLine="480"/>
        <w:rPr>
          <w:rFonts w:cs="Times New Roman"/>
          <w:color w:val="auto"/>
        </w:rPr>
      </w:pPr>
      <w:r>
        <w:rPr>
          <w:rFonts w:cs="Times New Roman"/>
          <w:color w:val="auto"/>
        </w:rPr>
        <w:t>（</w:t>
      </w:r>
      <w:r>
        <w:rPr>
          <w:rFonts w:hint="eastAsia" w:cs="Times New Roman"/>
          <w:color w:val="auto"/>
          <w:lang w:val="en-US" w:eastAsia="zh-CN"/>
        </w:rPr>
        <w:t>4</w:t>
      </w:r>
      <w:r>
        <w:rPr>
          <w:rFonts w:cs="Times New Roman"/>
          <w:color w:val="auto"/>
        </w:rPr>
        <w:t>）施工期生活污水</w:t>
      </w:r>
    </w:p>
    <w:p>
      <w:pPr>
        <w:snapToGrid w:val="0"/>
        <w:ind w:firstLine="480"/>
        <w:rPr>
          <w:rFonts w:cs="Times New Roman"/>
          <w:color w:val="auto"/>
        </w:rPr>
      </w:pPr>
      <w:r>
        <w:rPr>
          <w:rFonts w:cs="Times New Roman"/>
          <w:color w:val="auto"/>
        </w:rPr>
        <w:t>施工生活污水主要可分为施工人员餐饮污水、粪便污水以及洗浴废水等，来源于施工期进场的管理人员和施工人员的生活排水；施工生活污水主要污染物是COD、BOD</w:t>
      </w:r>
      <w:r>
        <w:rPr>
          <w:rFonts w:cs="Times New Roman"/>
          <w:color w:val="auto"/>
          <w:vertAlign w:val="subscript"/>
        </w:rPr>
        <w:t>5</w:t>
      </w:r>
      <w:r>
        <w:rPr>
          <w:rFonts w:cs="Times New Roman"/>
          <w:color w:val="auto"/>
        </w:rPr>
        <w:t>、NH</w:t>
      </w:r>
      <w:r>
        <w:rPr>
          <w:rFonts w:cs="Times New Roman"/>
          <w:color w:val="auto"/>
          <w:vertAlign w:val="subscript"/>
        </w:rPr>
        <w:t>3</w:t>
      </w:r>
      <w:r>
        <w:rPr>
          <w:rFonts w:cs="Times New Roman"/>
          <w:color w:val="auto"/>
        </w:rPr>
        <w:t>-N、SS和动植物油。施工生活污水对环境的影响随施工活动的结束而结束，属暂时、间歇式影响。根据施工组织设计，本工程施工高峰人员</w:t>
      </w:r>
      <w:r>
        <w:rPr>
          <w:rFonts w:hint="eastAsia" w:cs="Times New Roman"/>
          <w:color w:val="auto"/>
          <w:lang w:val="en-US" w:eastAsia="zh-CN"/>
        </w:rPr>
        <w:t>100</w:t>
      </w:r>
      <w:r>
        <w:rPr>
          <w:rFonts w:cs="Times New Roman"/>
          <w:color w:val="auto"/>
        </w:rPr>
        <w:t>人。根据水利工程施工经验和当地用水习惯，施工人员生活用水量按照农村地区取60L/人•日，污水产生量按0.80系数折算，工程生活污水最大产生量约为</w:t>
      </w:r>
      <w:r>
        <w:rPr>
          <w:rFonts w:hint="eastAsia" w:cs="Times New Roman"/>
          <w:color w:val="auto"/>
          <w:lang w:val="en-US" w:eastAsia="zh-CN"/>
        </w:rPr>
        <w:t>4.8</w:t>
      </w:r>
      <w:r>
        <w:rPr>
          <w:rFonts w:cs="Times New Roman"/>
          <w:color w:val="auto"/>
        </w:rPr>
        <w:t>m</w:t>
      </w:r>
      <w:r>
        <w:rPr>
          <w:rFonts w:cs="Times New Roman"/>
          <w:color w:val="auto"/>
          <w:vertAlign w:val="superscript"/>
        </w:rPr>
        <w:t>3</w:t>
      </w:r>
      <w:r>
        <w:rPr>
          <w:rFonts w:cs="Times New Roman"/>
          <w:color w:val="auto"/>
        </w:rPr>
        <w:t>/d，平均生活污水最大产生量约为</w:t>
      </w:r>
      <w:r>
        <w:rPr>
          <w:rFonts w:hint="eastAsia" w:cs="Times New Roman"/>
          <w:color w:val="auto"/>
          <w:lang w:val="en-US" w:eastAsia="zh-CN"/>
        </w:rPr>
        <w:t>4.8</w:t>
      </w:r>
      <w:r>
        <w:rPr>
          <w:rFonts w:cs="Times New Roman"/>
          <w:color w:val="auto"/>
        </w:rPr>
        <w:t>m</w:t>
      </w:r>
      <w:r>
        <w:rPr>
          <w:rFonts w:cs="Times New Roman"/>
          <w:color w:val="auto"/>
          <w:vertAlign w:val="superscript"/>
        </w:rPr>
        <w:t>3</w:t>
      </w:r>
      <w:r>
        <w:rPr>
          <w:rFonts w:cs="Times New Roman"/>
          <w:color w:val="auto"/>
        </w:rPr>
        <w:t>/d。生活污水中主要污染物COD、BOD</w:t>
      </w:r>
      <w:r>
        <w:rPr>
          <w:rFonts w:cs="Times New Roman"/>
          <w:color w:val="auto"/>
          <w:vertAlign w:val="subscript"/>
        </w:rPr>
        <w:t>5</w:t>
      </w:r>
      <w:r>
        <w:rPr>
          <w:rFonts w:cs="Times New Roman"/>
          <w:color w:val="auto"/>
        </w:rPr>
        <w:t>、NH</w:t>
      </w:r>
      <w:r>
        <w:rPr>
          <w:rFonts w:cs="Times New Roman"/>
          <w:color w:val="auto"/>
          <w:vertAlign w:val="subscript"/>
        </w:rPr>
        <w:t>3</w:t>
      </w:r>
      <w:r>
        <w:rPr>
          <w:rFonts w:cs="Times New Roman"/>
          <w:color w:val="auto"/>
        </w:rPr>
        <w:t>-N、SS和动植物油浓度分别为250mg/L、150mg/L、30mg/L、200mg/L和25mg/L。</w:t>
      </w:r>
      <w:r>
        <w:rPr>
          <w:rFonts w:hint="eastAsia" w:cs="Times New Roman"/>
          <w:color w:val="auto"/>
        </w:rPr>
        <w:t>依托租赁民房处的现有</w:t>
      </w:r>
      <w:r>
        <w:rPr>
          <w:rFonts w:cs="Times New Roman"/>
          <w:color w:val="auto"/>
        </w:rPr>
        <w:t>化粪池</w:t>
      </w:r>
      <w:r>
        <w:rPr>
          <w:rFonts w:hint="eastAsia" w:cs="Times New Roman"/>
          <w:color w:val="auto"/>
        </w:rPr>
        <w:t>进行收集处理</w:t>
      </w:r>
      <w:r>
        <w:rPr>
          <w:rFonts w:cs="Times New Roman"/>
          <w:color w:val="auto"/>
        </w:rPr>
        <w:t>，生活污水经化粪池处理后，定期清掏用于附近的农田施肥。</w:t>
      </w:r>
    </w:p>
    <w:p>
      <w:pPr>
        <w:adjustRightInd w:val="0"/>
        <w:snapToGrid w:val="0"/>
        <w:spacing w:line="240" w:lineRule="auto"/>
        <w:ind w:firstLine="482"/>
        <w:jc w:val="center"/>
        <w:rPr>
          <w:rFonts w:cs="Times New Roman"/>
          <w:b/>
          <w:bCs/>
          <w:color w:val="auto"/>
        </w:rPr>
      </w:pPr>
      <w:r>
        <w:rPr>
          <w:rFonts w:cs="Times New Roman"/>
          <w:b/>
          <w:bCs/>
          <w:color w:val="auto"/>
        </w:rPr>
        <w:t>表3.6-</w:t>
      </w:r>
      <w:r>
        <w:rPr>
          <w:rFonts w:hint="eastAsia" w:cs="Times New Roman"/>
          <w:b/>
          <w:bCs/>
          <w:color w:val="auto"/>
          <w:lang w:val="en-US" w:eastAsia="zh-CN"/>
        </w:rPr>
        <w:t>6</w:t>
      </w:r>
      <w:r>
        <w:rPr>
          <w:rFonts w:cs="Times New Roman"/>
          <w:b/>
          <w:bCs/>
          <w:color w:val="auto"/>
        </w:rPr>
        <w:t xml:space="preserve">   本项目生活废水中主要污染物浓度及产生量</w:t>
      </w:r>
    </w:p>
    <w:tbl>
      <w:tblPr>
        <w:tblStyle w:val="42"/>
        <w:tblW w:w="0" w:type="auto"/>
        <w:jc w:val="center"/>
        <w:tblLayout w:type="fixed"/>
        <w:tblCellMar>
          <w:top w:w="0" w:type="dxa"/>
          <w:left w:w="0" w:type="dxa"/>
          <w:bottom w:w="0" w:type="dxa"/>
          <w:right w:w="0" w:type="dxa"/>
        </w:tblCellMar>
      </w:tblPr>
      <w:tblGrid>
        <w:gridCol w:w="932"/>
        <w:gridCol w:w="777"/>
        <w:gridCol w:w="931"/>
        <w:gridCol w:w="1398"/>
        <w:gridCol w:w="1399"/>
        <w:gridCol w:w="1758"/>
        <w:gridCol w:w="1708"/>
      </w:tblGrid>
      <w:tr>
        <w:tblPrEx>
          <w:tblCellMar>
            <w:top w:w="0" w:type="dxa"/>
            <w:left w:w="0" w:type="dxa"/>
            <w:bottom w:w="0" w:type="dxa"/>
            <w:right w:w="0" w:type="dxa"/>
          </w:tblCellMar>
        </w:tblPrEx>
        <w:trPr>
          <w:trHeight w:val="386" w:hRule="exact"/>
          <w:jc w:val="center"/>
        </w:trPr>
        <w:tc>
          <w:tcPr>
            <w:tcW w:w="932" w:type="dxa"/>
            <w:vMerge w:val="restart"/>
            <w:tcBorders>
              <w:top w:val="single" w:color="000000" w:sz="10" w:space="0"/>
              <w:left w:val="nil"/>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b/>
                <w:bCs/>
                <w:color w:val="auto"/>
                <w:sz w:val="21"/>
                <w:szCs w:val="21"/>
              </w:rPr>
              <w:t>废水来源</w:t>
            </w:r>
          </w:p>
        </w:tc>
        <w:tc>
          <w:tcPr>
            <w:tcW w:w="777" w:type="dxa"/>
            <w:vMerge w:val="restart"/>
            <w:tcBorders>
              <w:top w:val="single" w:color="000000" w:sz="10"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b/>
                <w:bCs/>
                <w:color w:val="auto"/>
                <w:sz w:val="21"/>
                <w:szCs w:val="21"/>
              </w:rPr>
              <w:t>废水量（t）</w:t>
            </w:r>
          </w:p>
        </w:tc>
        <w:tc>
          <w:tcPr>
            <w:tcW w:w="931" w:type="dxa"/>
            <w:vMerge w:val="restart"/>
            <w:tcBorders>
              <w:top w:val="single" w:color="000000" w:sz="10"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污染物</w:t>
            </w:r>
          </w:p>
          <w:p>
            <w:pPr>
              <w:kinsoku w:val="0"/>
              <w:overflowPunct w:val="0"/>
              <w:snapToGrid w:val="0"/>
              <w:spacing w:line="240" w:lineRule="auto"/>
              <w:ind w:firstLine="0" w:firstLineChars="0"/>
              <w:jc w:val="center"/>
              <w:rPr>
                <w:rFonts w:cs="Times New Roman"/>
                <w:color w:val="auto"/>
              </w:rPr>
            </w:pPr>
            <w:r>
              <w:rPr>
                <w:rFonts w:cs="Times New Roman"/>
                <w:b/>
                <w:bCs/>
                <w:color w:val="auto"/>
                <w:sz w:val="21"/>
                <w:szCs w:val="21"/>
              </w:rPr>
              <w:t>名称</w:t>
            </w:r>
          </w:p>
        </w:tc>
        <w:tc>
          <w:tcPr>
            <w:tcW w:w="2797" w:type="dxa"/>
            <w:gridSpan w:val="2"/>
            <w:tcBorders>
              <w:top w:val="single" w:color="000000" w:sz="10"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b/>
                <w:bCs/>
                <w:color w:val="auto"/>
                <w:sz w:val="21"/>
                <w:szCs w:val="21"/>
              </w:rPr>
              <w:t>污染物产生量</w:t>
            </w:r>
          </w:p>
        </w:tc>
        <w:tc>
          <w:tcPr>
            <w:tcW w:w="1758" w:type="dxa"/>
            <w:vMerge w:val="restart"/>
            <w:tcBorders>
              <w:top w:val="single" w:color="000000" w:sz="10"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b/>
                <w:bCs/>
                <w:color w:val="auto"/>
                <w:sz w:val="21"/>
                <w:szCs w:val="21"/>
              </w:rPr>
              <w:t>治理措施</w:t>
            </w:r>
          </w:p>
        </w:tc>
        <w:tc>
          <w:tcPr>
            <w:tcW w:w="1708" w:type="dxa"/>
            <w:vMerge w:val="restart"/>
            <w:tcBorders>
              <w:top w:val="single" w:color="000000" w:sz="10" w:space="0"/>
              <w:left w:val="single" w:color="000000" w:sz="4" w:space="0"/>
              <w:bottom w:val="single" w:color="000000" w:sz="4" w:space="0"/>
              <w:right w:val="nil"/>
            </w:tcBorders>
            <w:vAlign w:val="center"/>
          </w:tcPr>
          <w:p>
            <w:pPr>
              <w:kinsoku w:val="0"/>
              <w:overflowPunct w:val="0"/>
              <w:snapToGrid w:val="0"/>
              <w:spacing w:line="240" w:lineRule="auto"/>
              <w:ind w:firstLine="0" w:firstLineChars="0"/>
              <w:jc w:val="center"/>
              <w:rPr>
                <w:rFonts w:cs="Times New Roman"/>
                <w:color w:val="auto"/>
              </w:rPr>
            </w:pPr>
            <w:r>
              <w:rPr>
                <w:rFonts w:cs="Times New Roman"/>
                <w:b/>
                <w:bCs/>
                <w:color w:val="auto"/>
                <w:sz w:val="21"/>
                <w:szCs w:val="21"/>
              </w:rPr>
              <w:t>排放方式与去向</w:t>
            </w:r>
          </w:p>
        </w:tc>
      </w:tr>
      <w:tr>
        <w:tblPrEx>
          <w:tblCellMar>
            <w:top w:w="0" w:type="dxa"/>
            <w:left w:w="0" w:type="dxa"/>
            <w:bottom w:w="0" w:type="dxa"/>
            <w:right w:w="0" w:type="dxa"/>
          </w:tblCellMar>
        </w:tblPrEx>
        <w:trPr>
          <w:trHeight w:val="396" w:hRule="exact"/>
          <w:jc w:val="center"/>
        </w:trPr>
        <w:tc>
          <w:tcPr>
            <w:tcW w:w="932" w:type="dxa"/>
            <w:vMerge w:val="continue"/>
            <w:tcBorders>
              <w:top w:val="single" w:color="000000" w:sz="10" w:space="0"/>
              <w:left w:val="nil"/>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777" w:type="dxa"/>
            <w:vMerge w:val="continue"/>
            <w:tcBorders>
              <w:top w:val="single" w:color="000000" w:sz="10"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931" w:type="dxa"/>
            <w:vMerge w:val="continue"/>
            <w:tcBorders>
              <w:top w:val="single" w:color="000000" w:sz="10"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1398"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浓度(mg/l)</w:t>
            </w:r>
          </w:p>
        </w:tc>
        <w:tc>
          <w:tcPr>
            <w:tcW w:w="1399"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产生量（t）</w:t>
            </w:r>
          </w:p>
        </w:tc>
        <w:tc>
          <w:tcPr>
            <w:tcW w:w="1758" w:type="dxa"/>
            <w:vMerge w:val="continue"/>
            <w:tcBorders>
              <w:top w:val="single" w:color="000000" w:sz="10"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1708" w:type="dxa"/>
            <w:vMerge w:val="continue"/>
            <w:tcBorders>
              <w:top w:val="single" w:color="000000" w:sz="10" w:space="0"/>
              <w:left w:val="single" w:color="000000" w:sz="4" w:space="0"/>
              <w:bottom w:val="single" w:color="000000" w:sz="4" w:space="0"/>
              <w:right w:val="nil"/>
            </w:tcBorders>
            <w:vAlign w:val="center"/>
          </w:tcPr>
          <w:p>
            <w:pPr>
              <w:kinsoku w:val="0"/>
              <w:overflowPunct w:val="0"/>
              <w:snapToGrid w:val="0"/>
              <w:spacing w:line="240" w:lineRule="auto"/>
              <w:ind w:firstLine="0" w:firstLineChars="0"/>
              <w:jc w:val="center"/>
              <w:rPr>
                <w:rFonts w:cs="Times New Roman"/>
                <w:color w:val="auto"/>
              </w:rPr>
            </w:pPr>
          </w:p>
        </w:tc>
      </w:tr>
      <w:tr>
        <w:tblPrEx>
          <w:tblCellMar>
            <w:top w:w="0" w:type="dxa"/>
            <w:left w:w="0" w:type="dxa"/>
            <w:bottom w:w="0" w:type="dxa"/>
            <w:right w:w="0" w:type="dxa"/>
          </w:tblCellMar>
        </w:tblPrEx>
        <w:trPr>
          <w:trHeight w:val="376" w:hRule="exact"/>
          <w:jc w:val="center"/>
        </w:trPr>
        <w:tc>
          <w:tcPr>
            <w:tcW w:w="932" w:type="dxa"/>
            <w:vMerge w:val="restart"/>
            <w:tcBorders>
              <w:top w:val="single" w:color="000000" w:sz="4" w:space="0"/>
              <w:left w:val="nil"/>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生活废水</w:t>
            </w:r>
          </w:p>
        </w:tc>
        <w:tc>
          <w:tcPr>
            <w:tcW w:w="777" w:type="dxa"/>
            <w:vMerge w:val="restart"/>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2448</w:t>
            </w:r>
          </w:p>
        </w:tc>
        <w:tc>
          <w:tcPr>
            <w:tcW w:w="931"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COD</w:t>
            </w:r>
          </w:p>
        </w:tc>
        <w:tc>
          <w:tcPr>
            <w:tcW w:w="1398"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300</w:t>
            </w:r>
          </w:p>
        </w:tc>
        <w:tc>
          <w:tcPr>
            <w:tcW w:w="1399"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0.734</w:t>
            </w:r>
          </w:p>
        </w:tc>
        <w:tc>
          <w:tcPr>
            <w:tcW w:w="1758" w:type="dxa"/>
            <w:vMerge w:val="restart"/>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生活污水进入化粪池处理</w:t>
            </w:r>
          </w:p>
        </w:tc>
        <w:tc>
          <w:tcPr>
            <w:tcW w:w="1708" w:type="dxa"/>
            <w:vMerge w:val="restart"/>
            <w:tcBorders>
              <w:top w:val="single" w:color="000000" w:sz="4" w:space="0"/>
              <w:left w:val="single" w:color="000000" w:sz="4" w:space="0"/>
              <w:bottom w:val="single" w:color="000000" w:sz="10" w:space="0"/>
              <w:right w:val="nil"/>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w w:val="95"/>
                <w:sz w:val="21"/>
                <w:szCs w:val="21"/>
              </w:rPr>
              <w:t>定期清掏，用于周围农田农肥使用，不外</w:t>
            </w:r>
            <w:r>
              <w:rPr>
                <w:rFonts w:cs="Times New Roman"/>
                <w:color w:val="auto"/>
                <w:sz w:val="21"/>
                <w:szCs w:val="21"/>
              </w:rPr>
              <w:t>排</w:t>
            </w:r>
          </w:p>
        </w:tc>
      </w:tr>
      <w:tr>
        <w:tblPrEx>
          <w:tblCellMar>
            <w:top w:w="0" w:type="dxa"/>
            <w:left w:w="0" w:type="dxa"/>
            <w:bottom w:w="0" w:type="dxa"/>
            <w:right w:w="0" w:type="dxa"/>
          </w:tblCellMar>
        </w:tblPrEx>
        <w:trPr>
          <w:trHeight w:val="396" w:hRule="exact"/>
          <w:jc w:val="center"/>
        </w:trPr>
        <w:tc>
          <w:tcPr>
            <w:tcW w:w="932" w:type="dxa"/>
            <w:vMerge w:val="continue"/>
            <w:tcBorders>
              <w:top w:val="single" w:color="000000" w:sz="4" w:space="0"/>
              <w:left w:val="nil"/>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777" w:type="dxa"/>
            <w:vMerge w:val="continue"/>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931"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position w:val="2"/>
                <w:sz w:val="21"/>
                <w:szCs w:val="21"/>
              </w:rPr>
              <w:t>BOD</w:t>
            </w:r>
            <w:r>
              <w:rPr>
                <w:rFonts w:cs="Times New Roman"/>
                <w:color w:val="auto"/>
                <w:sz w:val="13"/>
                <w:szCs w:val="13"/>
              </w:rPr>
              <w:t>5</w:t>
            </w:r>
          </w:p>
        </w:tc>
        <w:tc>
          <w:tcPr>
            <w:tcW w:w="1398"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150</w:t>
            </w:r>
          </w:p>
        </w:tc>
        <w:tc>
          <w:tcPr>
            <w:tcW w:w="1399"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0.367</w:t>
            </w:r>
          </w:p>
        </w:tc>
        <w:tc>
          <w:tcPr>
            <w:tcW w:w="1758" w:type="dxa"/>
            <w:vMerge w:val="continue"/>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1708" w:type="dxa"/>
            <w:vMerge w:val="continue"/>
            <w:tcBorders>
              <w:top w:val="single" w:color="000000" w:sz="4" w:space="0"/>
              <w:left w:val="single" w:color="000000" w:sz="4" w:space="0"/>
              <w:bottom w:val="single" w:color="000000" w:sz="10" w:space="0"/>
              <w:right w:val="nil"/>
            </w:tcBorders>
            <w:vAlign w:val="center"/>
          </w:tcPr>
          <w:p>
            <w:pPr>
              <w:kinsoku w:val="0"/>
              <w:overflowPunct w:val="0"/>
              <w:snapToGrid w:val="0"/>
              <w:spacing w:line="240" w:lineRule="auto"/>
              <w:ind w:firstLine="0" w:firstLineChars="0"/>
              <w:jc w:val="center"/>
              <w:rPr>
                <w:rFonts w:cs="Times New Roman"/>
                <w:color w:val="auto"/>
              </w:rPr>
            </w:pPr>
          </w:p>
        </w:tc>
      </w:tr>
      <w:tr>
        <w:tblPrEx>
          <w:tblCellMar>
            <w:top w:w="0" w:type="dxa"/>
            <w:left w:w="0" w:type="dxa"/>
            <w:bottom w:w="0" w:type="dxa"/>
            <w:right w:w="0" w:type="dxa"/>
          </w:tblCellMar>
        </w:tblPrEx>
        <w:trPr>
          <w:trHeight w:val="396" w:hRule="exact"/>
          <w:jc w:val="center"/>
        </w:trPr>
        <w:tc>
          <w:tcPr>
            <w:tcW w:w="932" w:type="dxa"/>
            <w:vMerge w:val="continue"/>
            <w:tcBorders>
              <w:top w:val="single" w:color="000000" w:sz="4" w:space="0"/>
              <w:left w:val="nil"/>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777" w:type="dxa"/>
            <w:vMerge w:val="continue"/>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931"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SS</w:t>
            </w:r>
          </w:p>
        </w:tc>
        <w:tc>
          <w:tcPr>
            <w:tcW w:w="1398"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200</w:t>
            </w:r>
          </w:p>
        </w:tc>
        <w:tc>
          <w:tcPr>
            <w:tcW w:w="1399"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0.490</w:t>
            </w:r>
          </w:p>
        </w:tc>
        <w:tc>
          <w:tcPr>
            <w:tcW w:w="1758" w:type="dxa"/>
            <w:vMerge w:val="continue"/>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1708" w:type="dxa"/>
            <w:vMerge w:val="continue"/>
            <w:tcBorders>
              <w:top w:val="single" w:color="000000" w:sz="4" w:space="0"/>
              <w:left w:val="single" w:color="000000" w:sz="4" w:space="0"/>
              <w:bottom w:val="single" w:color="000000" w:sz="10" w:space="0"/>
              <w:right w:val="nil"/>
            </w:tcBorders>
            <w:vAlign w:val="center"/>
          </w:tcPr>
          <w:p>
            <w:pPr>
              <w:kinsoku w:val="0"/>
              <w:overflowPunct w:val="0"/>
              <w:snapToGrid w:val="0"/>
              <w:spacing w:line="240" w:lineRule="auto"/>
              <w:ind w:firstLine="0" w:firstLineChars="0"/>
              <w:jc w:val="center"/>
              <w:rPr>
                <w:rFonts w:cs="Times New Roman"/>
                <w:color w:val="auto"/>
              </w:rPr>
            </w:pPr>
          </w:p>
        </w:tc>
      </w:tr>
      <w:tr>
        <w:tblPrEx>
          <w:tblCellMar>
            <w:top w:w="0" w:type="dxa"/>
            <w:left w:w="0" w:type="dxa"/>
            <w:bottom w:w="0" w:type="dxa"/>
            <w:right w:w="0" w:type="dxa"/>
          </w:tblCellMar>
        </w:tblPrEx>
        <w:trPr>
          <w:trHeight w:val="396" w:hRule="exact"/>
          <w:jc w:val="center"/>
        </w:trPr>
        <w:tc>
          <w:tcPr>
            <w:tcW w:w="932" w:type="dxa"/>
            <w:vMerge w:val="continue"/>
            <w:tcBorders>
              <w:top w:val="single" w:color="000000" w:sz="4" w:space="0"/>
              <w:left w:val="nil"/>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777" w:type="dxa"/>
            <w:vMerge w:val="continue"/>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931"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氨氮</w:t>
            </w:r>
          </w:p>
        </w:tc>
        <w:tc>
          <w:tcPr>
            <w:tcW w:w="1398"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30</w:t>
            </w:r>
          </w:p>
        </w:tc>
        <w:tc>
          <w:tcPr>
            <w:tcW w:w="1399"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0.073</w:t>
            </w:r>
          </w:p>
        </w:tc>
        <w:tc>
          <w:tcPr>
            <w:tcW w:w="1758" w:type="dxa"/>
            <w:vMerge w:val="continue"/>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1708" w:type="dxa"/>
            <w:vMerge w:val="continue"/>
            <w:tcBorders>
              <w:top w:val="single" w:color="000000" w:sz="4" w:space="0"/>
              <w:left w:val="single" w:color="000000" w:sz="4" w:space="0"/>
              <w:bottom w:val="single" w:color="000000" w:sz="10" w:space="0"/>
              <w:right w:val="nil"/>
            </w:tcBorders>
            <w:vAlign w:val="center"/>
          </w:tcPr>
          <w:p>
            <w:pPr>
              <w:kinsoku w:val="0"/>
              <w:overflowPunct w:val="0"/>
              <w:snapToGrid w:val="0"/>
              <w:spacing w:line="240" w:lineRule="auto"/>
              <w:ind w:firstLine="0" w:firstLineChars="0"/>
              <w:jc w:val="center"/>
              <w:rPr>
                <w:rFonts w:cs="Times New Roman"/>
                <w:color w:val="auto"/>
              </w:rPr>
            </w:pPr>
          </w:p>
        </w:tc>
      </w:tr>
      <w:tr>
        <w:tblPrEx>
          <w:tblCellMar>
            <w:top w:w="0" w:type="dxa"/>
            <w:left w:w="0" w:type="dxa"/>
            <w:bottom w:w="0" w:type="dxa"/>
            <w:right w:w="0" w:type="dxa"/>
          </w:tblCellMar>
        </w:tblPrEx>
        <w:trPr>
          <w:trHeight w:val="403" w:hRule="exact"/>
          <w:jc w:val="center"/>
        </w:trPr>
        <w:tc>
          <w:tcPr>
            <w:tcW w:w="932" w:type="dxa"/>
            <w:vMerge w:val="continue"/>
            <w:tcBorders>
              <w:top w:val="single" w:color="000000" w:sz="4" w:space="0"/>
              <w:left w:val="nil"/>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777" w:type="dxa"/>
            <w:vMerge w:val="continue"/>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931" w:type="dxa"/>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动植物油</w:t>
            </w:r>
          </w:p>
        </w:tc>
        <w:tc>
          <w:tcPr>
            <w:tcW w:w="1398" w:type="dxa"/>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25</w:t>
            </w:r>
          </w:p>
        </w:tc>
        <w:tc>
          <w:tcPr>
            <w:tcW w:w="1399" w:type="dxa"/>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0.061</w:t>
            </w:r>
          </w:p>
        </w:tc>
        <w:tc>
          <w:tcPr>
            <w:tcW w:w="1758" w:type="dxa"/>
            <w:vMerge w:val="continue"/>
            <w:tcBorders>
              <w:top w:val="single" w:color="000000" w:sz="4" w:space="0"/>
              <w:left w:val="single" w:color="000000" w:sz="4" w:space="0"/>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p>
        </w:tc>
        <w:tc>
          <w:tcPr>
            <w:tcW w:w="1708" w:type="dxa"/>
            <w:vMerge w:val="continue"/>
            <w:tcBorders>
              <w:top w:val="single" w:color="000000" w:sz="4" w:space="0"/>
              <w:left w:val="single" w:color="000000" w:sz="4" w:space="0"/>
              <w:bottom w:val="single" w:color="000000" w:sz="10" w:space="0"/>
              <w:right w:val="nil"/>
            </w:tcBorders>
            <w:vAlign w:val="center"/>
          </w:tcPr>
          <w:p>
            <w:pPr>
              <w:kinsoku w:val="0"/>
              <w:overflowPunct w:val="0"/>
              <w:snapToGrid w:val="0"/>
              <w:spacing w:line="240" w:lineRule="auto"/>
              <w:ind w:firstLine="0" w:firstLineChars="0"/>
              <w:jc w:val="center"/>
              <w:rPr>
                <w:rFonts w:cs="Times New Roman"/>
                <w:color w:val="auto"/>
              </w:rPr>
            </w:pPr>
          </w:p>
        </w:tc>
      </w:tr>
    </w:tbl>
    <w:p>
      <w:pPr>
        <w:snapToGrid w:val="0"/>
        <w:ind w:firstLine="500"/>
        <w:jc w:val="left"/>
        <w:outlineLvl w:val="3"/>
        <w:rPr>
          <w:rFonts w:cs="Times New Roman"/>
          <w:color w:val="auto"/>
          <w:spacing w:val="5"/>
        </w:rPr>
      </w:pPr>
      <w:r>
        <w:rPr>
          <w:rFonts w:cs="Times New Roman"/>
          <w:color w:val="auto"/>
          <w:spacing w:val="5"/>
        </w:rPr>
        <w:t>3</w:t>
      </w:r>
      <w:r>
        <w:rPr>
          <w:rFonts w:hint="eastAsia" w:cs="Times New Roman"/>
          <w:color w:val="auto"/>
          <w:spacing w:val="5"/>
        </w:rPr>
        <w:t>.</w:t>
      </w:r>
      <w:r>
        <w:rPr>
          <w:rFonts w:cs="Times New Roman"/>
          <w:color w:val="auto"/>
          <w:spacing w:val="5"/>
        </w:rPr>
        <w:t>噪声污染源</w:t>
      </w:r>
    </w:p>
    <w:p>
      <w:pPr>
        <w:snapToGrid w:val="0"/>
        <w:ind w:firstLine="500"/>
        <w:rPr>
          <w:rFonts w:cs="Times New Roman"/>
          <w:color w:val="auto"/>
          <w:spacing w:val="5"/>
        </w:rPr>
      </w:pPr>
      <w:r>
        <w:rPr>
          <w:rFonts w:cs="Times New Roman"/>
          <w:color w:val="auto"/>
          <w:spacing w:val="5"/>
        </w:rPr>
        <w:t>施工期主要噪声源为施工机械的高噪声以及运输车辆的交通噪声，施工期噪声对施工现场人员及沿线附近的居民生活环境将产生一定的影响。本工程施工机械设备主要有压路机、搅拌机、装载机、推土机、拖拉机、打夯机、挖掘机、运输车辆等，噪声一般都在80～95dB之间。施工过程中，不同阶段会使用不同的机械设备，使现场产生具有强度较高、无规则、不连续等特点的噪声。其强度与施工机械的功率、工作状态等因素有关。</w:t>
      </w:r>
    </w:p>
    <w:p>
      <w:pPr>
        <w:snapToGrid w:val="0"/>
        <w:spacing w:line="240" w:lineRule="auto"/>
        <w:ind w:firstLine="0" w:firstLineChars="0"/>
        <w:jc w:val="center"/>
        <w:rPr>
          <w:rFonts w:cs="Times New Roman"/>
          <w:b/>
          <w:color w:val="auto"/>
          <w:spacing w:val="5"/>
        </w:rPr>
      </w:pPr>
      <w:r>
        <w:rPr>
          <w:rFonts w:cs="Times New Roman"/>
          <w:b/>
          <w:color w:val="auto"/>
          <w:spacing w:val="5"/>
        </w:rPr>
        <w:t>表3.6-</w:t>
      </w:r>
      <w:r>
        <w:rPr>
          <w:rFonts w:hint="eastAsia" w:cs="Times New Roman"/>
          <w:b/>
          <w:color w:val="auto"/>
          <w:spacing w:val="5"/>
          <w:lang w:val="en-US" w:eastAsia="zh-CN"/>
        </w:rPr>
        <w:t>7</w:t>
      </w:r>
      <w:r>
        <w:rPr>
          <w:rFonts w:cs="Times New Roman"/>
          <w:b/>
          <w:color w:val="auto"/>
          <w:spacing w:val="5"/>
        </w:rPr>
        <w:t xml:space="preserve">  施工机械产噪值一览表</w:t>
      </w:r>
    </w:p>
    <w:tbl>
      <w:tblPr>
        <w:tblStyle w:val="188"/>
        <w:tblW w:w="9516"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1840"/>
        <w:gridCol w:w="2143"/>
        <w:gridCol w:w="2143"/>
        <w:gridCol w:w="214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tblHeader/>
          <w:jc w:val="center"/>
        </w:trPr>
        <w:tc>
          <w:tcPr>
            <w:tcW w:w="1247" w:type="dxa"/>
            <w:tcBorders>
              <w:top w:val="single" w:color="000000" w:sz="12" w:space="0"/>
              <w:bottom w:val="single" w:color="000000" w:sz="12" w:space="0"/>
            </w:tcBorders>
          </w:tcPr>
          <w:p>
            <w:pPr>
              <w:snapToGrid w:val="0"/>
              <w:spacing w:line="240" w:lineRule="auto"/>
              <w:ind w:firstLine="0" w:firstLineChars="0"/>
              <w:jc w:val="center"/>
              <w:rPr>
                <w:rFonts w:cs="Times New Roman" w:eastAsiaTheme="minorEastAsia"/>
                <w:b/>
                <w:snapToGrid w:val="0"/>
                <w:color w:val="auto"/>
                <w:spacing w:val="4"/>
                <w:sz w:val="21"/>
                <w:szCs w:val="21"/>
              </w:rPr>
            </w:pPr>
            <w:r>
              <w:rPr>
                <w:rFonts w:cs="Times New Roman" w:eastAsiaTheme="minorEastAsia"/>
                <w:b/>
                <w:snapToGrid w:val="0"/>
                <w:color w:val="auto"/>
                <w:spacing w:val="4"/>
                <w:sz w:val="21"/>
                <w:szCs w:val="21"/>
              </w:rPr>
              <w:t>序号</w:t>
            </w:r>
          </w:p>
        </w:tc>
        <w:tc>
          <w:tcPr>
            <w:tcW w:w="1840" w:type="dxa"/>
            <w:tcBorders>
              <w:top w:val="single" w:color="000000" w:sz="12" w:space="0"/>
              <w:bottom w:val="single" w:color="000000" w:sz="12" w:space="0"/>
            </w:tcBorders>
            <w:vAlign w:val="center"/>
          </w:tcPr>
          <w:p>
            <w:pPr>
              <w:snapToGrid w:val="0"/>
              <w:spacing w:line="240" w:lineRule="auto"/>
              <w:ind w:firstLine="0" w:firstLineChars="0"/>
              <w:jc w:val="center"/>
              <w:rPr>
                <w:rFonts w:cs="Times New Roman"/>
                <w:b/>
                <w:snapToGrid w:val="0"/>
                <w:color w:val="auto"/>
                <w:sz w:val="21"/>
                <w:szCs w:val="21"/>
              </w:rPr>
            </w:pPr>
            <w:r>
              <w:rPr>
                <w:rFonts w:cs="Times New Roman"/>
                <w:b/>
                <w:snapToGrid w:val="0"/>
                <w:color w:val="auto"/>
                <w:spacing w:val="7"/>
                <w:sz w:val="21"/>
                <w:szCs w:val="21"/>
              </w:rPr>
              <w:t>名</w:t>
            </w:r>
            <w:r>
              <w:rPr>
                <w:rFonts w:cs="Times New Roman"/>
                <w:b/>
                <w:snapToGrid w:val="0"/>
                <w:color w:val="auto"/>
                <w:spacing w:val="4"/>
                <w:sz w:val="21"/>
                <w:szCs w:val="21"/>
              </w:rPr>
              <w:t>称</w:t>
            </w:r>
          </w:p>
        </w:tc>
        <w:tc>
          <w:tcPr>
            <w:tcW w:w="2143" w:type="dxa"/>
            <w:tcBorders>
              <w:top w:val="single" w:color="000000" w:sz="12" w:space="0"/>
              <w:bottom w:val="single" w:color="000000" w:sz="12" w:space="0"/>
            </w:tcBorders>
            <w:vAlign w:val="center"/>
          </w:tcPr>
          <w:p>
            <w:pPr>
              <w:snapToGrid w:val="0"/>
              <w:spacing w:line="240" w:lineRule="auto"/>
              <w:ind w:firstLine="0" w:firstLineChars="0"/>
              <w:jc w:val="center"/>
              <w:rPr>
                <w:rFonts w:cs="Times New Roman"/>
                <w:b/>
                <w:snapToGrid w:val="0"/>
                <w:color w:val="auto"/>
                <w:sz w:val="21"/>
                <w:szCs w:val="21"/>
              </w:rPr>
            </w:pPr>
            <w:r>
              <w:rPr>
                <w:rFonts w:cs="Times New Roman"/>
                <w:b/>
                <w:snapToGrid w:val="0"/>
                <w:color w:val="auto"/>
                <w:spacing w:val="4"/>
                <w:sz w:val="21"/>
                <w:szCs w:val="21"/>
              </w:rPr>
              <w:t>单</w:t>
            </w:r>
            <w:r>
              <w:rPr>
                <w:rFonts w:cs="Times New Roman"/>
                <w:b/>
                <w:snapToGrid w:val="0"/>
                <w:color w:val="auto"/>
                <w:spacing w:val="3"/>
                <w:sz w:val="21"/>
                <w:szCs w:val="21"/>
              </w:rPr>
              <w:t>位</w:t>
            </w:r>
          </w:p>
        </w:tc>
        <w:tc>
          <w:tcPr>
            <w:tcW w:w="2143" w:type="dxa"/>
            <w:tcBorders>
              <w:top w:val="single" w:color="000000" w:sz="12" w:space="0"/>
              <w:bottom w:val="single" w:color="000000" w:sz="12" w:space="0"/>
            </w:tcBorders>
            <w:vAlign w:val="center"/>
          </w:tcPr>
          <w:p>
            <w:pPr>
              <w:snapToGrid w:val="0"/>
              <w:spacing w:line="240" w:lineRule="auto"/>
              <w:ind w:firstLine="0" w:firstLineChars="0"/>
              <w:jc w:val="center"/>
              <w:rPr>
                <w:rFonts w:cs="Times New Roman"/>
                <w:b/>
                <w:snapToGrid w:val="0"/>
                <w:color w:val="auto"/>
                <w:sz w:val="21"/>
                <w:szCs w:val="21"/>
              </w:rPr>
            </w:pPr>
            <w:r>
              <w:rPr>
                <w:rFonts w:cs="Times New Roman"/>
                <w:b/>
                <w:snapToGrid w:val="0"/>
                <w:color w:val="auto"/>
                <w:spacing w:val="4"/>
                <w:sz w:val="21"/>
                <w:szCs w:val="21"/>
              </w:rPr>
              <w:t>数</w:t>
            </w:r>
            <w:r>
              <w:rPr>
                <w:rFonts w:cs="Times New Roman"/>
                <w:b/>
                <w:snapToGrid w:val="0"/>
                <w:color w:val="auto"/>
                <w:spacing w:val="3"/>
                <w:sz w:val="21"/>
                <w:szCs w:val="21"/>
              </w:rPr>
              <w:t>量</w:t>
            </w:r>
          </w:p>
        </w:tc>
        <w:tc>
          <w:tcPr>
            <w:tcW w:w="2143" w:type="dxa"/>
            <w:tcBorders>
              <w:top w:val="single" w:color="000000" w:sz="12" w:space="0"/>
              <w:bottom w:val="single" w:color="000000" w:sz="12" w:space="0"/>
            </w:tcBorders>
            <w:vAlign w:val="center"/>
          </w:tcPr>
          <w:p>
            <w:pPr>
              <w:snapToGrid w:val="0"/>
              <w:spacing w:line="240" w:lineRule="auto"/>
              <w:ind w:firstLine="0" w:firstLineChars="0"/>
              <w:jc w:val="center"/>
              <w:rPr>
                <w:rFonts w:cs="Times New Roman"/>
                <w:b/>
                <w:snapToGrid w:val="0"/>
                <w:color w:val="auto"/>
                <w:sz w:val="21"/>
                <w:szCs w:val="21"/>
              </w:rPr>
            </w:pPr>
            <w:r>
              <w:rPr>
                <w:rFonts w:cs="Times New Roman"/>
                <w:b/>
                <w:snapToGrid w:val="0"/>
                <w:color w:val="auto"/>
                <w:spacing w:val="4"/>
                <w:sz w:val="21"/>
                <w:szCs w:val="21"/>
              </w:rPr>
              <w:t>噪声源强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tcBorders>
              <w:top w:val="single" w:color="000000" w:sz="12" w:space="0"/>
            </w:tcBorders>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w:t>
            </w:r>
          </w:p>
        </w:tc>
        <w:tc>
          <w:tcPr>
            <w:tcW w:w="1840" w:type="dxa"/>
            <w:tcBorders>
              <w:top w:val="single" w:color="000000" w:sz="12" w:space="0"/>
            </w:tcBorders>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压</w:t>
            </w:r>
            <w:r>
              <w:rPr>
                <w:rFonts w:cs="Times New Roman"/>
                <w:snapToGrid w:val="0"/>
                <w:color w:val="auto"/>
                <w:spacing w:val="6"/>
                <w:sz w:val="21"/>
                <w:szCs w:val="21"/>
              </w:rPr>
              <w:t>路机</w:t>
            </w:r>
          </w:p>
        </w:tc>
        <w:tc>
          <w:tcPr>
            <w:tcW w:w="2143" w:type="dxa"/>
            <w:tcBorders>
              <w:top w:val="single" w:color="000000" w:sz="12" w:space="0"/>
            </w:tcBorders>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2143" w:type="dxa"/>
            <w:tcBorders>
              <w:top w:val="single" w:color="000000" w:sz="12" w:space="0"/>
            </w:tcBorders>
            <w:vAlign w:val="center"/>
          </w:tcPr>
          <w:p>
            <w:pPr>
              <w:snapToGrid w:val="0"/>
              <w:spacing w:line="240" w:lineRule="auto"/>
              <w:ind w:firstLine="0" w:firstLineChars="0"/>
              <w:jc w:val="center"/>
              <w:rPr>
                <w:rFonts w:hint="eastAsia" w:eastAsia="宋体" w:cs="Times New Roman"/>
                <w:snapToGrid w:val="0"/>
                <w:color w:val="auto"/>
                <w:sz w:val="21"/>
                <w:szCs w:val="21"/>
                <w:lang w:eastAsia="zh-CN"/>
              </w:rPr>
            </w:pPr>
            <w:r>
              <w:rPr>
                <w:rFonts w:hint="eastAsia" w:cs="Times New Roman"/>
                <w:snapToGrid w:val="0"/>
                <w:color w:val="auto"/>
                <w:sz w:val="21"/>
                <w:szCs w:val="21"/>
                <w:lang w:val="en-US" w:eastAsia="zh-CN"/>
              </w:rPr>
              <w:t>2</w:t>
            </w:r>
          </w:p>
        </w:tc>
        <w:tc>
          <w:tcPr>
            <w:tcW w:w="2143" w:type="dxa"/>
            <w:tcBorders>
              <w:top w:val="single" w:color="000000" w:sz="12" w:space="0"/>
            </w:tcBorders>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2</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8"/>
                <w:sz w:val="21"/>
                <w:szCs w:val="21"/>
              </w:rPr>
              <w:t>交</w:t>
            </w:r>
            <w:r>
              <w:rPr>
                <w:rFonts w:cs="Times New Roman"/>
                <w:snapToGrid w:val="0"/>
                <w:color w:val="auto"/>
                <w:spacing w:val="7"/>
                <w:sz w:val="21"/>
                <w:szCs w:val="21"/>
              </w:rPr>
              <w:t>流电焊机</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2143" w:type="dxa"/>
            <w:vAlign w:val="center"/>
          </w:tcPr>
          <w:p>
            <w:pPr>
              <w:snapToGrid w:val="0"/>
              <w:spacing w:line="240" w:lineRule="auto"/>
              <w:ind w:firstLine="0" w:firstLineChars="0"/>
              <w:jc w:val="center"/>
              <w:rPr>
                <w:rFonts w:hint="eastAsia" w:eastAsia="宋体" w:cs="Times New Roman"/>
                <w:snapToGrid w:val="0"/>
                <w:color w:val="auto"/>
                <w:sz w:val="21"/>
                <w:szCs w:val="21"/>
                <w:lang w:eastAsia="zh-CN"/>
              </w:rPr>
            </w:pPr>
            <w:r>
              <w:rPr>
                <w:rFonts w:hint="eastAsia" w:cs="Times New Roman"/>
                <w:snapToGrid w:val="0"/>
                <w:color w:val="auto"/>
                <w:sz w:val="21"/>
                <w:szCs w:val="21"/>
                <w:lang w:val="en-US" w:eastAsia="zh-CN"/>
              </w:rPr>
              <w:t>4</w:t>
            </w:r>
          </w:p>
        </w:tc>
        <w:tc>
          <w:tcPr>
            <w:tcW w:w="2143" w:type="dxa"/>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3</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2"/>
                <w:sz w:val="21"/>
                <w:szCs w:val="21"/>
              </w:rPr>
              <w:t>自</w:t>
            </w:r>
            <w:r>
              <w:rPr>
                <w:rFonts w:cs="Times New Roman"/>
                <w:snapToGrid w:val="0"/>
                <w:color w:val="auto"/>
                <w:spacing w:val="-1"/>
                <w:sz w:val="21"/>
                <w:szCs w:val="21"/>
              </w:rPr>
              <w:t>卸汽车</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1"/>
                <w:sz w:val="21"/>
                <w:szCs w:val="21"/>
              </w:rPr>
              <w:t>辆</w:t>
            </w:r>
          </w:p>
        </w:tc>
        <w:tc>
          <w:tcPr>
            <w:tcW w:w="2143" w:type="dxa"/>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8"/>
                <w:sz w:val="21"/>
                <w:szCs w:val="21"/>
                <w:lang w:val="en-US" w:eastAsia="zh-CN"/>
              </w:rPr>
              <w:t>10</w:t>
            </w:r>
          </w:p>
        </w:tc>
        <w:tc>
          <w:tcPr>
            <w:tcW w:w="2143" w:type="dxa"/>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4</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6"/>
                <w:sz w:val="21"/>
                <w:szCs w:val="21"/>
              </w:rPr>
              <w:t>水泵</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2143" w:type="dxa"/>
            <w:vAlign w:val="center"/>
          </w:tcPr>
          <w:p>
            <w:pPr>
              <w:snapToGrid w:val="0"/>
              <w:spacing w:line="240" w:lineRule="auto"/>
              <w:ind w:firstLine="0" w:firstLineChars="0"/>
              <w:jc w:val="center"/>
              <w:rPr>
                <w:rFonts w:eastAsia="Times New Roman" w:cs="Times New Roman"/>
                <w:snapToGrid w:val="0"/>
                <w:color w:val="auto"/>
                <w:sz w:val="21"/>
                <w:szCs w:val="21"/>
              </w:rPr>
            </w:pPr>
            <w:r>
              <w:rPr>
                <w:rFonts w:eastAsia="Times New Roman" w:cs="Times New Roman"/>
                <w:snapToGrid w:val="0"/>
                <w:color w:val="auto"/>
                <w:spacing w:val="3"/>
                <w:sz w:val="21"/>
                <w:szCs w:val="21"/>
              </w:rPr>
              <w:t>2</w:t>
            </w:r>
            <w:r>
              <w:rPr>
                <w:rFonts w:eastAsia="Times New Roman" w:cs="Times New Roman"/>
                <w:snapToGrid w:val="0"/>
                <w:color w:val="auto"/>
                <w:spacing w:val="2"/>
                <w:sz w:val="21"/>
                <w:szCs w:val="21"/>
              </w:rPr>
              <w:t>0</w:t>
            </w:r>
          </w:p>
        </w:tc>
        <w:tc>
          <w:tcPr>
            <w:tcW w:w="2143" w:type="dxa"/>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5</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9"/>
                <w:sz w:val="21"/>
                <w:szCs w:val="21"/>
              </w:rPr>
              <w:t>砼</w:t>
            </w:r>
            <w:r>
              <w:rPr>
                <w:rFonts w:cs="Times New Roman"/>
                <w:snapToGrid w:val="0"/>
                <w:color w:val="auto"/>
                <w:spacing w:val="7"/>
                <w:sz w:val="21"/>
                <w:szCs w:val="21"/>
              </w:rPr>
              <w:t>搅拌机</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2143" w:type="dxa"/>
            <w:vAlign w:val="center"/>
          </w:tcPr>
          <w:p>
            <w:pPr>
              <w:snapToGrid w:val="0"/>
              <w:spacing w:line="240" w:lineRule="auto"/>
              <w:ind w:firstLine="0" w:firstLineChars="0"/>
              <w:jc w:val="center"/>
              <w:rPr>
                <w:rFonts w:hint="eastAsia" w:eastAsia="宋体" w:cs="Times New Roman"/>
                <w:snapToGrid w:val="0"/>
                <w:color w:val="auto"/>
                <w:sz w:val="21"/>
                <w:szCs w:val="21"/>
                <w:lang w:eastAsia="zh-CN"/>
              </w:rPr>
            </w:pPr>
            <w:r>
              <w:rPr>
                <w:rFonts w:hint="eastAsia" w:cs="Times New Roman"/>
                <w:snapToGrid w:val="0"/>
                <w:color w:val="auto"/>
                <w:spacing w:val="-8"/>
                <w:sz w:val="21"/>
                <w:szCs w:val="21"/>
                <w:lang w:val="en-US" w:eastAsia="zh-CN"/>
              </w:rPr>
              <w:t>5</w:t>
            </w:r>
          </w:p>
        </w:tc>
        <w:tc>
          <w:tcPr>
            <w:tcW w:w="2143" w:type="dxa"/>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6</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拖</w:t>
            </w:r>
            <w:r>
              <w:rPr>
                <w:rFonts w:cs="Times New Roman"/>
                <w:snapToGrid w:val="0"/>
                <w:color w:val="auto"/>
                <w:spacing w:val="6"/>
                <w:sz w:val="21"/>
                <w:szCs w:val="21"/>
              </w:rPr>
              <w:t>拉机</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1"/>
                <w:sz w:val="21"/>
                <w:szCs w:val="21"/>
              </w:rPr>
              <w:t>辆</w:t>
            </w:r>
          </w:p>
        </w:tc>
        <w:tc>
          <w:tcPr>
            <w:tcW w:w="2143" w:type="dxa"/>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1"/>
                <w:sz w:val="21"/>
                <w:szCs w:val="21"/>
                <w:lang w:val="en-US" w:eastAsia="zh-CN"/>
              </w:rPr>
              <w:t>20</w:t>
            </w:r>
          </w:p>
        </w:tc>
        <w:tc>
          <w:tcPr>
            <w:tcW w:w="2143" w:type="dxa"/>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7</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推土</w:t>
            </w:r>
            <w:r>
              <w:rPr>
                <w:rFonts w:cs="Times New Roman"/>
                <w:snapToGrid w:val="0"/>
                <w:color w:val="auto"/>
                <w:spacing w:val="6"/>
                <w:sz w:val="21"/>
                <w:szCs w:val="21"/>
              </w:rPr>
              <w:t>机</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2143" w:type="dxa"/>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8"/>
                <w:sz w:val="21"/>
                <w:szCs w:val="21"/>
                <w:lang w:val="en-US" w:eastAsia="zh-CN"/>
              </w:rPr>
              <w:t>10</w:t>
            </w:r>
          </w:p>
        </w:tc>
        <w:tc>
          <w:tcPr>
            <w:tcW w:w="2143" w:type="dxa"/>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8</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3m</w:t>
            </w:r>
            <w:r>
              <w:rPr>
                <w:rFonts w:cs="Times New Roman"/>
                <w:snapToGrid w:val="0"/>
                <w:color w:val="auto"/>
                <w:spacing w:val="7"/>
                <w:sz w:val="21"/>
                <w:szCs w:val="21"/>
                <w:vertAlign w:val="superscript"/>
              </w:rPr>
              <w:t>3</w:t>
            </w:r>
            <w:r>
              <w:rPr>
                <w:rFonts w:cs="Times New Roman"/>
                <w:snapToGrid w:val="0"/>
                <w:color w:val="auto"/>
                <w:spacing w:val="7"/>
                <w:sz w:val="21"/>
                <w:szCs w:val="21"/>
              </w:rPr>
              <w:t>挖掘机</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2143" w:type="dxa"/>
            <w:vAlign w:val="center"/>
          </w:tcPr>
          <w:p>
            <w:pPr>
              <w:snapToGrid w:val="0"/>
              <w:spacing w:line="240" w:lineRule="auto"/>
              <w:ind w:firstLine="0" w:firstLineChars="0"/>
              <w:jc w:val="center"/>
              <w:rPr>
                <w:rFonts w:eastAsia="Times New Roman" w:cs="Times New Roman"/>
                <w:snapToGrid w:val="0"/>
                <w:color w:val="auto"/>
                <w:sz w:val="21"/>
                <w:szCs w:val="21"/>
              </w:rPr>
            </w:pPr>
            <w:r>
              <w:rPr>
                <w:rFonts w:eastAsia="Times New Roman" w:cs="Times New Roman"/>
                <w:snapToGrid w:val="0"/>
                <w:color w:val="auto"/>
                <w:spacing w:val="-8"/>
                <w:sz w:val="21"/>
                <w:szCs w:val="21"/>
              </w:rPr>
              <w:t>1</w:t>
            </w:r>
            <w:r>
              <w:rPr>
                <w:rFonts w:eastAsia="Times New Roman" w:cs="Times New Roman"/>
                <w:snapToGrid w:val="0"/>
                <w:color w:val="auto"/>
                <w:spacing w:val="-7"/>
                <w:sz w:val="21"/>
                <w:szCs w:val="21"/>
              </w:rPr>
              <w:t>0</w:t>
            </w:r>
          </w:p>
        </w:tc>
        <w:tc>
          <w:tcPr>
            <w:tcW w:w="2143" w:type="dxa"/>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95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9</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1m</w:t>
            </w:r>
            <w:r>
              <w:rPr>
                <w:rFonts w:cs="Times New Roman"/>
                <w:snapToGrid w:val="0"/>
                <w:color w:val="auto"/>
                <w:spacing w:val="7"/>
                <w:sz w:val="21"/>
                <w:szCs w:val="21"/>
                <w:vertAlign w:val="superscript"/>
              </w:rPr>
              <w:t>3</w:t>
            </w:r>
            <w:r>
              <w:rPr>
                <w:rFonts w:cs="Times New Roman"/>
                <w:snapToGrid w:val="0"/>
                <w:color w:val="auto"/>
                <w:spacing w:val="7"/>
                <w:sz w:val="21"/>
                <w:szCs w:val="21"/>
              </w:rPr>
              <w:t>挖掘机</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2143" w:type="dxa"/>
            <w:vAlign w:val="center"/>
          </w:tcPr>
          <w:p>
            <w:pPr>
              <w:snapToGrid w:val="0"/>
              <w:spacing w:line="240" w:lineRule="auto"/>
              <w:ind w:firstLine="0" w:firstLineChars="0"/>
              <w:jc w:val="center"/>
              <w:rPr>
                <w:rFonts w:eastAsia="Times New Roman" w:cs="Times New Roman"/>
                <w:snapToGrid w:val="0"/>
                <w:color w:val="auto"/>
                <w:sz w:val="21"/>
                <w:szCs w:val="21"/>
              </w:rPr>
            </w:pPr>
            <w:r>
              <w:rPr>
                <w:rFonts w:eastAsia="Times New Roman" w:cs="Times New Roman"/>
                <w:snapToGrid w:val="0"/>
                <w:color w:val="auto"/>
                <w:spacing w:val="-8"/>
                <w:sz w:val="21"/>
                <w:szCs w:val="21"/>
              </w:rPr>
              <w:t>1</w:t>
            </w:r>
            <w:r>
              <w:rPr>
                <w:rFonts w:eastAsia="Times New Roman" w:cs="Times New Roman"/>
                <w:snapToGrid w:val="0"/>
                <w:color w:val="auto"/>
                <w:spacing w:val="-7"/>
                <w:sz w:val="21"/>
                <w:szCs w:val="21"/>
              </w:rPr>
              <w:t>0</w:t>
            </w:r>
          </w:p>
        </w:tc>
        <w:tc>
          <w:tcPr>
            <w:tcW w:w="2143" w:type="dxa"/>
            <w:vAlign w:val="center"/>
          </w:tcPr>
          <w:p>
            <w:pPr>
              <w:snapToGrid w:val="0"/>
              <w:spacing w:line="240" w:lineRule="auto"/>
              <w:ind w:firstLine="0" w:firstLineChars="0"/>
              <w:jc w:val="center"/>
              <w:rPr>
                <w:rFonts w:eastAsia="Times New Roman" w:cs="Times New Roman"/>
                <w:snapToGrid w:val="0"/>
                <w:color w:val="auto"/>
                <w:sz w:val="21"/>
                <w:szCs w:val="21"/>
              </w:rPr>
            </w:pPr>
            <w:r>
              <w:rPr>
                <w:rFonts w:cs="Times New Roman" w:eastAsiaTheme="minorEastAsia"/>
                <w:snapToGrid w:val="0"/>
                <w:color w:val="auto"/>
                <w:sz w:val="21"/>
                <w:szCs w:val="21"/>
              </w:rPr>
              <w:t>95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10</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手风</w:t>
            </w:r>
            <w:r>
              <w:rPr>
                <w:rFonts w:cs="Times New Roman"/>
                <w:snapToGrid w:val="0"/>
                <w:color w:val="auto"/>
                <w:spacing w:val="6"/>
                <w:sz w:val="21"/>
                <w:szCs w:val="21"/>
              </w:rPr>
              <w:t>钻</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支</w:t>
            </w:r>
          </w:p>
        </w:tc>
        <w:tc>
          <w:tcPr>
            <w:tcW w:w="2143" w:type="dxa"/>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3"/>
                <w:sz w:val="21"/>
                <w:szCs w:val="21"/>
                <w:lang w:val="en-US" w:eastAsia="zh-CN"/>
              </w:rPr>
              <w:t>20</w:t>
            </w:r>
          </w:p>
        </w:tc>
        <w:tc>
          <w:tcPr>
            <w:tcW w:w="2143" w:type="dxa"/>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11</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装载</w:t>
            </w:r>
            <w:r>
              <w:rPr>
                <w:rFonts w:cs="Times New Roman"/>
                <w:snapToGrid w:val="0"/>
                <w:color w:val="auto"/>
                <w:spacing w:val="6"/>
                <w:sz w:val="21"/>
                <w:szCs w:val="21"/>
              </w:rPr>
              <w:t>机</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2143" w:type="dxa"/>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8"/>
                <w:sz w:val="21"/>
                <w:szCs w:val="21"/>
                <w:lang w:val="en-US" w:eastAsia="zh-CN"/>
              </w:rPr>
              <w:t>10</w:t>
            </w:r>
          </w:p>
        </w:tc>
        <w:tc>
          <w:tcPr>
            <w:tcW w:w="2143" w:type="dxa"/>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12</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8"/>
                <w:sz w:val="21"/>
                <w:szCs w:val="21"/>
              </w:rPr>
              <w:t>地</w:t>
            </w:r>
            <w:r>
              <w:rPr>
                <w:rFonts w:cs="Times New Roman"/>
                <w:snapToGrid w:val="0"/>
                <w:color w:val="auto"/>
                <w:spacing w:val="7"/>
                <w:sz w:val="21"/>
                <w:szCs w:val="21"/>
              </w:rPr>
              <w:t>质钻机</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2143" w:type="dxa"/>
            <w:vAlign w:val="center"/>
          </w:tcPr>
          <w:p>
            <w:pPr>
              <w:snapToGrid w:val="0"/>
              <w:spacing w:line="240" w:lineRule="auto"/>
              <w:ind w:firstLine="0" w:firstLineChars="0"/>
              <w:jc w:val="center"/>
              <w:rPr>
                <w:rFonts w:hint="eastAsia" w:eastAsia="宋体" w:cs="Times New Roman"/>
                <w:snapToGrid w:val="0"/>
                <w:color w:val="auto"/>
                <w:sz w:val="21"/>
                <w:szCs w:val="21"/>
                <w:lang w:eastAsia="zh-CN"/>
              </w:rPr>
            </w:pPr>
            <w:r>
              <w:rPr>
                <w:rFonts w:hint="eastAsia" w:cs="Times New Roman"/>
                <w:snapToGrid w:val="0"/>
                <w:color w:val="auto"/>
                <w:sz w:val="21"/>
                <w:szCs w:val="21"/>
                <w:lang w:val="en-US" w:eastAsia="zh-CN"/>
              </w:rPr>
              <w:t>4</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13</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8"/>
                <w:sz w:val="21"/>
                <w:szCs w:val="21"/>
              </w:rPr>
              <w:t>蛙式打夯</w:t>
            </w:r>
            <w:r>
              <w:rPr>
                <w:rFonts w:cs="Times New Roman"/>
                <w:snapToGrid w:val="0"/>
                <w:color w:val="auto"/>
                <w:spacing w:val="7"/>
                <w:sz w:val="21"/>
                <w:szCs w:val="21"/>
              </w:rPr>
              <w:t>机</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2143" w:type="dxa"/>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8"/>
                <w:sz w:val="21"/>
                <w:szCs w:val="21"/>
                <w:lang w:val="en-US" w:eastAsia="zh-CN"/>
              </w:rPr>
              <w:t>15</w:t>
            </w:r>
          </w:p>
        </w:tc>
        <w:tc>
          <w:tcPr>
            <w:tcW w:w="2143" w:type="dxa"/>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14</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10"/>
                <w:sz w:val="21"/>
                <w:szCs w:val="21"/>
              </w:rPr>
              <w:t>插</w:t>
            </w:r>
            <w:r>
              <w:rPr>
                <w:rFonts w:cs="Times New Roman"/>
                <w:snapToGrid w:val="0"/>
                <w:color w:val="auto"/>
                <w:spacing w:val="8"/>
                <w:sz w:val="21"/>
                <w:szCs w:val="21"/>
              </w:rPr>
              <w:t>入式振捣器</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支</w:t>
            </w:r>
          </w:p>
        </w:tc>
        <w:tc>
          <w:tcPr>
            <w:tcW w:w="2143" w:type="dxa"/>
            <w:vAlign w:val="center"/>
          </w:tcPr>
          <w:p>
            <w:pPr>
              <w:snapToGrid w:val="0"/>
              <w:spacing w:line="240" w:lineRule="auto"/>
              <w:ind w:firstLine="0" w:firstLineChars="0"/>
              <w:jc w:val="center"/>
              <w:rPr>
                <w:rFonts w:hint="default" w:eastAsia="宋体" w:cs="Times New Roman"/>
                <w:snapToGrid w:val="0"/>
                <w:color w:val="auto"/>
                <w:sz w:val="21"/>
                <w:szCs w:val="21"/>
                <w:lang w:val="en-US" w:eastAsia="zh-CN"/>
              </w:rPr>
            </w:pPr>
            <w:r>
              <w:rPr>
                <w:rFonts w:hint="eastAsia" w:cs="Times New Roman"/>
                <w:snapToGrid w:val="0"/>
                <w:color w:val="auto"/>
                <w:spacing w:val="-8"/>
                <w:sz w:val="21"/>
                <w:szCs w:val="21"/>
                <w:lang w:val="en-US" w:eastAsia="zh-CN"/>
              </w:rPr>
              <w:t>20</w:t>
            </w:r>
          </w:p>
        </w:tc>
        <w:tc>
          <w:tcPr>
            <w:tcW w:w="2143" w:type="dxa"/>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15</w:t>
            </w:r>
          </w:p>
        </w:tc>
        <w:tc>
          <w:tcPr>
            <w:tcW w:w="1840"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pacing w:val="7"/>
                <w:sz w:val="21"/>
                <w:szCs w:val="21"/>
              </w:rPr>
              <w:t>振动碾</w:t>
            </w:r>
          </w:p>
        </w:tc>
        <w:tc>
          <w:tcPr>
            <w:tcW w:w="2143" w:type="dxa"/>
            <w:vAlign w:val="center"/>
          </w:tcPr>
          <w:p>
            <w:pPr>
              <w:snapToGrid w:val="0"/>
              <w:spacing w:line="240" w:lineRule="auto"/>
              <w:ind w:firstLine="0" w:firstLineChars="0"/>
              <w:jc w:val="center"/>
              <w:rPr>
                <w:rFonts w:cs="Times New Roman"/>
                <w:snapToGrid w:val="0"/>
                <w:color w:val="auto"/>
                <w:sz w:val="21"/>
                <w:szCs w:val="21"/>
              </w:rPr>
            </w:pPr>
            <w:r>
              <w:rPr>
                <w:rFonts w:cs="Times New Roman"/>
                <w:snapToGrid w:val="0"/>
                <w:color w:val="auto"/>
                <w:sz w:val="21"/>
                <w:szCs w:val="21"/>
              </w:rPr>
              <w:t>台</w:t>
            </w:r>
          </w:p>
        </w:tc>
        <w:tc>
          <w:tcPr>
            <w:tcW w:w="2143" w:type="dxa"/>
            <w:vAlign w:val="center"/>
          </w:tcPr>
          <w:p>
            <w:pPr>
              <w:snapToGrid w:val="0"/>
              <w:spacing w:line="240" w:lineRule="auto"/>
              <w:ind w:firstLine="0" w:firstLineChars="0"/>
              <w:jc w:val="center"/>
              <w:rPr>
                <w:rFonts w:hint="eastAsia" w:cs="Times New Roman" w:eastAsiaTheme="minorEastAsia"/>
                <w:snapToGrid w:val="0"/>
                <w:color w:val="auto"/>
                <w:sz w:val="21"/>
                <w:szCs w:val="21"/>
                <w:lang w:eastAsia="zh-CN"/>
              </w:rPr>
            </w:pPr>
            <w:r>
              <w:rPr>
                <w:rFonts w:hint="eastAsia" w:cs="Times New Roman" w:eastAsiaTheme="minorEastAsia"/>
                <w:snapToGrid w:val="0"/>
                <w:color w:val="auto"/>
                <w:sz w:val="21"/>
                <w:szCs w:val="21"/>
                <w:lang w:val="en-US" w:eastAsia="zh-CN"/>
              </w:rPr>
              <w:t>5</w:t>
            </w:r>
          </w:p>
        </w:tc>
        <w:tc>
          <w:tcPr>
            <w:tcW w:w="2143" w:type="dxa"/>
            <w:vAlign w:val="center"/>
          </w:tcPr>
          <w:p>
            <w:pPr>
              <w:snapToGrid w:val="0"/>
              <w:spacing w:line="240" w:lineRule="auto"/>
              <w:ind w:firstLine="0" w:firstLineChars="0"/>
              <w:jc w:val="center"/>
              <w:rPr>
                <w:rFonts w:cs="Times New Roman" w:eastAsiaTheme="minorEastAsia"/>
                <w:snapToGrid w:val="0"/>
                <w:color w:val="auto"/>
                <w:sz w:val="21"/>
                <w:szCs w:val="21"/>
              </w:rPr>
            </w:pPr>
            <w:r>
              <w:rPr>
                <w:rFonts w:cs="Times New Roman" w:eastAsiaTheme="minorEastAsia"/>
                <w:snapToGrid w:val="0"/>
                <w:color w:val="auto"/>
                <w:sz w:val="21"/>
                <w:szCs w:val="21"/>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247" w:type="dxa"/>
            <w:vAlign w:val="center"/>
          </w:tcPr>
          <w:p>
            <w:pPr>
              <w:snapToGrid w:val="0"/>
              <w:spacing w:line="240" w:lineRule="auto"/>
              <w:ind w:firstLine="0" w:firstLineChars="0"/>
              <w:jc w:val="center"/>
              <w:rPr>
                <w:rFonts w:cs="Times New Roman"/>
                <w:snapToGrid w:val="0"/>
                <w:color w:val="auto"/>
                <w:spacing w:val="6"/>
                <w:sz w:val="21"/>
                <w:szCs w:val="21"/>
              </w:rPr>
            </w:pPr>
            <w:r>
              <w:rPr>
                <w:rFonts w:cs="Times New Roman"/>
                <w:snapToGrid w:val="0"/>
                <w:color w:val="auto"/>
                <w:spacing w:val="6"/>
                <w:sz w:val="21"/>
                <w:szCs w:val="21"/>
              </w:rPr>
              <w:t>16</w:t>
            </w:r>
          </w:p>
        </w:tc>
        <w:tc>
          <w:tcPr>
            <w:tcW w:w="1840" w:type="dxa"/>
            <w:vAlign w:val="center"/>
          </w:tcPr>
          <w:p>
            <w:pPr>
              <w:snapToGrid w:val="0"/>
              <w:spacing w:line="240" w:lineRule="auto"/>
              <w:ind w:firstLine="0" w:firstLineChars="0"/>
              <w:jc w:val="center"/>
              <w:rPr>
                <w:rFonts w:cs="Times New Roman"/>
                <w:snapToGrid w:val="0"/>
                <w:color w:val="auto"/>
                <w:spacing w:val="7"/>
                <w:sz w:val="21"/>
                <w:szCs w:val="21"/>
              </w:rPr>
            </w:pPr>
            <w:r>
              <w:rPr>
                <w:rFonts w:cs="Times New Roman"/>
                <w:snapToGrid w:val="0"/>
                <w:color w:val="auto"/>
                <w:spacing w:val="7"/>
                <w:sz w:val="21"/>
                <w:szCs w:val="21"/>
              </w:rPr>
              <w:t>砂浆拌合机</w:t>
            </w:r>
          </w:p>
        </w:tc>
        <w:tc>
          <w:tcPr>
            <w:tcW w:w="2143" w:type="dxa"/>
            <w:vAlign w:val="center"/>
          </w:tcPr>
          <w:p>
            <w:pPr>
              <w:snapToGrid w:val="0"/>
              <w:spacing w:line="240" w:lineRule="auto"/>
              <w:ind w:firstLine="0" w:firstLineChars="0"/>
              <w:jc w:val="center"/>
              <w:rPr>
                <w:rFonts w:cs="Times New Roman"/>
                <w:snapToGrid w:val="0"/>
                <w:color w:val="auto"/>
                <w:spacing w:val="7"/>
                <w:sz w:val="21"/>
                <w:szCs w:val="21"/>
              </w:rPr>
            </w:pPr>
            <w:r>
              <w:rPr>
                <w:rFonts w:cs="Times New Roman"/>
                <w:snapToGrid w:val="0"/>
                <w:color w:val="auto"/>
                <w:sz w:val="21"/>
                <w:szCs w:val="21"/>
              </w:rPr>
              <w:t>台</w:t>
            </w:r>
          </w:p>
        </w:tc>
        <w:tc>
          <w:tcPr>
            <w:tcW w:w="2143" w:type="dxa"/>
            <w:vAlign w:val="center"/>
          </w:tcPr>
          <w:p>
            <w:pPr>
              <w:snapToGrid w:val="0"/>
              <w:spacing w:line="240" w:lineRule="auto"/>
              <w:ind w:firstLine="0" w:firstLineChars="0"/>
              <w:jc w:val="center"/>
              <w:rPr>
                <w:rFonts w:hint="eastAsia" w:eastAsia="宋体" w:cs="Times New Roman"/>
                <w:snapToGrid w:val="0"/>
                <w:color w:val="auto"/>
                <w:spacing w:val="7"/>
                <w:sz w:val="21"/>
                <w:szCs w:val="21"/>
                <w:lang w:eastAsia="zh-CN"/>
              </w:rPr>
            </w:pPr>
            <w:r>
              <w:rPr>
                <w:rFonts w:hint="eastAsia" w:cs="Times New Roman"/>
                <w:snapToGrid w:val="0"/>
                <w:color w:val="auto"/>
                <w:spacing w:val="7"/>
                <w:sz w:val="21"/>
                <w:szCs w:val="21"/>
                <w:lang w:val="en-US" w:eastAsia="zh-CN"/>
              </w:rPr>
              <w:t>2</w:t>
            </w:r>
          </w:p>
        </w:tc>
        <w:tc>
          <w:tcPr>
            <w:tcW w:w="2143" w:type="dxa"/>
            <w:vAlign w:val="center"/>
          </w:tcPr>
          <w:p>
            <w:pPr>
              <w:snapToGrid w:val="0"/>
              <w:spacing w:line="240" w:lineRule="auto"/>
              <w:ind w:firstLine="0" w:firstLineChars="0"/>
              <w:jc w:val="center"/>
              <w:rPr>
                <w:rFonts w:cs="Times New Roman"/>
                <w:snapToGrid w:val="0"/>
                <w:color w:val="auto"/>
                <w:spacing w:val="7"/>
                <w:sz w:val="21"/>
                <w:szCs w:val="21"/>
              </w:rPr>
            </w:pPr>
            <w:r>
              <w:rPr>
                <w:rFonts w:cs="Times New Roman"/>
                <w:snapToGrid w:val="0"/>
                <w:color w:val="auto"/>
                <w:spacing w:val="7"/>
                <w:sz w:val="21"/>
                <w:szCs w:val="21"/>
              </w:rPr>
              <w:t>85</w:t>
            </w:r>
          </w:p>
        </w:tc>
      </w:tr>
    </w:tbl>
    <w:p>
      <w:pPr>
        <w:snapToGrid w:val="0"/>
        <w:ind w:firstLine="480"/>
        <w:outlineLvl w:val="3"/>
        <w:rPr>
          <w:rFonts w:cs="Times New Roman"/>
          <w:color w:val="auto"/>
        </w:rPr>
      </w:pPr>
      <w:r>
        <w:rPr>
          <w:rFonts w:cs="Times New Roman"/>
          <w:color w:val="auto"/>
        </w:rPr>
        <w:t>4</w:t>
      </w:r>
      <w:r>
        <w:rPr>
          <w:rFonts w:hint="eastAsia" w:cs="Times New Roman"/>
          <w:color w:val="auto"/>
        </w:rPr>
        <w:t>.</w:t>
      </w:r>
      <w:r>
        <w:rPr>
          <w:rFonts w:cs="Times New Roman"/>
          <w:color w:val="auto"/>
        </w:rPr>
        <w:t>固体废物</w:t>
      </w:r>
    </w:p>
    <w:p>
      <w:pPr>
        <w:snapToGrid w:val="0"/>
        <w:ind w:firstLine="480"/>
        <w:rPr>
          <w:rFonts w:cs="Times New Roman"/>
          <w:color w:val="auto"/>
        </w:rPr>
      </w:pPr>
      <w:r>
        <w:rPr>
          <w:rFonts w:cs="Times New Roman"/>
          <w:color w:val="auto"/>
        </w:rPr>
        <w:t>施工期固体废物包括：工程开挖产生的弃土、施工人员的生活垃圾等。</w:t>
      </w:r>
    </w:p>
    <w:p>
      <w:pPr>
        <w:snapToGrid w:val="0"/>
        <w:ind w:firstLine="480"/>
        <w:rPr>
          <w:rFonts w:cs="Times New Roman"/>
          <w:color w:val="auto"/>
        </w:rPr>
      </w:pPr>
      <w:r>
        <w:rPr>
          <w:rFonts w:cs="Times New Roman"/>
          <w:color w:val="auto"/>
        </w:rPr>
        <w:t>（1）弃土</w:t>
      </w:r>
      <w:r>
        <w:rPr>
          <w:rFonts w:hint="eastAsia" w:cs="Times New Roman"/>
          <w:color w:val="auto"/>
        </w:rPr>
        <w:t>石渣</w:t>
      </w:r>
    </w:p>
    <w:p>
      <w:pPr>
        <w:snapToGrid w:val="0"/>
        <w:ind w:firstLine="480"/>
        <w:rPr>
          <w:rFonts w:cs="Times New Roman"/>
          <w:color w:val="auto"/>
        </w:rPr>
      </w:pPr>
      <w:r>
        <w:rPr>
          <w:rFonts w:cs="Times New Roman"/>
          <w:color w:val="auto"/>
        </w:rPr>
        <w:t>本工程设计临时堆土场</w:t>
      </w:r>
      <w:r>
        <w:rPr>
          <w:rFonts w:hint="eastAsia" w:cs="Times New Roman"/>
          <w:color w:val="auto"/>
          <w:lang w:val="en-US" w:eastAsia="zh-CN"/>
        </w:rPr>
        <w:t>16</w:t>
      </w:r>
      <w:r>
        <w:rPr>
          <w:rFonts w:cs="Times New Roman"/>
          <w:color w:val="auto"/>
        </w:rPr>
        <w:t>处，其中：一般开挖土方堆土场</w:t>
      </w:r>
      <w:r>
        <w:rPr>
          <w:rFonts w:hint="eastAsia" w:cs="Times New Roman"/>
          <w:color w:val="auto"/>
          <w:lang w:val="en-US" w:eastAsia="zh-CN"/>
        </w:rPr>
        <w:t>8</w:t>
      </w:r>
      <w:r>
        <w:rPr>
          <w:rFonts w:cs="Times New Roman"/>
          <w:color w:val="auto"/>
        </w:rPr>
        <w:t>处，表土堆土场</w:t>
      </w:r>
      <w:r>
        <w:rPr>
          <w:rFonts w:hint="eastAsia" w:cs="Times New Roman"/>
          <w:color w:val="auto"/>
          <w:lang w:val="en-US" w:eastAsia="zh-CN"/>
        </w:rPr>
        <w:t>8</w:t>
      </w:r>
      <w:r>
        <w:rPr>
          <w:rFonts w:cs="Times New Roman"/>
          <w:color w:val="auto"/>
        </w:rPr>
        <w:t>处。设计对</w:t>
      </w:r>
      <w:r>
        <w:rPr>
          <w:rFonts w:hint="eastAsia" w:cs="Times New Roman"/>
          <w:color w:val="auto"/>
          <w:lang w:val="en-US" w:eastAsia="zh-CN"/>
        </w:rPr>
        <w:t>16</w:t>
      </w:r>
      <w:r>
        <w:rPr>
          <w:rFonts w:cs="Times New Roman"/>
          <w:color w:val="auto"/>
        </w:rPr>
        <w:t>处临土场设计土袋拦挡，在临时堆土场外侧修建土质排水沟，在堆土场堆土坡顶设计截水沟，排水沟每50m修建沉沙池1座。项目施工完毕后，对临时堆土场区进行恢复，进行土地平整并撒播草进行绿化。</w:t>
      </w:r>
    </w:p>
    <w:p>
      <w:pPr>
        <w:snapToGrid w:val="0"/>
        <w:ind w:firstLine="480"/>
        <w:rPr>
          <w:rFonts w:cs="Times New Roman"/>
          <w:color w:val="auto"/>
        </w:rPr>
      </w:pPr>
      <w:r>
        <w:rPr>
          <w:rFonts w:cs="Times New Roman"/>
          <w:color w:val="auto"/>
        </w:rPr>
        <w:t>（</w:t>
      </w:r>
      <w:r>
        <w:rPr>
          <w:rFonts w:hint="eastAsia" w:cs="Times New Roman"/>
          <w:color w:val="auto"/>
          <w:lang w:val="en-US" w:eastAsia="zh-CN"/>
        </w:rPr>
        <w:t>2</w:t>
      </w:r>
      <w:r>
        <w:rPr>
          <w:rFonts w:cs="Times New Roman"/>
          <w:color w:val="auto"/>
        </w:rPr>
        <w:t>）生活垃圾</w:t>
      </w:r>
    </w:p>
    <w:p>
      <w:pPr>
        <w:snapToGrid w:val="0"/>
        <w:ind w:firstLine="480"/>
        <w:rPr>
          <w:rFonts w:cs="Times New Roman"/>
          <w:color w:val="auto"/>
        </w:rPr>
      </w:pPr>
      <w:r>
        <w:rPr>
          <w:rFonts w:cs="Times New Roman"/>
          <w:color w:val="auto"/>
        </w:rPr>
        <w:t>根据施工组织设计，高峰期施工人数约为</w:t>
      </w:r>
      <w:r>
        <w:rPr>
          <w:rFonts w:hint="eastAsia" w:cs="Times New Roman"/>
          <w:color w:val="auto"/>
          <w:lang w:val="en-US" w:eastAsia="zh-CN"/>
        </w:rPr>
        <w:t>1</w:t>
      </w:r>
      <w:r>
        <w:rPr>
          <w:rFonts w:cs="Times New Roman"/>
          <w:color w:val="auto"/>
        </w:rPr>
        <w:t>00人，平均施工人数100人，垃圾产生量按每人0.5kg/d计，则高峰期日产生垃圾为</w:t>
      </w:r>
      <w:r>
        <w:rPr>
          <w:rFonts w:hint="eastAsia" w:cs="Times New Roman"/>
          <w:color w:val="auto"/>
          <w:lang w:val="en-US" w:eastAsia="zh-CN"/>
        </w:rPr>
        <w:t>0.05</w:t>
      </w:r>
      <w:r>
        <w:rPr>
          <w:rFonts w:cs="Times New Roman"/>
          <w:color w:val="auto"/>
        </w:rPr>
        <w:t>t/d，总垃圾量约为</w:t>
      </w:r>
      <w:r>
        <w:rPr>
          <w:rFonts w:hint="eastAsia" w:cs="Times New Roman"/>
          <w:color w:val="auto"/>
          <w:lang w:val="en-US" w:eastAsia="zh-CN"/>
        </w:rPr>
        <w:t>10</w:t>
      </w:r>
      <w:r>
        <w:rPr>
          <w:rFonts w:cs="Times New Roman"/>
          <w:color w:val="auto"/>
        </w:rPr>
        <w:t>t。集中收集，交由当地的生活垃圾清运系统清运处置。</w:t>
      </w:r>
    </w:p>
    <w:p>
      <w:pPr>
        <w:pStyle w:val="61"/>
        <w:ind w:firstLine="480"/>
        <w:rPr>
          <w:rFonts w:cs="Times New Roman"/>
          <w:color w:val="auto"/>
        </w:rPr>
      </w:pPr>
      <w:r>
        <w:rPr>
          <w:rFonts w:cs="Times New Roman"/>
          <w:color w:val="auto"/>
        </w:rPr>
        <w:br w:type="page"/>
      </w:r>
    </w:p>
    <w:p>
      <w:pPr>
        <w:pStyle w:val="2"/>
        <w:numPr>
          <w:ilvl w:val="0"/>
          <w:numId w:val="0"/>
        </w:numPr>
        <w:ind w:left="432" w:hanging="432"/>
        <w:rPr>
          <w:rFonts w:cs="Times New Roman"/>
          <w:b w:val="0"/>
          <w:color w:val="auto"/>
        </w:rPr>
      </w:pPr>
      <w:bookmarkStart w:id="34" w:name="_Toc142388374"/>
      <w:r>
        <w:rPr>
          <w:rFonts w:cs="Times New Roman"/>
          <w:b w:val="0"/>
          <w:color w:val="auto"/>
        </w:rPr>
        <w:t>4环境现状调查与评价</w:t>
      </w:r>
      <w:bookmarkEnd w:id="34"/>
    </w:p>
    <w:p>
      <w:pPr>
        <w:pStyle w:val="3"/>
        <w:numPr>
          <w:ilvl w:val="1"/>
          <w:numId w:val="0"/>
        </w:numPr>
        <w:adjustRightInd/>
        <w:ind w:firstLine="560" w:firstLineChars="200"/>
        <w:rPr>
          <w:rFonts w:cs="Times New Roman"/>
          <w:b w:val="0"/>
          <w:color w:val="auto"/>
        </w:rPr>
      </w:pPr>
      <w:bookmarkStart w:id="35" w:name="_Toc142388375"/>
      <w:r>
        <w:rPr>
          <w:rFonts w:cs="Times New Roman"/>
          <w:b w:val="0"/>
          <w:color w:val="auto"/>
        </w:rPr>
        <w:t>4.1自然环境现状调查与评价</w:t>
      </w:r>
      <w:bookmarkEnd w:id="35"/>
    </w:p>
    <w:p>
      <w:pPr>
        <w:pStyle w:val="4"/>
        <w:numPr>
          <w:ilvl w:val="2"/>
          <w:numId w:val="0"/>
        </w:numPr>
        <w:snapToGrid w:val="0"/>
        <w:ind w:firstLine="480" w:firstLineChars="200"/>
        <w:rPr>
          <w:rFonts w:cs="Times New Roman"/>
          <w:color w:val="auto"/>
        </w:rPr>
      </w:pPr>
      <w:r>
        <w:rPr>
          <w:rFonts w:cs="Times New Roman"/>
          <w:color w:val="auto"/>
        </w:rPr>
        <w:t>4.1.1地理位置</w:t>
      </w:r>
    </w:p>
    <w:p>
      <w:pPr>
        <w:pStyle w:val="61"/>
        <w:snapToGrid w:val="0"/>
        <w:ind w:firstLine="480"/>
        <w:rPr>
          <w:rFonts w:cs="Times New Roman"/>
          <w:color w:val="auto"/>
        </w:rPr>
      </w:pPr>
      <w:r>
        <w:rPr>
          <w:rFonts w:cs="Times New Roman"/>
          <w:color w:val="auto"/>
        </w:rPr>
        <w:t>安康市地处陕西省东南部，居川、陕、鄂、渝交接部，位于东经108°00′58″～110°12′，北纬31°42′24″～33°50′34″之间，南依巴山北坡，北靠秦岭主脊，东与湖北省的郧县、郧西县接壤，东南与湖北省的竹溪县、竹山县毗邻，南接重庆市的巫溪县，西南与重庆市的城口县、四川省的万源市相接，西与汉中市的镇巴县、西乡县、洋县相连，西北与汉中市的佛坪县、西安市的周至县为邻，北与西安市的户县、长安区接壤，东北与商洛市的柞水县、镇安县毗连。</w:t>
      </w:r>
    </w:p>
    <w:p>
      <w:pPr>
        <w:pStyle w:val="61"/>
        <w:snapToGrid w:val="0"/>
        <w:ind w:firstLine="480"/>
        <w:rPr>
          <w:rFonts w:hint="eastAsia" w:cs="Times New Roman"/>
          <w:color w:val="auto"/>
        </w:rPr>
      </w:pPr>
      <w:r>
        <w:rPr>
          <w:rFonts w:hint="eastAsia" w:cs="Times New Roman"/>
          <w:color w:val="auto"/>
          <w:lang w:val="en-US" w:eastAsia="zh-CN"/>
        </w:rPr>
        <w:t>岚皋</w:t>
      </w:r>
      <w:r>
        <w:rPr>
          <w:rFonts w:cs="Times New Roman"/>
          <w:color w:val="auto"/>
        </w:rPr>
        <w:t>县，</w:t>
      </w:r>
      <w:r>
        <w:rPr>
          <w:rFonts w:hint="eastAsia" w:cs="Times New Roman"/>
          <w:color w:val="auto"/>
        </w:rPr>
        <w:t>隶属于陕西省安康市，地处巴山北麓、汉江之滨，位于陕西南部的鄂、渝、陕三省交界处，北接汉滨，西邻紫阳，东毗平利，南接重庆城口。</w:t>
      </w:r>
    </w:p>
    <w:p>
      <w:pPr>
        <w:pStyle w:val="61"/>
        <w:snapToGrid w:val="0"/>
        <w:ind w:firstLine="480"/>
        <w:rPr>
          <w:rFonts w:hint="eastAsia" w:cs="Times New Roman"/>
          <w:color w:val="auto"/>
        </w:rPr>
      </w:pPr>
      <w:r>
        <w:rPr>
          <w:rFonts w:hint="eastAsia" w:cs="Times New Roman"/>
          <w:color w:val="auto"/>
        </w:rPr>
        <w:t>全县地处东经108°38—109°11′，北纬31°56—32°32′之间，东西长51.24千米，南北宽65.46千米，总面积1956平方千米。</w:t>
      </w:r>
    </w:p>
    <w:p>
      <w:pPr>
        <w:pStyle w:val="61"/>
        <w:snapToGrid w:val="0"/>
        <w:ind w:firstLine="480"/>
        <w:rPr>
          <w:rFonts w:cs="Times New Roman"/>
          <w:color w:val="auto"/>
        </w:rPr>
      </w:pPr>
      <w:r>
        <w:rPr>
          <w:rFonts w:hint="eastAsia" w:cs="Times New Roman"/>
          <w:color w:val="auto"/>
        </w:rPr>
        <w:t>县城北距安康市区71公里，北距西安市280公里，安岚高速连通安康，国道541、211贯穿全境，交通十分便捷。</w:t>
      </w:r>
    </w:p>
    <w:p>
      <w:pPr>
        <w:pStyle w:val="61"/>
        <w:snapToGrid w:val="0"/>
        <w:ind w:firstLine="480"/>
        <w:rPr>
          <w:rFonts w:cs="Times New Roman"/>
          <w:color w:val="auto"/>
        </w:rPr>
      </w:pPr>
      <w:r>
        <w:rPr>
          <w:rFonts w:cs="Times New Roman"/>
          <w:color w:val="auto"/>
        </w:rPr>
        <w:t>项目位于</w:t>
      </w:r>
      <w:r>
        <w:rPr>
          <w:rFonts w:hint="eastAsia" w:cs="Times New Roman"/>
          <w:color w:val="auto"/>
          <w:lang w:val="en-US" w:eastAsia="zh-CN"/>
        </w:rPr>
        <w:t>岚皋县岚河</w:t>
      </w:r>
      <w:r>
        <w:rPr>
          <w:rFonts w:cs="Times New Roman"/>
          <w:color w:val="auto"/>
        </w:rPr>
        <w:t>流域，主要涉及</w:t>
      </w:r>
      <w:r>
        <w:rPr>
          <w:rFonts w:hint="eastAsia" w:cs="Times New Roman"/>
          <w:color w:val="auto"/>
          <w:lang w:val="en-US" w:eastAsia="zh-CN"/>
        </w:rPr>
        <w:t>岚皋县佐龙镇、城关镇、蔺河镇、南宫山镇、孟石岭镇</w:t>
      </w:r>
      <w:r>
        <w:rPr>
          <w:rFonts w:cs="Times New Roman"/>
          <w:color w:val="auto"/>
        </w:rPr>
        <w:t>。项目地理位置见附图1。</w:t>
      </w:r>
    </w:p>
    <w:p>
      <w:pPr>
        <w:pStyle w:val="4"/>
        <w:numPr>
          <w:ilvl w:val="2"/>
          <w:numId w:val="0"/>
        </w:numPr>
        <w:snapToGrid w:val="0"/>
        <w:ind w:firstLine="480" w:firstLineChars="200"/>
        <w:rPr>
          <w:rFonts w:cs="Times New Roman"/>
          <w:color w:val="auto"/>
        </w:rPr>
      </w:pPr>
      <w:r>
        <w:rPr>
          <w:rFonts w:cs="Times New Roman"/>
          <w:color w:val="auto"/>
        </w:rPr>
        <w:t>4.1.2气候气象</w:t>
      </w:r>
    </w:p>
    <w:p>
      <w:pPr>
        <w:snapToGrid w:val="0"/>
        <w:ind w:firstLine="480"/>
        <w:rPr>
          <w:rFonts w:hint="eastAsia" w:cs="Times New Roman"/>
          <w:color w:val="auto"/>
        </w:rPr>
      </w:pPr>
      <w:r>
        <w:rPr>
          <w:rFonts w:hint="eastAsia" w:cs="Times New Roman"/>
          <w:color w:val="auto"/>
        </w:rPr>
        <w:t>岚皋县属北亚热带大陆性季风气候。温暖湿润，雨量充沛，日照不足，太阳辐射度偏低，垂直差异显著，光、热、水时空分布不均。</w:t>
      </w:r>
    </w:p>
    <w:p>
      <w:pPr>
        <w:snapToGrid w:val="0"/>
        <w:ind w:firstLine="480"/>
        <w:rPr>
          <w:rFonts w:hint="eastAsia" w:cs="Times New Roman"/>
          <w:color w:val="auto"/>
        </w:rPr>
      </w:pPr>
      <w:r>
        <w:rPr>
          <w:rFonts w:hint="eastAsia" w:cs="Times New Roman"/>
          <w:color w:val="auto"/>
        </w:rPr>
        <w:t>春季气温回升快而不稳，早春降水少，春末较多，常有倒春寒；夏季炎热而多雨，且多雷阵雨、冰雹、又常有伏旱；秋季降温快，初秋多露雨；冬季少严寒，雨雪偏少，常有冬旱。</w:t>
      </w:r>
    </w:p>
    <w:p>
      <w:pPr>
        <w:snapToGrid w:val="0"/>
        <w:ind w:firstLine="480"/>
        <w:rPr>
          <w:rFonts w:cs="Times New Roman"/>
          <w:color w:val="auto"/>
        </w:rPr>
      </w:pPr>
      <w:r>
        <w:rPr>
          <w:rFonts w:hint="eastAsia" w:cs="Times New Roman"/>
          <w:color w:val="auto"/>
        </w:rPr>
        <w:t>平均年降雨量1000.9毫米，降雨多集中7、8、9月，约占全年36%以上。平均年气温15℃,无霜期242天。年干燥度值0.37，空气相对温度74%。由于地形垂直差异性，而导致气候条件垂直地带性。光、热随海拔升高而降低，降水随海拔升高而增大，无霜期随海拔升高而递减。</w:t>
      </w:r>
    </w:p>
    <w:p>
      <w:pPr>
        <w:pStyle w:val="4"/>
        <w:numPr>
          <w:ilvl w:val="2"/>
          <w:numId w:val="0"/>
        </w:numPr>
        <w:snapToGrid w:val="0"/>
        <w:ind w:firstLine="480" w:firstLineChars="200"/>
        <w:rPr>
          <w:rFonts w:cs="Times New Roman"/>
          <w:color w:val="auto"/>
        </w:rPr>
      </w:pPr>
      <w:r>
        <w:rPr>
          <w:rFonts w:cs="Times New Roman"/>
          <w:color w:val="auto"/>
        </w:rPr>
        <w:t>4.1.3地形地貌</w:t>
      </w:r>
    </w:p>
    <w:p>
      <w:pPr>
        <w:snapToGrid w:val="0"/>
        <w:ind w:firstLine="480"/>
        <w:rPr>
          <w:rFonts w:hint="eastAsia" w:cs="Times New Roman"/>
          <w:color w:val="auto"/>
        </w:rPr>
      </w:pPr>
      <w:r>
        <w:rPr>
          <w:rFonts w:hint="eastAsia" w:cs="Times New Roman"/>
          <w:color w:val="auto"/>
        </w:rPr>
        <w:t>岚皋县地势由东南向西北倾斜，海拔悬殊。地貌被山、河、沟支解破碎，除少数河、沟、淌、槽、坝地外，几乎全是山地。</w:t>
      </w:r>
    </w:p>
    <w:p>
      <w:pPr>
        <w:snapToGrid w:val="0"/>
        <w:ind w:firstLine="480"/>
        <w:rPr>
          <w:rFonts w:hint="eastAsia" w:cs="Times New Roman"/>
          <w:color w:val="auto"/>
        </w:rPr>
      </w:pPr>
      <w:r>
        <w:rPr>
          <w:rFonts w:hint="eastAsia" w:cs="Times New Roman"/>
          <w:color w:val="auto"/>
        </w:rPr>
        <w:t>海拔1500米以上为高山区，主要分布于大巴山主脊摩天岭北侧官元镇、滔河镇、南宫山镇、孟石岭镇等，约占全县面积30%。山坡陡峻，河谷狭窄深邃，多V型峡谷和嶂谷。</w:t>
      </w:r>
    </w:p>
    <w:p>
      <w:pPr>
        <w:snapToGrid w:val="0"/>
        <w:ind w:firstLine="480"/>
        <w:rPr>
          <w:rFonts w:hint="eastAsia" w:cs="Times New Roman"/>
          <w:color w:val="auto"/>
        </w:rPr>
      </w:pPr>
      <w:r>
        <w:rPr>
          <w:rFonts w:hint="eastAsia" w:cs="Times New Roman"/>
          <w:color w:val="auto"/>
        </w:rPr>
        <w:t>海拔900—1500米为中山区，主要分布于穆王寨等5大山脉山腰的石门镇等，约占全县面积45%。与低山交错分布地带，被海拔800米以下谷地和低山分割。</w:t>
      </w:r>
    </w:p>
    <w:p>
      <w:pPr>
        <w:snapToGrid w:val="0"/>
        <w:ind w:firstLine="480"/>
        <w:rPr>
          <w:rFonts w:cs="Times New Roman"/>
          <w:color w:val="auto"/>
        </w:rPr>
      </w:pPr>
      <w:r>
        <w:rPr>
          <w:rFonts w:hint="eastAsia" w:cs="Times New Roman"/>
          <w:color w:val="auto"/>
        </w:rPr>
        <w:t>海拔900米以下低山区，也叫低山河边，或浅山丘陵区。主要分布于大道河镇、民主镇、佐龙镇，并沿河谷穿插在部分中山区间，约占全县面积25%。</w:t>
      </w:r>
    </w:p>
    <w:p>
      <w:pPr>
        <w:pStyle w:val="4"/>
        <w:numPr>
          <w:ilvl w:val="2"/>
          <w:numId w:val="0"/>
        </w:numPr>
        <w:snapToGrid w:val="0"/>
        <w:ind w:firstLine="480" w:firstLineChars="200"/>
        <w:rPr>
          <w:rFonts w:cs="Times New Roman"/>
          <w:color w:val="auto"/>
        </w:rPr>
      </w:pPr>
      <w:r>
        <w:rPr>
          <w:rFonts w:cs="Times New Roman"/>
          <w:color w:val="auto"/>
        </w:rPr>
        <w:t>4.1.</w:t>
      </w:r>
      <w:r>
        <w:rPr>
          <w:rFonts w:hint="eastAsia" w:cs="Times New Roman"/>
          <w:color w:val="auto"/>
          <w:lang w:val="en-US" w:eastAsia="zh-CN"/>
        </w:rPr>
        <w:t>4</w:t>
      </w:r>
      <w:r>
        <w:rPr>
          <w:rFonts w:cs="Times New Roman"/>
          <w:color w:val="auto"/>
        </w:rPr>
        <w:t>地表水</w:t>
      </w:r>
    </w:p>
    <w:p>
      <w:pPr>
        <w:widowControl/>
        <w:topLinePunct/>
        <w:autoSpaceDE w:val="0"/>
        <w:autoSpaceDN w:val="0"/>
        <w:adjustRightInd w:val="0"/>
        <w:snapToGrid w:val="0"/>
        <w:ind w:firstLine="480"/>
        <w:textAlignment w:val="baseline"/>
        <w:rPr>
          <w:rFonts w:hint="eastAsia" w:eastAsia="宋体" w:cs="Times New Roman"/>
          <w:snapToGrid w:val="0"/>
          <w:color w:val="auto"/>
          <w:kern w:val="0"/>
          <w:lang w:val="en-US" w:eastAsia="zh-CN"/>
        </w:rPr>
      </w:pPr>
      <w:r>
        <w:rPr>
          <w:rFonts w:hint="eastAsia" w:cs="Times New Roman"/>
          <w:snapToGrid w:val="0"/>
          <w:color w:val="auto"/>
          <w:kern w:val="0"/>
        </w:rPr>
        <w:t>（1）</w:t>
      </w:r>
      <w:r>
        <w:rPr>
          <w:rFonts w:hint="eastAsia" w:cs="Times New Roman"/>
          <w:snapToGrid w:val="0"/>
          <w:color w:val="auto"/>
          <w:kern w:val="0"/>
          <w:lang w:val="en-US" w:eastAsia="zh-CN"/>
        </w:rPr>
        <w:t>岚河</w:t>
      </w:r>
    </w:p>
    <w:p>
      <w:pPr>
        <w:widowControl/>
        <w:topLinePunct/>
        <w:autoSpaceDE w:val="0"/>
        <w:autoSpaceDN w:val="0"/>
        <w:adjustRightInd w:val="0"/>
        <w:snapToGrid w:val="0"/>
        <w:ind w:firstLine="480"/>
        <w:textAlignment w:val="baseline"/>
        <w:rPr>
          <w:rFonts w:hint="eastAsia" w:cs="Times New Roman"/>
          <w:snapToGrid w:val="0"/>
          <w:color w:val="auto"/>
          <w:kern w:val="0"/>
        </w:rPr>
      </w:pPr>
      <w:r>
        <w:rPr>
          <w:rFonts w:hint="eastAsia" w:cs="Times New Roman"/>
          <w:snapToGrid w:val="0"/>
          <w:color w:val="auto"/>
          <w:kern w:val="0"/>
        </w:rPr>
        <w:t>岚河发源于平利县化龙山的鸡心岭，由孟石岭镇入境，经孟石岭、南宫山、蔺河、城关、佐龙等镇，自佐龙香河口汇入汉江，岚河汇流总长度为148.6km，流域总面积2138km</w:t>
      </w:r>
      <w:r>
        <w:rPr>
          <w:rFonts w:hint="eastAsia" w:cs="Times New Roman"/>
          <w:snapToGrid w:val="0"/>
          <w:color w:val="auto"/>
          <w:kern w:val="0"/>
          <w:vertAlign w:val="superscript"/>
        </w:rPr>
        <w:t>2</w:t>
      </w:r>
      <w:r>
        <w:rPr>
          <w:rFonts w:hint="eastAsia" w:cs="Times New Roman"/>
          <w:snapToGrid w:val="0"/>
          <w:color w:val="auto"/>
          <w:kern w:val="0"/>
        </w:rPr>
        <w:t>，境内岚河主河道长为80.5km，面积为1176km</w:t>
      </w:r>
      <w:r>
        <w:rPr>
          <w:rFonts w:hint="eastAsia" w:cs="Times New Roman"/>
          <w:snapToGrid w:val="0"/>
          <w:color w:val="auto"/>
          <w:kern w:val="0"/>
          <w:vertAlign w:val="superscript"/>
        </w:rPr>
        <w:t>2</w:t>
      </w:r>
      <w:r>
        <w:rPr>
          <w:rFonts w:hint="eastAsia" w:cs="Times New Roman"/>
          <w:snapToGrid w:val="0"/>
          <w:color w:val="auto"/>
          <w:kern w:val="0"/>
        </w:rPr>
        <w:t>，河床比降为4.2‰。主要由支河、毛家沟、朱溪河、溢河、蔺河、滔河、四季河、送溪沟、桂溪沟、佐龙沟等支流汇入，多年平均流量为42.6m/s，平均径流量为13.77亿m</w:t>
      </w:r>
      <w:r>
        <w:rPr>
          <w:rFonts w:hint="eastAsia" w:cs="Times New Roman"/>
          <w:snapToGrid w:val="0"/>
          <w:color w:val="auto"/>
          <w:kern w:val="0"/>
          <w:vertAlign w:val="superscript"/>
        </w:rPr>
        <w:t>3</w:t>
      </w:r>
      <w:r>
        <w:rPr>
          <w:rFonts w:hint="eastAsia" w:cs="Times New Roman"/>
          <w:snapToGrid w:val="0"/>
          <w:color w:val="auto"/>
          <w:kern w:val="0"/>
        </w:rPr>
        <w:t>，历史最大洪锋流量3200m</w:t>
      </w:r>
      <w:r>
        <w:rPr>
          <w:rFonts w:hint="eastAsia" w:cs="Times New Roman"/>
          <w:snapToGrid w:val="0"/>
          <w:color w:val="auto"/>
          <w:kern w:val="0"/>
          <w:vertAlign w:val="superscript"/>
        </w:rPr>
        <w:t>3</w:t>
      </w:r>
      <w:r>
        <w:rPr>
          <w:rFonts w:hint="eastAsia" w:cs="Times New Roman"/>
          <w:snapToGrid w:val="0"/>
          <w:color w:val="auto"/>
          <w:kern w:val="0"/>
        </w:rPr>
        <w:t>/s，最小流量3.52m/s。流域内总水力蕴藏量为36.26万kw(其中主河道水力蕴藏量为10.54万kw)，可开发量为10.56万kw，现已开发100135kw。</w:t>
      </w:r>
    </w:p>
    <w:p>
      <w:pPr>
        <w:widowControl/>
        <w:topLinePunct/>
        <w:autoSpaceDE w:val="0"/>
        <w:autoSpaceDN w:val="0"/>
        <w:adjustRightInd w:val="0"/>
        <w:snapToGrid w:val="0"/>
        <w:ind w:firstLine="480"/>
        <w:textAlignment w:val="baseline"/>
        <w:rPr>
          <w:rFonts w:hint="eastAsia" w:cs="Times New Roman"/>
          <w:snapToGrid w:val="0"/>
          <w:color w:val="auto"/>
          <w:kern w:val="0"/>
        </w:rPr>
      </w:pPr>
      <w:r>
        <w:rPr>
          <w:rFonts w:hint="eastAsia" w:cs="Times New Roman"/>
          <w:snapToGrid w:val="0"/>
          <w:color w:val="auto"/>
          <w:kern w:val="0"/>
        </w:rPr>
        <w:t>（2）大道河</w:t>
      </w:r>
    </w:p>
    <w:p>
      <w:pPr>
        <w:widowControl/>
        <w:topLinePunct/>
        <w:autoSpaceDE w:val="0"/>
        <w:autoSpaceDN w:val="0"/>
        <w:adjustRightInd w:val="0"/>
        <w:snapToGrid w:val="0"/>
        <w:ind w:firstLine="480"/>
        <w:textAlignment w:val="baseline"/>
        <w:rPr>
          <w:rFonts w:hint="eastAsia" w:cs="Times New Roman"/>
          <w:snapToGrid w:val="0"/>
          <w:color w:val="auto"/>
          <w:kern w:val="0"/>
        </w:rPr>
      </w:pPr>
      <w:r>
        <w:rPr>
          <w:rFonts w:hint="eastAsia" w:cs="Times New Roman"/>
          <w:snapToGrid w:val="0"/>
          <w:color w:val="auto"/>
          <w:kern w:val="0"/>
        </w:rPr>
        <w:t>大道河发源于石门镇十八拐一带，属汉江一级支流，流经石门、民主等镇，在民主镇茶儿湾汇入汉江，河流最大汇流长度76.0km，流域面积503km</w:t>
      </w:r>
      <w:r>
        <w:rPr>
          <w:rFonts w:hint="eastAsia" w:cs="Times New Roman"/>
          <w:snapToGrid w:val="0"/>
          <w:color w:val="auto"/>
          <w:kern w:val="0"/>
          <w:vertAlign w:val="superscript"/>
        </w:rPr>
        <w:t>3</w:t>
      </w:r>
      <w:r>
        <w:rPr>
          <w:rFonts w:hint="eastAsia" w:cs="Times New Roman"/>
          <w:snapToGrid w:val="0"/>
          <w:color w:val="auto"/>
          <w:kern w:val="0"/>
        </w:rPr>
        <w:t>河床比降为27.0‰，主要由干层河、神仙河、大盘河、状元河、沙沟河等支流汇入。多年平均径流量3.66亿m</w:t>
      </w:r>
      <w:r>
        <w:rPr>
          <w:rFonts w:hint="eastAsia" w:cs="Times New Roman"/>
          <w:snapToGrid w:val="0"/>
          <w:color w:val="auto"/>
          <w:kern w:val="0"/>
          <w:vertAlign w:val="superscript"/>
        </w:rPr>
        <w:t>3</w:t>
      </w:r>
      <w:r>
        <w:rPr>
          <w:rFonts w:hint="eastAsia" w:cs="Times New Roman"/>
          <w:snapToGrid w:val="0"/>
          <w:color w:val="auto"/>
          <w:kern w:val="0"/>
        </w:rPr>
        <w:t>，水力蕴藏量为13.04万kw，可开发量为0.92万kw，现已开发3135kw。</w:t>
      </w:r>
    </w:p>
    <w:p>
      <w:pPr>
        <w:widowControl/>
        <w:topLinePunct/>
        <w:autoSpaceDE w:val="0"/>
        <w:autoSpaceDN w:val="0"/>
        <w:adjustRightInd w:val="0"/>
        <w:snapToGrid w:val="0"/>
        <w:ind w:firstLine="480"/>
        <w:textAlignment w:val="baseline"/>
        <w:rPr>
          <w:rFonts w:hint="eastAsia" w:cs="Times New Roman"/>
          <w:snapToGrid w:val="0"/>
          <w:color w:val="auto"/>
          <w:kern w:val="0"/>
        </w:rPr>
      </w:pPr>
      <w:r>
        <w:rPr>
          <w:rFonts w:hint="eastAsia" w:cs="Times New Roman"/>
          <w:snapToGrid w:val="0"/>
          <w:color w:val="auto"/>
          <w:kern w:val="0"/>
        </w:rPr>
        <w:t>（3）洞河</w:t>
      </w:r>
    </w:p>
    <w:p>
      <w:pPr>
        <w:widowControl/>
        <w:topLinePunct/>
        <w:autoSpaceDE w:val="0"/>
        <w:autoSpaceDN w:val="0"/>
        <w:adjustRightInd w:val="0"/>
        <w:snapToGrid w:val="0"/>
        <w:ind w:firstLine="480"/>
        <w:textAlignment w:val="baseline"/>
        <w:rPr>
          <w:rFonts w:hint="eastAsia" w:cs="Times New Roman"/>
          <w:snapToGrid w:val="0"/>
          <w:color w:val="auto"/>
          <w:kern w:val="0"/>
        </w:rPr>
      </w:pPr>
      <w:r>
        <w:rPr>
          <w:rFonts w:hint="eastAsia" w:cs="Times New Roman"/>
          <w:snapToGrid w:val="0"/>
          <w:color w:val="auto"/>
          <w:kern w:val="0"/>
        </w:rPr>
        <w:t>洞河是岚皋和紫阳的界河，汉江一级支流，发源于官元镇五个包一带，流经岚皋县境内的官元、堰门等镇，在紫阳县洞河街口汇入汉江，河流最大汇流长度65.7km，流域面积524km。岚皋境内面积219km</w:t>
      </w:r>
      <w:r>
        <w:rPr>
          <w:rFonts w:hint="eastAsia" w:cs="Times New Roman"/>
          <w:snapToGrid w:val="0"/>
          <w:color w:val="auto"/>
          <w:kern w:val="0"/>
          <w:vertAlign w:val="superscript"/>
        </w:rPr>
        <w:t>2</w:t>
      </w:r>
      <w:r>
        <w:rPr>
          <w:rFonts w:hint="eastAsia" w:cs="Times New Roman"/>
          <w:snapToGrid w:val="0"/>
          <w:color w:val="auto"/>
          <w:kern w:val="0"/>
        </w:rPr>
        <w:t>，平均河床比降为33.3‰。本县内主要有大、小盘河、后小河、八一沟等支流汇入、境内多年平均流量1.71亿m</w:t>
      </w:r>
      <w:r>
        <w:rPr>
          <w:rFonts w:hint="eastAsia" w:cs="Times New Roman"/>
          <w:snapToGrid w:val="0"/>
          <w:color w:val="auto"/>
          <w:kern w:val="0"/>
          <w:vertAlign w:val="superscript"/>
        </w:rPr>
        <w:t>3</w:t>
      </w:r>
      <w:r>
        <w:rPr>
          <w:rFonts w:hint="eastAsia" w:cs="Times New Roman"/>
          <w:snapToGrid w:val="0"/>
          <w:color w:val="auto"/>
          <w:kern w:val="0"/>
        </w:rPr>
        <w:t>。境内水力蕴藏量3.28万kw，可开发量为0.19万kw，已开发24675kw。</w:t>
      </w:r>
    </w:p>
    <w:p>
      <w:pPr>
        <w:topLinePunct/>
        <w:snapToGrid w:val="0"/>
        <w:ind w:firstLine="480"/>
        <w:rPr>
          <w:rFonts w:cs="Times New Roman"/>
          <w:color w:val="auto"/>
        </w:rPr>
      </w:pPr>
      <w:r>
        <w:rPr>
          <w:rFonts w:hint="eastAsia" w:cs="Times New Roman"/>
          <w:snapToGrid w:val="0"/>
          <w:color w:val="auto"/>
          <w:kern w:val="0"/>
          <w:lang w:val="en-US" w:eastAsia="zh-CN"/>
        </w:rPr>
        <w:t>岚皋县</w:t>
      </w:r>
      <w:r>
        <w:rPr>
          <w:rFonts w:cs="Times New Roman"/>
          <w:snapToGrid w:val="0"/>
          <w:color w:val="auto"/>
          <w:kern w:val="0"/>
        </w:rPr>
        <w:t>河流水系见附图2。</w:t>
      </w:r>
    </w:p>
    <w:p>
      <w:pPr>
        <w:snapToGrid w:val="0"/>
        <w:ind w:firstLine="480"/>
        <w:rPr>
          <w:rFonts w:cs="Times New Roman"/>
          <w:snapToGrid w:val="0"/>
          <w:color w:val="auto"/>
          <w:kern w:val="0"/>
        </w:rPr>
      </w:pPr>
    </w:p>
    <w:p>
      <w:pPr>
        <w:pStyle w:val="3"/>
        <w:numPr>
          <w:ilvl w:val="1"/>
          <w:numId w:val="0"/>
        </w:numPr>
        <w:ind w:left="575"/>
        <w:rPr>
          <w:rFonts w:cs="Times New Roman"/>
          <w:b w:val="0"/>
          <w:color w:val="auto"/>
        </w:rPr>
      </w:pPr>
      <w:bookmarkStart w:id="36" w:name="_Toc142388376"/>
      <w:r>
        <w:rPr>
          <w:rFonts w:cs="Times New Roman"/>
          <w:b w:val="0"/>
          <w:color w:val="auto"/>
        </w:rPr>
        <w:t>4.2环境质量现状调查与评价</w:t>
      </w:r>
      <w:bookmarkEnd w:id="36"/>
    </w:p>
    <w:p>
      <w:pPr>
        <w:pStyle w:val="4"/>
        <w:numPr>
          <w:ilvl w:val="2"/>
          <w:numId w:val="0"/>
        </w:numPr>
        <w:snapToGrid w:val="0"/>
        <w:ind w:firstLine="480" w:firstLineChars="200"/>
        <w:rPr>
          <w:rFonts w:cs="Times New Roman"/>
          <w:color w:val="auto"/>
        </w:rPr>
      </w:pPr>
      <w:r>
        <w:rPr>
          <w:rFonts w:cs="Times New Roman"/>
          <w:color w:val="auto"/>
        </w:rPr>
        <w:t>4.2.1环境空气质量现状监测与评价</w:t>
      </w:r>
    </w:p>
    <w:p>
      <w:pPr>
        <w:snapToGrid w:val="0"/>
        <w:ind w:firstLine="482"/>
        <w:rPr>
          <w:rFonts w:cs="Times New Roman"/>
          <w:b/>
          <w:bCs/>
          <w:color w:val="auto"/>
          <w:szCs w:val="21"/>
        </w:rPr>
      </w:pPr>
      <w:r>
        <w:rPr>
          <w:rFonts w:cs="Times New Roman"/>
          <w:b/>
          <w:bCs/>
          <w:color w:val="auto"/>
          <w:szCs w:val="21"/>
        </w:rPr>
        <w:t>1.环境空气质量现状</w:t>
      </w:r>
    </w:p>
    <w:p>
      <w:pPr>
        <w:snapToGrid w:val="0"/>
        <w:ind w:firstLine="480"/>
        <w:rPr>
          <w:rFonts w:cs="Times New Roman"/>
          <w:color w:val="auto"/>
        </w:rPr>
      </w:pPr>
      <w:r>
        <w:rPr>
          <w:rFonts w:cs="Times New Roman"/>
          <w:color w:val="auto"/>
          <w:szCs w:val="21"/>
        </w:rPr>
        <w:t>项目所在区域达标情况判定引用安康市生态环境局发布《环境空气质量快报》“2022年12月及1～12月</w:t>
      </w:r>
      <w:r>
        <w:rPr>
          <w:rFonts w:hint="eastAsia" w:cs="Times New Roman"/>
          <w:color w:val="auto"/>
          <w:szCs w:val="21"/>
          <w:lang w:val="en-US" w:eastAsia="zh-CN"/>
        </w:rPr>
        <w:t>岚皋</w:t>
      </w:r>
      <w:r>
        <w:rPr>
          <w:rFonts w:cs="Times New Roman"/>
          <w:color w:val="auto"/>
          <w:szCs w:val="21"/>
        </w:rPr>
        <w:t>县环境空气质量现状数据进行评价，</w:t>
      </w:r>
      <w:r>
        <w:rPr>
          <w:rFonts w:cs="Times New Roman"/>
          <w:color w:val="auto"/>
        </w:rPr>
        <w:t>见表4.2-1。</w:t>
      </w:r>
    </w:p>
    <w:p>
      <w:pPr>
        <w:snapToGrid w:val="0"/>
        <w:spacing w:line="240" w:lineRule="auto"/>
        <w:ind w:firstLine="0" w:firstLineChars="0"/>
        <w:jc w:val="center"/>
        <w:rPr>
          <w:rFonts w:cs="Times New Roman"/>
          <w:b/>
          <w:color w:val="auto"/>
        </w:rPr>
      </w:pPr>
      <w:r>
        <w:rPr>
          <w:rFonts w:cs="Times New Roman"/>
          <w:b/>
          <w:color w:val="auto"/>
        </w:rPr>
        <w:t>表4.2-1  区域空气质量现状评价表</w:t>
      </w:r>
    </w:p>
    <w:tbl>
      <w:tblPr>
        <w:tblStyle w:val="42"/>
        <w:tblW w:w="476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851"/>
        <w:gridCol w:w="1251"/>
        <w:gridCol w:w="1448"/>
        <w:gridCol w:w="1438"/>
        <w:gridCol w:w="1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63" w:type="dxa"/>
            <w:tcBorders>
              <w:bottom w:val="single" w:color="auto" w:sz="12" w:space="0"/>
            </w:tcBorders>
            <w:vAlign w:val="center"/>
          </w:tcPr>
          <w:p>
            <w:pPr>
              <w:pStyle w:val="189"/>
              <w:snapToGrid w:val="0"/>
              <w:spacing w:before="0" w:after="0" w:line="240" w:lineRule="atLeast"/>
              <w:ind w:firstLine="0" w:firstLineChars="0"/>
              <w:rPr>
                <w:rFonts w:cs="Times New Roman"/>
                <w:b/>
                <w:color w:val="auto"/>
                <w:sz w:val="21"/>
                <w:szCs w:val="21"/>
              </w:rPr>
            </w:pPr>
            <w:r>
              <w:rPr>
                <w:rFonts w:cs="Times New Roman"/>
                <w:b/>
                <w:snapToGrid w:val="0"/>
                <w:color w:val="auto"/>
                <w:sz w:val="21"/>
                <w:szCs w:val="21"/>
                <w:lang w:eastAsia="zh-CN"/>
              </w:rPr>
              <w:t>污染物</w:t>
            </w:r>
          </w:p>
        </w:tc>
        <w:tc>
          <w:tcPr>
            <w:tcW w:w="1851" w:type="dxa"/>
            <w:tcBorders>
              <w:bottom w:val="single" w:color="auto" w:sz="12" w:space="0"/>
            </w:tcBorders>
            <w:vAlign w:val="center"/>
          </w:tcPr>
          <w:p>
            <w:pPr>
              <w:pStyle w:val="189"/>
              <w:snapToGrid w:val="0"/>
              <w:spacing w:before="0" w:after="0" w:line="240" w:lineRule="atLeast"/>
              <w:ind w:firstLine="0" w:firstLineChars="0"/>
              <w:rPr>
                <w:rFonts w:cs="Times New Roman"/>
                <w:b/>
                <w:color w:val="auto"/>
                <w:sz w:val="21"/>
                <w:szCs w:val="21"/>
              </w:rPr>
            </w:pPr>
            <w:r>
              <w:rPr>
                <w:rFonts w:cs="Times New Roman"/>
                <w:b/>
                <w:snapToGrid w:val="0"/>
                <w:color w:val="auto"/>
                <w:sz w:val="21"/>
                <w:szCs w:val="21"/>
                <w:lang w:eastAsia="zh-CN"/>
              </w:rPr>
              <w:t>年评价指标</w:t>
            </w:r>
          </w:p>
        </w:tc>
        <w:tc>
          <w:tcPr>
            <w:tcW w:w="1251" w:type="dxa"/>
            <w:tcBorders>
              <w:bottom w:val="single" w:color="auto" w:sz="12" w:space="0"/>
            </w:tcBorders>
            <w:vAlign w:val="center"/>
          </w:tcPr>
          <w:p>
            <w:pPr>
              <w:pStyle w:val="189"/>
              <w:snapToGrid w:val="0"/>
              <w:spacing w:before="0" w:after="0" w:line="240" w:lineRule="atLeast"/>
              <w:ind w:firstLine="0" w:firstLineChars="0"/>
              <w:rPr>
                <w:rFonts w:cs="Times New Roman"/>
                <w:b/>
                <w:color w:val="auto"/>
                <w:sz w:val="21"/>
                <w:szCs w:val="21"/>
              </w:rPr>
            </w:pPr>
            <w:r>
              <w:rPr>
                <w:rFonts w:hint="eastAsia" w:cs="Times New Roman"/>
                <w:b/>
                <w:snapToGrid w:val="0"/>
                <w:color w:val="auto"/>
                <w:sz w:val="21"/>
                <w:szCs w:val="21"/>
                <w:lang w:val="en-US" w:eastAsia="zh-CN"/>
              </w:rPr>
              <w:t>现状浓度</w:t>
            </w:r>
            <w:r>
              <w:rPr>
                <w:rFonts w:cs="Times New Roman"/>
                <w:b/>
                <w:snapToGrid w:val="0"/>
                <w:color w:val="auto"/>
                <w:sz w:val="21"/>
                <w:szCs w:val="21"/>
                <w:lang w:eastAsia="zh-CN"/>
              </w:rPr>
              <w:t>（µg/m</w:t>
            </w:r>
            <w:r>
              <w:rPr>
                <w:rFonts w:cs="Times New Roman"/>
                <w:b/>
                <w:snapToGrid w:val="0"/>
                <w:color w:val="auto"/>
                <w:sz w:val="21"/>
                <w:szCs w:val="21"/>
                <w:vertAlign w:val="superscript"/>
                <w:lang w:eastAsia="zh-CN"/>
              </w:rPr>
              <w:t>3</w:t>
            </w:r>
            <w:r>
              <w:rPr>
                <w:rFonts w:cs="Times New Roman"/>
                <w:b/>
                <w:snapToGrid w:val="0"/>
                <w:color w:val="auto"/>
                <w:sz w:val="21"/>
                <w:szCs w:val="21"/>
                <w:lang w:eastAsia="zh-CN"/>
              </w:rPr>
              <w:t>）</w:t>
            </w:r>
          </w:p>
        </w:tc>
        <w:tc>
          <w:tcPr>
            <w:tcW w:w="1448" w:type="dxa"/>
            <w:tcBorders>
              <w:bottom w:val="single" w:color="auto" w:sz="12" w:space="0"/>
            </w:tcBorders>
            <w:vAlign w:val="center"/>
          </w:tcPr>
          <w:p>
            <w:pPr>
              <w:pStyle w:val="189"/>
              <w:snapToGrid w:val="0"/>
              <w:spacing w:before="0" w:after="0" w:line="240" w:lineRule="atLeast"/>
              <w:ind w:firstLine="0" w:firstLineChars="0"/>
              <w:rPr>
                <w:rFonts w:cs="Times New Roman"/>
                <w:b/>
                <w:color w:val="auto"/>
                <w:sz w:val="21"/>
                <w:szCs w:val="21"/>
              </w:rPr>
            </w:pPr>
            <w:r>
              <w:rPr>
                <w:rFonts w:hint="eastAsia" w:cs="Times New Roman"/>
                <w:b/>
                <w:snapToGrid w:val="0"/>
                <w:color w:val="auto"/>
                <w:sz w:val="21"/>
                <w:szCs w:val="21"/>
                <w:lang w:val="en-US" w:eastAsia="zh-CN"/>
              </w:rPr>
              <w:t>评价标准</w:t>
            </w:r>
            <w:r>
              <w:rPr>
                <w:rFonts w:cs="Times New Roman"/>
                <w:b/>
                <w:snapToGrid w:val="0"/>
                <w:color w:val="auto"/>
                <w:sz w:val="21"/>
                <w:szCs w:val="21"/>
                <w:lang w:eastAsia="zh-CN"/>
              </w:rPr>
              <w:t>（µg/m</w:t>
            </w:r>
            <w:r>
              <w:rPr>
                <w:rFonts w:cs="Times New Roman"/>
                <w:b/>
                <w:snapToGrid w:val="0"/>
                <w:color w:val="auto"/>
                <w:sz w:val="21"/>
                <w:szCs w:val="21"/>
                <w:vertAlign w:val="superscript"/>
                <w:lang w:eastAsia="zh-CN"/>
              </w:rPr>
              <w:t>3</w:t>
            </w:r>
            <w:r>
              <w:rPr>
                <w:rFonts w:cs="Times New Roman"/>
                <w:b/>
                <w:snapToGrid w:val="0"/>
                <w:color w:val="auto"/>
                <w:sz w:val="21"/>
                <w:szCs w:val="21"/>
                <w:lang w:eastAsia="zh-CN"/>
              </w:rPr>
              <w:t>）</w:t>
            </w:r>
          </w:p>
        </w:tc>
        <w:tc>
          <w:tcPr>
            <w:tcW w:w="1438" w:type="dxa"/>
            <w:tcBorders>
              <w:bottom w:val="single" w:color="auto" w:sz="12" w:space="0"/>
            </w:tcBorders>
            <w:vAlign w:val="center"/>
          </w:tcPr>
          <w:p>
            <w:pPr>
              <w:pStyle w:val="189"/>
              <w:snapToGrid w:val="0"/>
              <w:spacing w:before="0" w:after="0" w:line="240" w:lineRule="atLeast"/>
              <w:ind w:firstLine="0" w:firstLineChars="0"/>
              <w:rPr>
                <w:rFonts w:cs="Times New Roman"/>
                <w:b/>
                <w:color w:val="auto"/>
                <w:sz w:val="21"/>
                <w:szCs w:val="21"/>
              </w:rPr>
            </w:pPr>
            <w:r>
              <w:rPr>
                <w:rFonts w:cs="Times New Roman"/>
                <w:b/>
                <w:snapToGrid w:val="0"/>
                <w:color w:val="auto"/>
                <w:sz w:val="21"/>
                <w:szCs w:val="21"/>
                <w:lang w:eastAsia="zh-CN"/>
              </w:rPr>
              <w:t>最大浓度占标率/%</w:t>
            </w:r>
          </w:p>
        </w:tc>
        <w:tc>
          <w:tcPr>
            <w:tcW w:w="1594" w:type="dxa"/>
            <w:tcBorders>
              <w:bottom w:val="single" w:color="auto" w:sz="12" w:space="0"/>
            </w:tcBorders>
            <w:vAlign w:val="center"/>
          </w:tcPr>
          <w:p>
            <w:pPr>
              <w:pStyle w:val="189"/>
              <w:snapToGrid w:val="0"/>
              <w:spacing w:before="0" w:after="0" w:line="240" w:lineRule="atLeast"/>
              <w:ind w:firstLine="0" w:firstLineChars="0"/>
              <w:rPr>
                <w:rFonts w:cs="Times New Roman"/>
                <w:b/>
                <w:color w:val="auto"/>
                <w:sz w:val="21"/>
                <w:szCs w:val="21"/>
              </w:rPr>
            </w:pPr>
            <w:r>
              <w:rPr>
                <w:rFonts w:cs="Times New Roman"/>
                <w:b/>
                <w:snapToGrid w:val="0"/>
                <w:color w:val="auto"/>
                <w:sz w:val="21"/>
                <w:szCs w:val="21"/>
                <w:lang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1163" w:type="dxa"/>
            <w:tcBorders>
              <w:top w:val="single" w:color="auto" w:sz="12" w:space="0"/>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SO</w:t>
            </w:r>
            <w:r>
              <w:rPr>
                <w:rFonts w:cs="Times New Roman"/>
                <w:snapToGrid w:val="0"/>
                <w:color w:val="auto"/>
                <w:sz w:val="21"/>
                <w:szCs w:val="21"/>
                <w:vertAlign w:val="subscript"/>
                <w:lang w:eastAsia="zh-CN"/>
              </w:rPr>
              <w:t>2</w:t>
            </w:r>
          </w:p>
        </w:tc>
        <w:tc>
          <w:tcPr>
            <w:tcW w:w="1851" w:type="dxa"/>
            <w:tcBorders>
              <w:top w:val="single" w:color="auto" w:sz="12" w:space="0"/>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年平均质量浓度</w:t>
            </w:r>
          </w:p>
        </w:tc>
        <w:tc>
          <w:tcPr>
            <w:tcW w:w="1251" w:type="dxa"/>
            <w:tcBorders>
              <w:top w:val="single" w:color="auto" w:sz="12" w:space="0"/>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36</w:t>
            </w:r>
          </w:p>
        </w:tc>
        <w:tc>
          <w:tcPr>
            <w:tcW w:w="1448" w:type="dxa"/>
            <w:tcBorders>
              <w:top w:val="single" w:color="auto" w:sz="12" w:space="0"/>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70</w:t>
            </w:r>
          </w:p>
        </w:tc>
        <w:tc>
          <w:tcPr>
            <w:tcW w:w="1438" w:type="dxa"/>
            <w:tcBorders>
              <w:top w:val="single" w:color="auto" w:sz="12" w:space="0"/>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hint="eastAsia" w:ascii="Times New Roman" w:hAnsi="Times New Roman" w:eastAsia="宋体" w:cs="Times New Roman"/>
                <w:snapToGrid w:val="0"/>
                <w:color w:val="auto"/>
                <w:kern w:val="0"/>
                <w:sz w:val="21"/>
                <w:szCs w:val="21"/>
                <w:lang w:val="en-GB" w:eastAsia="zh-CN" w:bidi="ar-SA"/>
              </w:rPr>
              <w:t>71.4</w:t>
            </w:r>
          </w:p>
        </w:tc>
        <w:tc>
          <w:tcPr>
            <w:tcW w:w="1594" w:type="dxa"/>
            <w:tcBorders>
              <w:top w:val="single" w:color="auto" w:sz="12" w:space="0"/>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1163"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NO</w:t>
            </w:r>
            <w:r>
              <w:rPr>
                <w:rFonts w:cs="Times New Roman"/>
                <w:snapToGrid w:val="0"/>
                <w:color w:val="auto"/>
                <w:sz w:val="21"/>
                <w:szCs w:val="21"/>
                <w:vertAlign w:val="subscript"/>
                <w:lang w:eastAsia="zh-CN"/>
              </w:rPr>
              <w:t>2</w:t>
            </w:r>
          </w:p>
        </w:tc>
        <w:tc>
          <w:tcPr>
            <w:tcW w:w="1851"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年平均质量浓度</w:t>
            </w:r>
          </w:p>
        </w:tc>
        <w:tc>
          <w:tcPr>
            <w:tcW w:w="1251"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20</w:t>
            </w:r>
          </w:p>
        </w:tc>
        <w:tc>
          <w:tcPr>
            <w:tcW w:w="1448"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35</w:t>
            </w:r>
          </w:p>
        </w:tc>
        <w:tc>
          <w:tcPr>
            <w:tcW w:w="1438"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hint="eastAsia" w:ascii="Times New Roman" w:hAnsi="Times New Roman" w:eastAsia="宋体" w:cs="Times New Roman"/>
                <w:snapToGrid w:val="0"/>
                <w:color w:val="auto"/>
                <w:kern w:val="0"/>
                <w:sz w:val="21"/>
                <w:szCs w:val="21"/>
                <w:lang w:val="en-GB" w:eastAsia="zh-CN" w:bidi="ar-SA"/>
              </w:rPr>
              <w:t>65.7</w:t>
            </w:r>
          </w:p>
        </w:tc>
        <w:tc>
          <w:tcPr>
            <w:tcW w:w="1594"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1163"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PM</w:t>
            </w:r>
            <w:r>
              <w:rPr>
                <w:rFonts w:cs="Times New Roman"/>
                <w:snapToGrid w:val="0"/>
                <w:color w:val="auto"/>
                <w:sz w:val="21"/>
                <w:szCs w:val="21"/>
                <w:vertAlign w:val="subscript"/>
                <w:lang w:eastAsia="zh-CN"/>
              </w:rPr>
              <w:t>10</w:t>
            </w:r>
          </w:p>
        </w:tc>
        <w:tc>
          <w:tcPr>
            <w:tcW w:w="1851"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年平均质量浓度</w:t>
            </w:r>
          </w:p>
        </w:tc>
        <w:tc>
          <w:tcPr>
            <w:tcW w:w="1251"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11</w:t>
            </w:r>
          </w:p>
        </w:tc>
        <w:tc>
          <w:tcPr>
            <w:tcW w:w="1448"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60</w:t>
            </w:r>
          </w:p>
        </w:tc>
        <w:tc>
          <w:tcPr>
            <w:tcW w:w="1438"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hint="eastAsia" w:ascii="Times New Roman" w:hAnsi="Times New Roman" w:eastAsia="宋体" w:cs="Times New Roman"/>
                <w:snapToGrid w:val="0"/>
                <w:color w:val="auto"/>
                <w:kern w:val="0"/>
                <w:sz w:val="21"/>
                <w:szCs w:val="21"/>
                <w:lang w:val="en-GB" w:eastAsia="zh-CN" w:bidi="ar-SA"/>
              </w:rPr>
              <w:t>10</w:t>
            </w:r>
          </w:p>
        </w:tc>
        <w:tc>
          <w:tcPr>
            <w:tcW w:w="1594"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1163"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PM</w:t>
            </w:r>
            <w:r>
              <w:rPr>
                <w:rFonts w:cs="Times New Roman"/>
                <w:snapToGrid w:val="0"/>
                <w:color w:val="auto"/>
                <w:sz w:val="21"/>
                <w:szCs w:val="21"/>
                <w:vertAlign w:val="subscript"/>
                <w:lang w:eastAsia="zh-CN"/>
              </w:rPr>
              <w:t>2.5</w:t>
            </w:r>
          </w:p>
        </w:tc>
        <w:tc>
          <w:tcPr>
            <w:tcW w:w="1851"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年平均质量浓度</w:t>
            </w:r>
          </w:p>
        </w:tc>
        <w:tc>
          <w:tcPr>
            <w:tcW w:w="1251"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11</w:t>
            </w:r>
          </w:p>
        </w:tc>
        <w:tc>
          <w:tcPr>
            <w:tcW w:w="1448"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40</w:t>
            </w:r>
          </w:p>
        </w:tc>
        <w:tc>
          <w:tcPr>
            <w:tcW w:w="1438"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42.5</w:t>
            </w:r>
          </w:p>
        </w:tc>
        <w:tc>
          <w:tcPr>
            <w:tcW w:w="1594"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exact"/>
          <w:jc w:val="center"/>
        </w:trPr>
        <w:tc>
          <w:tcPr>
            <w:tcW w:w="1163"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CO</w:t>
            </w:r>
          </w:p>
        </w:tc>
        <w:tc>
          <w:tcPr>
            <w:tcW w:w="1851"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第95百分位数日平均质量浓度</w:t>
            </w:r>
          </w:p>
        </w:tc>
        <w:tc>
          <w:tcPr>
            <w:tcW w:w="1251"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1000</w:t>
            </w:r>
          </w:p>
        </w:tc>
        <w:tc>
          <w:tcPr>
            <w:tcW w:w="1448"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4</w:t>
            </w:r>
            <w:r>
              <w:rPr>
                <w:rFonts w:hint="eastAsia" w:ascii="Times New Roman" w:hAnsi="Times New Roman" w:eastAsia="宋体" w:cs="Times New Roman"/>
                <w:snapToGrid w:val="0"/>
                <w:color w:val="auto"/>
                <w:kern w:val="0"/>
                <w:sz w:val="21"/>
                <w:szCs w:val="21"/>
                <w:lang w:val="en-GB" w:eastAsia="zh-CN" w:bidi="ar-SA"/>
              </w:rPr>
              <w:t>000</w:t>
            </w:r>
          </w:p>
        </w:tc>
        <w:tc>
          <w:tcPr>
            <w:tcW w:w="1438"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hint="eastAsia" w:ascii="Times New Roman" w:hAnsi="Times New Roman" w:eastAsia="宋体" w:cs="Times New Roman"/>
                <w:snapToGrid w:val="0"/>
                <w:color w:val="auto"/>
                <w:kern w:val="0"/>
                <w:sz w:val="21"/>
                <w:szCs w:val="21"/>
                <w:lang w:val="en-GB" w:eastAsia="zh-CN" w:bidi="ar-SA"/>
              </w:rPr>
              <w:t>20</w:t>
            </w:r>
          </w:p>
        </w:tc>
        <w:tc>
          <w:tcPr>
            <w:tcW w:w="1594"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exact"/>
          <w:jc w:val="center"/>
        </w:trPr>
        <w:tc>
          <w:tcPr>
            <w:tcW w:w="1163"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O</w:t>
            </w:r>
            <w:r>
              <w:rPr>
                <w:rFonts w:cs="Times New Roman"/>
                <w:snapToGrid w:val="0"/>
                <w:color w:val="auto"/>
                <w:sz w:val="21"/>
                <w:szCs w:val="21"/>
                <w:vertAlign w:val="subscript"/>
                <w:lang w:eastAsia="zh-CN"/>
              </w:rPr>
              <w:t>3</w:t>
            </w:r>
          </w:p>
        </w:tc>
        <w:tc>
          <w:tcPr>
            <w:tcW w:w="1851"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第90百分位数8h平均质量浓度</w:t>
            </w:r>
          </w:p>
        </w:tc>
        <w:tc>
          <w:tcPr>
            <w:tcW w:w="1251"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98</w:t>
            </w:r>
          </w:p>
        </w:tc>
        <w:tc>
          <w:tcPr>
            <w:tcW w:w="1448"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ascii="Times New Roman" w:hAnsi="Times New Roman" w:eastAsia="宋体" w:cs="Times New Roman"/>
                <w:snapToGrid w:val="0"/>
                <w:color w:val="auto"/>
                <w:kern w:val="0"/>
                <w:sz w:val="21"/>
                <w:szCs w:val="21"/>
                <w:lang w:val="en-GB" w:eastAsia="zh-CN" w:bidi="ar-SA"/>
              </w:rPr>
              <w:t>160</w:t>
            </w:r>
          </w:p>
        </w:tc>
        <w:tc>
          <w:tcPr>
            <w:tcW w:w="1438" w:type="dxa"/>
            <w:tcBorders>
              <w:tl2br w:val="nil"/>
              <w:tr2bl w:val="nil"/>
            </w:tcBorders>
            <w:vAlign w:val="center"/>
          </w:tcPr>
          <w:p>
            <w:pPr>
              <w:pStyle w:val="115"/>
              <w:keepNext w:val="0"/>
              <w:keepLines w:val="0"/>
              <w:pageBreakBefore w:val="0"/>
              <w:widowControl w:val="0"/>
              <w:tabs>
                <w:tab w:val="left" w:pos="0"/>
              </w:tabs>
              <w:kinsoku/>
              <w:wordWrap/>
              <w:overflowPunct/>
              <w:topLinePunct w:val="0"/>
              <w:bidi w:val="0"/>
              <w:adjustRightInd w:val="0"/>
              <w:snapToGrid/>
              <w:spacing w:after="0" w:line="240" w:lineRule="atLeast"/>
              <w:ind w:firstLine="0" w:firstLineChars="0"/>
              <w:jc w:val="center"/>
              <w:textAlignment w:val="auto"/>
              <w:rPr>
                <w:rFonts w:ascii="Times New Roman" w:hAnsi="Times New Roman" w:eastAsia="宋体" w:cs="Times New Roman"/>
                <w:snapToGrid w:val="0"/>
                <w:color w:val="auto"/>
                <w:kern w:val="0"/>
                <w:sz w:val="21"/>
                <w:szCs w:val="21"/>
                <w:lang w:val="en-GB" w:eastAsia="zh-CN" w:bidi="ar-SA"/>
              </w:rPr>
            </w:pPr>
            <w:r>
              <w:rPr>
                <w:rFonts w:hint="eastAsia" w:ascii="Times New Roman" w:hAnsi="Times New Roman" w:eastAsia="宋体" w:cs="Times New Roman"/>
                <w:snapToGrid w:val="0"/>
                <w:color w:val="auto"/>
                <w:kern w:val="0"/>
                <w:sz w:val="21"/>
                <w:szCs w:val="21"/>
                <w:lang w:val="en-GB" w:eastAsia="zh-CN" w:bidi="ar-SA"/>
              </w:rPr>
              <w:t>80</w:t>
            </w:r>
          </w:p>
        </w:tc>
        <w:tc>
          <w:tcPr>
            <w:tcW w:w="1594" w:type="dxa"/>
            <w:tcBorders>
              <w:tl2br w:val="nil"/>
              <w:tr2bl w:val="nil"/>
            </w:tcBorders>
            <w:vAlign w:val="center"/>
          </w:tcPr>
          <w:p>
            <w:pPr>
              <w:pStyle w:val="189"/>
              <w:snapToGrid w:val="0"/>
              <w:spacing w:before="0" w:after="0" w:line="240" w:lineRule="atLeast"/>
              <w:ind w:firstLine="0" w:firstLineChars="0"/>
              <w:rPr>
                <w:rFonts w:cs="Times New Roman"/>
                <w:color w:val="auto"/>
                <w:sz w:val="21"/>
                <w:szCs w:val="21"/>
              </w:rPr>
            </w:pPr>
            <w:r>
              <w:rPr>
                <w:rFonts w:cs="Times New Roman"/>
                <w:snapToGrid w:val="0"/>
                <w:color w:val="auto"/>
                <w:sz w:val="21"/>
                <w:szCs w:val="21"/>
                <w:lang w:eastAsia="zh-CN"/>
              </w:rPr>
              <w:t>达标</w:t>
            </w:r>
          </w:p>
        </w:tc>
      </w:tr>
    </w:tbl>
    <w:p>
      <w:pPr>
        <w:adjustRightInd w:val="0"/>
        <w:snapToGrid w:val="0"/>
        <w:ind w:firstLine="480"/>
        <w:rPr>
          <w:rFonts w:cs="Times New Roman"/>
          <w:color w:val="auto"/>
        </w:rPr>
      </w:pPr>
      <w:r>
        <w:rPr>
          <w:rFonts w:cs="Times New Roman"/>
          <w:color w:val="auto"/>
        </w:rPr>
        <w:t>由表4.2-1可知，由上表可知，监控点SO</w:t>
      </w:r>
      <w:r>
        <w:rPr>
          <w:rFonts w:cs="Times New Roman"/>
          <w:color w:val="auto"/>
          <w:vertAlign w:val="subscript"/>
        </w:rPr>
        <w:t>2</w:t>
      </w:r>
      <w:r>
        <w:rPr>
          <w:rFonts w:cs="Times New Roman"/>
          <w:color w:val="auto"/>
        </w:rPr>
        <w:t>、NO</w:t>
      </w:r>
      <w:r>
        <w:rPr>
          <w:rFonts w:cs="Times New Roman"/>
          <w:color w:val="auto"/>
          <w:vertAlign w:val="subscript"/>
        </w:rPr>
        <w:t>2</w:t>
      </w:r>
      <w:r>
        <w:rPr>
          <w:rFonts w:cs="Times New Roman"/>
          <w:color w:val="auto"/>
        </w:rPr>
        <w:t>、PM</w:t>
      </w:r>
      <w:r>
        <w:rPr>
          <w:rFonts w:cs="Times New Roman"/>
          <w:color w:val="auto"/>
          <w:vertAlign w:val="subscript"/>
        </w:rPr>
        <w:t>10</w:t>
      </w:r>
      <w:r>
        <w:rPr>
          <w:rFonts w:cs="Times New Roman"/>
          <w:color w:val="auto"/>
        </w:rPr>
        <w:t>、PM</w:t>
      </w:r>
      <w:r>
        <w:rPr>
          <w:rFonts w:cs="Times New Roman"/>
          <w:color w:val="auto"/>
          <w:vertAlign w:val="subscript"/>
        </w:rPr>
        <w:t>2.5</w:t>
      </w:r>
      <w:r>
        <w:rPr>
          <w:rFonts w:cs="Times New Roman"/>
          <w:color w:val="auto"/>
        </w:rPr>
        <w:t>年平均质量浓度和CO的日最大平均质量浓度、O</w:t>
      </w:r>
      <w:r>
        <w:rPr>
          <w:rFonts w:cs="Times New Roman"/>
          <w:color w:val="auto"/>
          <w:vertAlign w:val="subscript"/>
        </w:rPr>
        <w:t>3</w:t>
      </w:r>
      <w:r>
        <w:rPr>
          <w:rFonts w:cs="Times New Roman"/>
          <w:color w:val="auto"/>
        </w:rPr>
        <w:t>的日最大8小时平均质量浓度均满足《环境空气质量标准》（GB3095-2012）二级标准要求。</w:t>
      </w:r>
      <w:r>
        <w:rPr>
          <w:rFonts w:cs="Times New Roman"/>
          <w:color w:val="auto"/>
          <w:kern w:val="0"/>
        </w:rPr>
        <w:t>因此，判断项目所在区域属于达标区</w:t>
      </w:r>
      <w:r>
        <w:rPr>
          <w:rFonts w:cs="Times New Roman"/>
          <w:color w:val="auto"/>
        </w:rPr>
        <w:t>。</w:t>
      </w:r>
    </w:p>
    <w:p>
      <w:pPr>
        <w:pStyle w:val="4"/>
        <w:numPr>
          <w:ilvl w:val="2"/>
          <w:numId w:val="0"/>
        </w:numPr>
        <w:snapToGrid w:val="0"/>
        <w:ind w:firstLine="480" w:firstLineChars="200"/>
        <w:rPr>
          <w:rFonts w:cs="Times New Roman"/>
          <w:color w:val="auto"/>
        </w:rPr>
      </w:pPr>
      <w:bookmarkStart w:id="37" w:name="_Toc279674457"/>
      <w:bookmarkStart w:id="38" w:name="_Toc11843"/>
      <w:bookmarkStart w:id="39" w:name="_Toc298051813"/>
      <w:r>
        <w:rPr>
          <w:rFonts w:cs="Times New Roman"/>
          <w:color w:val="auto"/>
        </w:rPr>
        <w:t>4.2.2地表水环境质量现状监测与评价</w:t>
      </w:r>
    </w:p>
    <w:p>
      <w:pPr>
        <w:snapToGrid w:val="0"/>
        <w:ind w:firstLine="480"/>
        <w:rPr>
          <w:rFonts w:cs="Times New Roman"/>
          <w:color w:val="auto"/>
        </w:rPr>
      </w:pPr>
      <w:r>
        <w:rPr>
          <w:rFonts w:cs="Times New Roman"/>
          <w:color w:val="auto"/>
        </w:rPr>
        <w:t>根据《环境影响评价技术导则  地表水环境》（HJ2.3-2018），6.1.1环境现状调查与评价应按照HJ2.1的要求，遵循问题导向与管理目标导向统筹、流域（区域）与评价水域兼顾、水质水量协调、常规监测数据利用与补充监测互补、水环境现状与变化分析结合的原则。</w:t>
      </w:r>
      <w:r>
        <w:rPr>
          <w:rFonts w:hint="eastAsia" w:cs="Times New Roman"/>
          <w:color w:val="auto"/>
          <w:lang w:val="en-US" w:eastAsia="zh-CN"/>
        </w:rPr>
        <w:t>本次岚河地表水环境质量现状引用岚河入汉江（国控断面）监测数据，根据安康市生态环境局官网发布的安康市2022年1-12月水质监测断面水质状况表</w:t>
      </w:r>
      <w:r>
        <w:rPr>
          <w:rFonts w:hint="eastAsia" w:cs="Times New Roman"/>
          <w:color w:val="auto"/>
          <w:lang w:eastAsia="zh-CN"/>
        </w:rPr>
        <w:t>，</w:t>
      </w:r>
      <w:r>
        <w:rPr>
          <w:rFonts w:hint="eastAsia" w:cs="Times New Roman"/>
          <w:color w:val="auto"/>
          <w:lang w:val="en-US" w:eastAsia="zh-CN"/>
        </w:rPr>
        <w:t>岚河入汉江断面2022年水质现状为Ⅱ类</w:t>
      </w:r>
      <w:r>
        <w:rPr>
          <w:rFonts w:hint="eastAsia" w:cs="Times New Roman"/>
          <w:color w:val="auto"/>
        </w:rPr>
        <w:t>。</w:t>
      </w:r>
    </w:p>
    <w:p>
      <w:pPr>
        <w:pStyle w:val="4"/>
        <w:numPr>
          <w:ilvl w:val="2"/>
          <w:numId w:val="0"/>
        </w:numPr>
        <w:snapToGrid w:val="0"/>
        <w:ind w:firstLine="480" w:firstLineChars="200"/>
        <w:rPr>
          <w:rFonts w:cs="Times New Roman"/>
          <w:color w:val="auto"/>
        </w:rPr>
      </w:pPr>
      <w:r>
        <w:rPr>
          <w:rFonts w:cs="Times New Roman"/>
          <w:color w:val="auto"/>
        </w:rPr>
        <w:t>4.2.3地下水环境质量现状监测与评价</w:t>
      </w:r>
      <w:bookmarkEnd w:id="37"/>
      <w:bookmarkEnd w:id="38"/>
      <w:bookmarkEnd w:id="39"/>
    </w:p>
    <w:p>
      <w:pPr>
        <w:snapToGrid w:val="0"/>
        <w:ind w:firstLine="480"/>
        <w:rPr>
          <w:rFonts w:cs="Times New Roman"/>
          <w:color w:val="auto"/>
        </w:rPr>
      </w:pPr>
      <w:r>
        <w:rPr>
          <w:rFonts w:cs="Times New Roman"/>
          <w:color w:val="auto"/>
        </w:rPr>
        <w:t>根据《环境影响评价技术导则 地下水环境》（HJ610-2016），地下水环境现状监测点采用控制性布点与功能性布点相结合的布设原则。监测点应主要布设在建设项目场地、周围环境敏感点、地下水污染源以及对于确定边界条件有控制意义的地点。</w:t>
      </w:r>
      <w:r>
        <w:rPr>
          <w:rFonts w:hint="eastAsia" w:cs="Times New Roman"/>
          <w:color w:val="auto"/>
        </w:rPr>
        <w:t>结合项目地及周边实际情况，项目地无地下水</w:t>
      </w:r>
      <w:r>
        <w:rPr>
          <w:rFonts w:cs="Times New Roman"/>
          <w:color w:val="auto"/>
        </w:rPr>
        <w:t>环境敏感点、地下水污染源</w:t>
      </w:r>
      <w:r>
        <w:rPr>
          <w:rFonts w:hint="eastAsia" w:cs="Times New Roman"/>
          <w:color w:val="auto"/>
        </w:rPr>
        <w:t>，监测点位主要布设在建设项目场地上下游。</w:t>
      </w:r>
    </w:p>
    <w:p>
      <w:pPr>
        <w:snapToGrid w:val="0"/>
        <w:ind w:firstLine="480"/>
        <w:rPr>
          <w:rFonts w:cs="Times New Roman"/>
          <w:color w:val="auto"/>
        </w:rPr>
      </w:pPr>
      <w:r>
        <w:rPr>
          <w:rFonts w:cs="Times New Roman"/>
          <w:color w:val="auto"/>
        </w:rPr>
        <w:t>1.监测布点</w:t>
      </w:r>
    </w:p>
    <w:p>
      <w:pPr>
        <w:snapToGrid w:val="0"/>
        <w:ind w:firstLine="480"/>
        <w:rPr>
          <w:rFonts w:cs="Times New Roman"/>
          <w:color w:val="auto"/>
        </w:rPr>
      </w:pPr>
      <w:r>
        <w:rPr>
          <w:rFonts w:cs="Times New Roman"/>
          <w:color w:val="auto"/>
        </w:rPr>
        <w:t>在</w:t>
      </w:r>
      <w:r>
        <w:rPr>
          <w:rFonts w:hint="eastAsia" w:cs="Times New Roman"/>
          <w:color w:val="auto"/>
          <w:lang w:val="en-US" w:eastAsia="zh-CN"/>
        </w:rPr>
        <w:t>岚河佐龙镇</w:t>
      </w:r>
      <w:r>
        <w:rPr>
          <w:rFonts w:cs="Times New Roman"/>
          <w:color w:val="auto"/>
        </w:rPr>
        <w:t>项目区</w:t>
      </w:r>
      <w:r>
        <w:rPr>
          <w:rFonts w:hint="eastAsia" w:cs="Times New Roman"/>
          <w:color w:val="auto"/>
          <w:lang w:val="en-US" w:eastAsia="zh-CN"/>
        </w:rPr>
        <w:t>上下游</w:t>
      </w:r>
      <w:r>
        <w:rPr>
          <w:rFonts w:cs="Times New Roman"/>
          <w:color w:val="auto"/>
        </w:rPr>
        <w:t>段、</w:t>
      </w:r>
      <w:r>
        <w:rPr>
          <w:rFonts w:hint="eastAsia" w:cs="Times New Roman"/>
          <w:color w:val="auto"/>
          <w:lang w:val="en-US" w:eastAsia="zh-CN"/>
        </w:rPr>
        <w:t>岚河城关镇</w:t>
      </w:r>
      <w:r>
        <w:rPr>
          <w:rFonts w:cs="Times New Roman"/>
          <w:color w:val="auto"/>
        </w:rPr>
        <w:t>项目区</w:t>
      </w:r>
      <w:r>
        <w:rPr>
          <w:rFonts w:hint="eastAsia" w:cs="Times New Roman"/>
          <w:color w:val="auto"/>
          <w:lang w:val="en-US" w:eastAsia="zh-CN"/>
        </w:rPr>
        <w:t>段</w:t>
      </w:r>
      <w:r>
        <w:rPr>
          <w:rFonts w:cs="Times New Roman"/>
          <w:color w:val="auto"/>
        </w:rPr>
        <w:t>、</w:t>
      </w:r>
      <w:r>
        <w:rPr>
          <w:rFonts w:hint="eastAsia" w:cs="Times New Roman"/>
          <w:color w:val="auto"/>
          <w:lang w:val="en-US" w:eastAsia="zh-CN"/>
        </w:rPr>
        <w:t>岚河蔺河镇</w:t>
      </w:r>
      <w:r>
        <w:rPr>
          <w:rFonts w:cs="Times New Roman"/>
          <w:color w:val="auto"/>
        </w:rPr>
        <w:t>项目</w:t>
      </w:r>
      <w:r>
        <w:rPr>
          <w:rFonts w:hint="eastAsia" w:cs="Times New Roman"/>
          <w:color w:val="auto"/>
          <w:lang w:val="en-US" w:eastAsia="zh-CN"/>
        </w:rPr>
        <w:t>区段、岚河南宫山镇项目区段、岚河孟石岭镇项目区段</w:t>
      </w:r>
      <w:r>
        <w:rPr>
          <w:rFonts w:cs="Times New Roman"/>
          <w:color w:val="auto"/>
        </w:rPr>
        <w:t>分别布设1个点位。</w:t>
      </w:r>
    </w:p>
    <w:p>
      <w:pPr>
        <w:pStyle w:val="186"/>
        <w:autoSpaceDE/>
        <w:autoSpaceDN/>
        <w:adjustRightInd w:val="0"/>
        <w:snapToGrid w:val="0"/>
        <w:spacing w:line="240" w:lineRule="auto"/>
        <w:ind w:firstLine="482"/>
        <w:rPr>
          <w:color w:val="auto"/>
        </w:rPr>
      </w:pPr>
      <w:r>
        <w:rPr>
          <w:color w:val="auto"/>
        </w:rPr>
        <w:t>表4.2-3  评价区内地下水监测布点情况一览表</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2823"/>
        <w:gridCol w:w="3532"/>
        <w:gridCol w:w="1099"/>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exact"/>
          <w:tblHeader/>
          <w:jc w:val="center"/>
        </w:trPr>
        <w:tc>
          <w:tcPr>
            <w:tcW w:w="382" w:type="pct"/>
            <w:tcBorders>
              <w:bottom w:val="single" w:color="auto" w:sz="12" w:space="0"/>
            </w:tcBorders>
            <w:vAlign w:val="center"/>
          </w:tcPr>
          <w:p>
            <w:pPr>
              <w:adjustRightInd w:val="0"/>
              <w:snapToGrid w:val="0"/>
              <w:spacing w:line="240" w:lineRule="auto"/>
              <w:ind w:firstLine="0" w:firstLineChars="0"/>
              <w:contextualSpacing/>
              <w:jc w:val="center"/>
              <w:rPr>
                <w:rFonts w:cs="Times New Roman"/>
                <w:b/>
                <w:color w:val="auto"/>
                <w:sz w:val="21"/>
                <w:szCs w:val="21"/>
              </w:rPr>
            </w:pPr>
            <w:r>
              <w:rPr>
                <w:rFonts w:cs="Times New Roman"/>
                <w:b/>
                <w:color w:val="auto"/>
                <w:sz w:val="21"/>
                <w:szCs w:val="21"/>
              </w:rPr>
              <w:t>编号</w:t>
            </w:r>
          </w:p>
        </w:tc>
        <w:tc>
          <w:tcPr>
            <w:tcW w:w="1539" w:type="pct"/>
            <w:tcBorders>
              <w:bottom w:val="single" w:color="auto" w:sz="12" w:space="0"/>
            </w:tcBorders>
            <w:vAlign w:val="center"/>
          </w:tcPr>
          <w:p>
            <w:pPr>
              <w:adjustRightInd w:val="0"/>
              <w:snapToGrid w:val="0"/>
              <w:spacing w:line="240" w:lineRule="auto"/>
              <w:ind w:firstLine="0" w:firstLineChars="0"/>
              <w:contextualSpacing/>
              <w:jc w:val="center"/>
              <w:rPr>
                <w:rFonts w:cs="Times New Roman"/>
                <w:b/>
                <w:color w:val="auto"/>
                <w:sz w:val="21"/>
                <w:szCs w:val="21"/>
              </w:rPr>
            </w:pPr>
            <w:r>
              <w:rPr>
                <w:rFonts w:cs="Times New Roman"/>
                <w:b/>
                <w:color w:val="auto"/>
                <w:sz w:val="21"/>
                <w:szCs w:val="21"/>
              </w:rPr>
              <w:t>监测点位置</w:t>
            </w:r>
          </w:p>
        </w:tc>
        <w:tc>
          <w:tcPr>
            <w:tcW w:w="1925" w:type="pct"/>
            <w:tcBorders>
              <w:bottom w:val="single" w:color="auto" w:sz="12" w:space="0"/>
            </w:tcBorders>
            <w:vAlign w:val="center"/>
          </w:tcPr>
          <w:p>
            <w:pPr>
              <w:adjustRightInd w:val="0"/>
              <w:snapToGrid w:val="0"/>
              <w:spacing w:line="240" w:lineRule="auto"/>
              <w:ind w:firstLine="0" w:firstLineChars="0"/>
              <w:contextualSpacing/>
              <w:jc w:val="center"/>
              <w:rPr>
                <w:rFonts w:cs="Times New Roman"/>
                <w:b/>
                <w:color w:val="auto"/>
                <w:sz w:val="21"/>
                <w:szCs w:val="21"/>
              </w:rPr>
            </w:pPr>
            <w:r>
              <w:rPr>
                <w:rFonts w:cs="Times New Roman"/>
                <w:b/>
                <w:color w:val="auto"/>
                <w:sz w:val="21"/>
                <w:szCs w:val="21"/>
              </w:rPr>
              <w:t>坐标</w:t>
            </w:r>
          </w:p>
        </w:tc>
        <w:tc>
          <w:tcPr>
            <w:tcW w:w="599" w:type="pct"/>
            <w:tcBorders>
              <w:bottom w:val="single" w:color="auto" w:sz="12" w:space="0"/>
            </w:tcBorders>
            <w:vAlign w:val="center"/>
          </w:tcPr>
          <w:p>
            <w:pPr>
              <w:adjustRightInd w:val="0"/>
              <w:snapToGrid w:val="0"/>
              <w:spacing w:line="240" w:lineRule="auto"/>
              <w:ind w:firstLine="0" w:firstLineChars="0"/>
              <w:contextualSpacing/>
              <w:jc w:val="center"/>
              <w:rPr>
                <w:rFonts w:cs="Times New Roman"/>
                <w:b/>
                <w:color w:val="auto"/>
                <w:sz w:val="21"/>
                <w:szCs w:val="21"/>
              </w:rPr>
            </w:pPr>
            <w:r>
              <w:rPr>
                <w:rFonts w:cs="Times New Roman"/>
                <w:b/>
                <w:color w:val="auto"/>
                <w:sz w:val="21"/>
                <w:szCs w:val="21"/>
              </w:rPr>
              <w:t>水位</w:t>
            </w:r>
            <w:r>
              <w:rPr>
                <w:rFonts w:hint="eastAsia" w:cs="Times New Roman"/>
                <w:b/>
                <w:color w:val="auto"/>
                <w:sz w:val="21"/>
                <w:szCs w:val="21"/>
              </w:rPr>
              <w:t>（m）</w:t>
            </w:r>
          </w:p>
        </w:tc>
        <w:tc>
          <w:tcPr>
            <w:tcW w:w="553" w:type="pct"/>
            <w:tcBorders>
              <w:bottom w:val="single" w:color="auto" w:sz="12" w:space="0"/>
            </w:tcBorders>
            <w:vAlign w:val="center"/>
          </w:tcPr>
          <w:p>
            <w:pPr>
              <w:adjustRightInd w:val="0"/>
              <w:snapToGrid w:val="0"/>
              <w:spacing w:line="240" w:lineRule="auto"/>
              <w:ind w:firstLine="0" w:firstLineChars="0"/>
              <w:contextualSpacing/>
              <w:jc w:val="center"/>
              <w:rPr>
                <w:rFonts w:cs="Times New Roman"/>
                <w:b/>
                <w:color w:val="auto"/>
                <w:sz w:val="21"/>
                <w:szCs w:val="21"/>
              </w:rPr>
            </w:pPr>
            <w:r>
              <w:rPr>
                <w:rFonts w:hint="eastAsia" w:cs="Times New Roman"/>
                <w:b/>
                <w:color w:val="auto"/>
                <w:sz w:val="21"/>
                <w:szCs w:val="21"/>
              </w:rPr>
              <w:t>层位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382" w:type="pct"/>
            <w:tcBorders>
              <w:top w:val="single" w:color="auto" w:sz="12" w:space="0"/>
            </w:tcBorders>
            <w:vAlign w:val="center"/>
          </w:tcPr>
          <w:p>
            <w:pPr>
              <w:adjustRightInd w:val="0"/>
              <w:snapToGrid w:val="0"/>
              <w:spacing w:line="240" w:lineRule="auto"/>
              <w:ind w:firstLine="0" w:firstLineChars="0"/>
              <w:contextualSpacing/>
              <w:jc w:val="center"/>
              <w:rPr>
                <w:rFonts w:cs="Times New Roman"/>
                <w:color w:val="auto"/>
                <w:sz w:val="21"/>
                <w:szCs w:val="21"/>
              </w:rPr>
            </w:pPr>
            <w:r>
              <w:rPr>
                <w:rFonts w:cs="Times New Roman"/>
                <w:color w:val="auto"/>
                <w:sz w:val="21"/>
                <w:szCs w:val="21"/>
              </w:rPr>
              <w:t>G1</w:t>
            </w:r>
          </w:p>
        </w:tc>
        <w:tc>
          <w:tcPr>
            <w:tcW w:w="1539" w:type="pct"/>
            <w:tcBorders>
              <w:top w:val="single" w:color="auto" w:sz="12" w:space="0"/>
            </w:tcBorders>
            <w:vAlign w:val="center"/>
          </w:tcPr>
          <w:p>
            <w:pPr>
              <w:adjustRightInd w:val="0"/>
              <w:snapToGrid w:val="0"/>
              <w:spacing w:line="240" w:lineRule="auto"/>
              <w:ind w:firstLine="0" w:firstLineChars="0"/>
              <w:contextualSpacing/>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岚河佐龙镇</w:t>
            </w:r>
            <w:r>
              <w:rPr>
                <w:rFonts w:cs="Times New Roman"/>
                <w:color w:val="auto"/>
                <w:sz w:val="21"/>
                <w:szCs w:val="21"/>
              </w:rPr>
              <w:t>项目区段</w:t>
            </w:r>
            <w:r>
              <w:rPr>
                <w:rFonts w:hint="eastAsia" w:cs="Times New Roman"/>
                <w:color w:val="auto"/>
                <w:sz w:val="21"/>
                <w:szCs w:val="21"/>
                <w:lang w:val="en-US" w:eastAsia="zh-CN"/>
              </w:rPr>
              <w:t>上游</w:t>
            </w:r>
          </w:p>
        </w:tc>
        <w:tc>
          <w:tcPr>
            <w:tcW w:w="1925" w:type="pct"/>
            <w:tcBorders>
              <w:top w:val="single" w:color="auto" w:sz="12" w:space="0"/>
            </w:tcBorders>
            <w:vAlign w:val="center"/>
          </w:tcPr>
          <w:p>
            <w:pPr>
              <w:adjustRightInd w:val="0"/>
              <w:snapToGrid w:val="0"/>
              <w:spacing w:line="240" w:lineRule="auto"/>
              <w:ind w:firstLine="0" w:firstLineChars="0"/>
              <w:contextualSpacing/>
              <w:jc w:val="center"/>
              <w:rPr>
                <w:rFonts w:cs="Times New Roman"/>
                <w:color w:val="auto"/>
                <w:spacing w:val="-3"/>
                <w:sz w:val="21"/>
                <w:szCs w:val="21"/>
              </w:rPr>
            </w:pPr>
            <w:r>
              <w:rPr>
                <w:rFonts w:cs="Times New Roman"/>
                <w:color w:val="auto"/>
                <w:spacing w:val="-3"/>
                <w:sz w:val="21"/>
                <w:szCs w:val="21"/>
              </w:rPr>
              <w:t>108°8′10.78″E，32°33′11.96″N</w:t>
            </w:r>
          </w:p>
        </w:tc>
        <w:tc>
          <w:tcPr>
            <w:tcW w:w="599" w:type="pct"/>
            <w:tcBorders>
              <w:top w:val="single" w:color="auto" w:sz="12" w:space="0"/>
            </w:tcBorders>
            <w:vAlign w:val="center"/>
          </w:tcPr>
          <w:p>
            <w:pPr>
              <w:adjustRightInd w:val="0"/>
              <w:snapToGrid w:val="0"/>
              <w:spacing w:line="240" w:lineRule="auto"/>
              <w:ind w:firstLine="0" w:firstLineChars="0"/>
              <w:contextualSpacing/>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2</w:t>
            </w:r>
          </w:p>
        </w:tc>
        <w:tc>
          <w:tcPr>
            <w:tcW w:w="553" w:type="pct"/>
            <w:tcBorders>
              <w:top w:val="single" w:color="auto" w:sz="12" w:space="0"/>
            </w:tcBorders>
            <w:vAlign w:val="center"/>
          </w:tcPr>
          <w:p>
            <w:pPr>
              <w:adjustRightInd w:val="0"/>
              <w:snapToGrid w:val="0"/>
              <w:spacing w:line="240" w:lineRule="auto"/>
              <w:ind w:firstLine="0" w:firstLineChars="0"/>
              <w:contextualSpacing/>
              <w:jc w:val="center"/>
              <w:rPr>
                <w:rFonts w:cs="Times New Roman"/>
                <w:color w:val="auto"/>
                <w:sz w:val="21"/>
                <w:szCs w:val="21"/>
              </w:rPr>
            </w:pPr>
            <w:r>
              <w:rPr>
                <w:rFonts w:hint="eastAsia" w:cs="Times New Roman"/>
                <w:color w:val="auto"/>
                <w:sz w:val="21"/>
                <w:szCs w:val="21"/>
              </w:rPr>
              <w:t>潜水层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382" w:type="pct"/>
            <w:vAlign w:val="center"/>
          </w:tcPr>
          <w:p>
            <w:pPr>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1"/>
                <w:lang w:val="en-US" w:eastAsia="zh-CN" w:bidi="ar-SA"/>
              </w:rPr>
            </w:pPr>
            <w:r>
              <w:rPr>
                <w:rFonts w:cs="Times New Roman"/>
                <w:color w:val="auto"/>
                <w:sz w:val="21"/>
                <w:szCs w:val="21"/>
              </w:rPr>
              <w:t>G2</w:t>
            </w:r>
          </w:p>
        </w:tc>
        <w:tc>
          <w:tcPr>
            <w:tcW w:w="1539" w:type="pct"/>
            <w:vAlign w:val="center"/>
          </w:tcPr>
          <w:p>
            <w:pPr>
              <w:adjustRightInd w:val="0"/>
              <w:snapToGrid w:val="0"/>
              <w:spacing w:line="240" w:lineRule="auto"/>
              <w:ind w:firstLine="0" w:firstLineChars="0"/>
              <w:contextualSpacing/>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岚河佐龙镇</w:t>
            </w:r>
            <w:r>
              <w:rPr>
                <w:rFonts w:cs="Times New Roman"/>
                <w:color w:val="auto"/>
                <w:sz w:val="21"/>
                <w:szCs w:val="21"/>
              </w:rPr>
              <w:t>项目区段</w:t>
            </w:r>
            <w:r>
              <w:rPr>
                <w:rFonts w:hint="eastAsia" w:cs="Times New Roman"/>
                <w:color w:val="auto"/>
                <w:sz w:val="21"/>
                <w:szCs w:val="21"/>
                <w:lang w:val="en-US" w:eastAsia="zh-CN"/>
              </w:rPr>
              <w:t>下游</w:t>
            </w:r>
          </w:p>
        </w:tc>
        <w:tc>
          <w:tcPr>
            <w:tcW w:w="1925" w:type="pct"/>
            <w:vAlign w:val="center"/>
          </w:tcPr>
          <w:p>
            <w:pPr>
              <w:adjustRightInd w:val="0"/>
              <w:snapToGrid w:val="0"/>
              <w:spacing w:line="240" w:lineRule="auto"/>
              <w:ind w:firstLine="0" w:firstLineChars="0"/>
              <w:contextualSpacing/>
              <w:jc w:val="center"/>
              <w:rPr>
                <w:rFonts w:cs="Times New Roman"/>
                <w:color w:val="auto"/>
                <w:spacing w:val="-3"/>
                <w:sz w:val="21"/>
                <w:szCs w:val="21"/>
              </w:rPr>
            </w:pPr>
            <w:r>
              <w:rPr>
                <w:rFonts w:cs="Times New Roman"/>
                <w:color w:val="auto"/>
                <w:spacing w:val="-3"/>
                <w:sz w:val="21"/>
                <w:szCs w:val="21"/>
              </w:rPr>
              <w:t>108°8′10.78″E，32°33′11.96″N</w:t>
            </w:r>
          </w:p>
        </w:tc>
        <w:tc>
          <w:tcPr>
            <w:tcW w:w="599" w:type="pct"/>
            <w:vAlign w:val="center"/>
          </w:tcPr>
          <w:p>
            <w:pPr>
              <w:adjustRightInd w:val="0"/>
              <w:snapToGrid w:val="0"/>
              <w:spacing w:line="240" w:lineRule="auto"/>
              <w:ind w:firstLine="0" w:firstLineChars="0"/>
              <w:contextualSpacing/>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6</w:t>
            </w:r>
          </w:p>
        </w:tc>
        <w:tc>
          <w:tcPr>
            <w:tcW w:w="553" w:type="pct"/>
            <w:vAlign w:val="center"/>
          </w:tcPr>
          <w:p>
            <w:pPr>
              <w:adjustRightInd w:val="0"/>
              <w:snapToGrid w:val="0"/>
              <w:spacing w:line="240" w:lineRule="auto"/>
              <w:ind w:firstLine="0" w:firstLineChars="0"/>
              <w:contextualSpacing/>
              <w:jc w:val="center"/>
              <w:rPr>
                <w:rFonts w:hint="eastAsia" w:cs="Times New Roman"/>
                <w:color w:val="auto"/>
                <w:sz w:val="21"/>
                <w:szCs w:val="21"/>
              </w:rPr>
            </w:pPr>
            <w:r>
              <w:rPr>
                <w:rFonts w:hint="eastAsia" w:cs="Times New Roman"/>
                <w:color w:val="auto"/>
                <w:sz w:val="21"/>
                <w:szCs w:val="21"/>
              </w:rPr>
              <w:t>潜水层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382" w:type="pct"/>
            <w:vAlign w:val="center"/>
          </w:tcPr>
          <w:p>
            <w:pPr>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1"/>
                <w:lang w:val="en-US" w:eastAsia="zh-CN" w:bidi="ar-SA"/>
              </w:rPr>
            </w:pPr>
            <w:r>
              <w:rPr>
                <w:rFonts w:cs="Times New Roman"/>
                <w:color w:val="auto"/>
                <w:sz w:val="21"/>
                <w:szCs w:val="21"/>
              </w:rPr>
              <w:t>G3</w:t>
            </w:r>
          </w:p>
        </w:tc>
        <w:tc>
          <w:tcPr>
            <w:tcW w:w="1539" w:type="pct"/>
            <w:vAlign w:val="center"/>
          </w:tcPr>
          <w:p>
            <w:pPr>
              <w:adjustRightInd w:val="0"/>
              <w:snapToGrid w:val="0"/>
              <w:spacing w:line="240" w:lineRule="auto"/>
              <w:ind w:firstLine="0" w:firstLineChars="0"/>
              <w:contextualSpacing/>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岚河城关镇六口项目区段</w:t>
            </w:r>
          </w:p>
        </w:tc>
        <w:tc>
          <w:tcPr>
            <w:tcW w:w="1925" w:type="pct"/>
            <w:vAlign w:val="center"/>
          </w:tcPr>
          <w:p>
            <w:pPr>
              <w:adjustRightInd w:val="0"/>
              <w:snapToGrid w:val="0"/>
              <w:spacing w:line="240" w:lineRule="auto"/>
              <w:ind w:firstLine="0" w:firstLineChars="0"/>
              <w:contextualSpacing/>
              <w:jc w:val="center"/>
              <w:rPr>
                <w:rFonts w:cs="Times New Roman"/>
                <w:color w:val="auto"/>
                <w:spacing w:val="-3"/>
                <w:sz w:val="21"/>
                <w:szCs w:val="21"/>
              </w:rPr>
            </w:pPr>
            <w:r>
              <w:rPr>
                <w:rFonts w:cs="Times New Roman"/>
                <w:color w:val="auto"/>
                <w:spacing w:val="-3"/>
                <w:sz w:val="21"/>
                <w:szCs w:val="21"/>
              </w:rPr>
              <w:t>109°7′26.70″E，32°34′3.46″N</w:t>
            </w:r>
          </w:p>
        </w:tc>
        <w:tc>
          <w:tcPr>
            <w:tcW w:w="599" w:type="pct"/>
            <w:vAlign w:val="center"/>
          </w:tcPr>
          <w:p>
            <w:pPr>
              <w:adjustRightInd w:val="0"/>
              <w:snapToGrid w:val="0"/>
              <w:spacing w:line="240" w:lineRule="auto"/>
              <w:ind w:firstLine="0" w:firstLineChars="0"/>
              <w:contextualSpacing/>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1</w:t>
            </w:r>
          </w:p>
        </w:tc>
        <w:tc>
          <w:tcPr>
            <w:tcW w:w="553" w:type="pct"/>
            <w:vAlign w:val="center"/>
          </w:tcPr>
          <w:p>
            <w:pPr>
              <w:adjustRightInd w:val="0"/>
              <w:snapToGrid w:val="0"/>
              <w:spacing w:line="240" w:lineRule="auto"/>
              <w:ind w:firstLine="0" w:firstLineChars="0"/>
              <w:contextualSpacing/>
              <w:jc w:val="center"/>
              <w:rPr>
                <w:rFonts w:cs="Times New Roman"/>
                <w:color w:val="auto"/>
                <w:sz w:val="21"/>
                <w:szCs w:val="21"/>
              </w:rPr>
            </w:pPr>
            <w:r>
              <w:rPr>
                <w:rFonts w:hint="eastAsia" w:cs="Times New Roman"/>
                <w:color w:val="auto"/>
                <w:sz w:val="21"/>
                <w:szCs w:val="21"/>
              </w:rPr>
              <w:t>潜水层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382" w:type="pct"/>
            <w:vAlign w:val="center"/>
          </w:tcPr>
          <w:p>
            <w:pPr>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1"/>
                <w:lang w:val="en-US" w:eastAsia="zh-CN" w:bidi="ar-SA"/>
              </w:rPr>
            </w:pPr>
            <w:r>
              <w:rPr>
                <w:rFonts w:cs="Times New Roman"/>
                <w:color w:val="auto"/>
                <w:sz w:val="21"/>
                <w:szCs w:val="21"/>
              </w:rPr>
              <w:t>G4</w:t>
            </w:r>
          </w:p>
        </w:tc>
        <w:tc>
          <w:tcPr>
            <w:tcW w:w="1539" w:type="pct"/>
            <w:vAlign w:val="center"/>
          </w:tcPr>
          <w:p>
            <w:pPr>
              <w:adjustRightInd w:val="0"/>
              <w:snapToGrid w:val="0"/>
              <w:spacing w:line="240" w:lineRule="auto"/>
              <w:ind w:firstLine="0" w:firstLineChars="0"/>
              <w:contextualSpacing/>
              <w:jc w:val="center"/>
              <w:rPr>
                <w:rFonts w:cs="Times New Roman"/>
                <w:color w:val="auto"/>
                <w:sz w:val="21"/>
                <w:szCs w:val="21"/>
              </w:rPr>
            </w:pPr>
            <w:r>
              <w:rPr>
                <w:rFonts w:hint="eastAsia" w:cs="Times New Roman"/>
                <w:color w:val="auto"/>
                <w:sz w:val="21"/>
                <w:szCs w:val="21"/>
                <w:lang w:val="en-US" w:eastAsia="zh-CN"/>
              </w:rPr>
              <w:t>岚河蔺河镇项目区段</w:t>
            </w:r>
          </w:p>
        </w:tc>
        <w:tc>
          <w:tcPr>
            <w:tcW w:w="1925" w:type="pct"/>
            <w:vAlign w:val="center"/>
          </w:tcPr>
          <w:p>
            <w:pPr>
              <w:adjustRightInd w:val="0"/>
              <w:snapToGrid w:val="0"/>
              <w:spacing w:line="240" w:lineRule="auto"/>
              <w:ind w:firstLine="0" w:firstLineChars="0"/>
              <w:contextualSpacing/>
              <w:jc w:val="center"/>
              <w:rPr>
                <w:rFonts w:cs="Times New Roman"/>
                <w:color w:val="auto"/>
                <w:spacing w:val="-3"/>
                <w:sz w:val="21"/>
                <w:szCs w:val="21"/>
              </w:rPr>
            </w:pPr>
            <w:r>
              <w:rPr>
                <w:rFonts w:cs="Times New Roman"/>
                <w:color w:val="auto"/>
                <w:spacing w:val="-3"/>
                <w:sz w:val="21"/>
                <w:szCs w:val="21"/>
              </w:rPr>
              <w:t>109°9′30.68″E，32°27′42.98″N</w:t>
            </w:r>
          </w:p>
        </w:tc>
        <w:tc>
          <w:tcPr>
            <w:tcW w:w="599" w:type="pct"/>
            <w:vAlign w:val="center"/>
          </w:tcPr>
          <w:p>
            <w:pPr>
              <w:adjustRightInd w:val="0"/>
              <w:snapToGrid w:val="0"/>
              <w:spacing w:line="240" w:lineRule="auto"/>
              <w:ind w:firstLine="0" w:firstLineChars="0"/>
              <w:contextualSpacing/>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4</w:t>
            </w:r>
          </w:p>
        </w:tc>
        <w:tc>
          <w:tcPr>
            <w:tcW w:w="553" w:type="pct"/>
            <w:vAlign w:val="center"/>
          </w:tcPr>
          <w:p>
            <w:pPr>
              <w:adjustRightInd w:val="0"/>
              <w:snapToGrid w:val="0"/>
              <w:spacing w:line="240" w:lineRule="auto"/>
              <w:ind w:firstLine="0" w:firstLineChars="0"/>
              <w:contextualSpacing/>
              <w:jc w:val="center"/>
              <w:rPr>
                <w:rFonts w:cs="Times New Roman"/>
                <w:color w:val="auto"/>
                <w:sz w:val="21"/>
                <w:szCs w:val="21"/>
              </w:rPr>
            </w:pPr>
            <w:r>
              <w:rPr>
                <w:rFonts w:hint="eastAsia" w:cs="Times New Roman"/>
                <w:color w:val="auto"/>
                <w:sz w:val="21"/>
                <w:szCs w:val="21"/>
              </w:rPr>
              <w:t>潜水层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382" w:type="pct"/>
            <w:vAlign w:val="center"/>
          </w:tcPr>
          <w:p>
            <w:pPr>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1"/>
                <w:lang w:val="en-US" w:eastAsia="zh-CN" w:bidi="ar-SA"/>
              </w:rPr>
            </w:pPr>
            <w:r>
              <w:rPr>
                <w:rFonts w:cs="Times New Roman"/>
                <w:color w:val="auto"/>
                <w:sz w:val="21"/>
                <w:szCs w:val="21"/>
              </w:rPr>
              <w:t>G5</w:t>
            </w:r>
          </w:p>
        </w:tc>
        <w:tc>
          <w:tcPr>
            <w:tcW w:w="1539" w:type="pct"/>
            <w:vAlign w:val="center"/>
          </w:tcPr>
          <w:p>
            <w:pPr>
              <w:adjustRightInd w:val="0"/>
              <w:snapToGrid w:val="0"/>
              <w:spacing w:line="240" w:lineRule="auto"/>
              <w:ind w:firstLine="0" w:firstLineChars="0"/>
              <w:contextualSpacing/>
              <w:jc w:val="center"/>
              <w:rPr>
                <w:rFonts w:cs="Times New Roman"/>
                <w:color w:val="auto"/>
                <w:sz w:val="21"/>
                <w:szCs w:val="21"/>
              </w:rPr>
            </w:pPr>
            <w:r>
              <w:rPr>
                <w:rFonts w:hint="eastAsia" w:cs="Times New Roman"/>
                <w:color w:val="auto"/>
                <w:sz w:val="21"/>
                <w:szCs w:val="21"/>
                <w:lang w:val="en-US" w:eastAsia="zh-CN"/>
              </w:rPr>
              <w:t>岚河南宫山镇项目区段</w:t>
            </w:r>
          </w:p>
        </w:tc>
        <w:tc>
          <w:tcPr>
            <w:tcW w:w="1925" w:type="pct"/>
            <w:vAlign w:val="center"/>
          </w:tcPr>
          <w:p>
            <w:pPr>
              <w:adjustRightInd w:val="0"/>
              <w:snapToGrid w:val="0"/>
              <w:spacing w:line="240" w:lineRule="auto"/>
              <w:ind w:firstLine="0" w:firstLineChars="0"/>
              <w:contextualSpacing/>
              <w:jc w:val="center"/>
              <w:rPr>
                <w:rFonts w:cs="Times New Roman"/>
                <w:color w:val="auto"/>
                <w:spacing w:val="-3"/>
                <w:sz w:val="21"/>
                <w:szCs w:val="21"/>
              </w:rPr>
            </w:pPr>
            <w:r>
              <w:rPr>
                <w:rFonts w:cs="Times New Roman"/>
                <w:color w:val="auto"/>
                <w:spacing w:val="-3"/>
                <w:sz w:val="21"/>
                <w:szCs w:val="21"/>
              </w:rPr>
              <w:t>109°9′30.68″E，32°27′42.98″N</w:t>
            </w:r>
          </w:p>
        </w:tc>
        <w:tc>
          <w:tcPr>
            <w:tcW w:w="599" w:type="pct"/>
            <w:vAlign w:val="center"/>
          </w:tcPr>
          <w:p>
            <w:pPr>
              <w:adjustRightInd w:val="0"/>
              <w:snapToGrid w:val="0"/>
              <w:spacing w:line="240" w:lineRule="auto"/>
              <w:ind w:firstLine="0" w:firstLineChars="0"/>
              <w:contextualSpacing/>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6</w:t>
            </w:r>
          </w:p>
        </w:tc>
        <w:tc>
          <w:tcPr>
            <w:tcW w:w="553" w:type="pct"/>
            <w:vAlign w:val="center"/>
          </w:tcPr>
          <w:p>
            <w:pPr>
              <w:adjustRightInd w:val="0"/>
              <w:snapToGrid w:val="0"/>
              <w:spacing w:line="240" w:lineRule="auto"/>
              <w:ind w:firstLine="0" w:firstLineChars="0"/>
              <w:contextualSpacing/>
              <w:jc w:val="center"/>
              <w:rPr>
                <w:rFonts w:cs="Times New Roman"/>
                <w:color w:val="auto"/>
                <w:sz w:val="21"/>
                <w:szCs w:val="21"/>
              </w:rPr>
            </w:pPr>
            <w:r>
              <w:rPr>
                <w:rFonts w:hint="eastAsia" w:cs="Times New Roman"/>
                <w:color w:val="auto"/>
                <w:sz w:val="21"/>
                <w:szCs w:val="21"/>
              </w:rPr>
              <w:t>潜水层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382" w:type="pct"/>
            <w:vAlign w:val="center"/>
          </w:tcPr>
          <w:p>
            <w:pPr>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1"/>
                <w:lang w:val="en-US" w:eastAsia="zh-CN" w:bidi="ar-SA"/>
              </w:rPr>
            </w:pPr>
            <w:r>
              <w:rPr>
                <w:rFonts w:cs="Times New Roman"/>
                <w:color w:val="auto"/>
                <w:sz w:val="21"/>
                <w:szCs w:val="21"/>
              </w:rPr>
              <w:t>G6</w:t>
            </w:r>
          </w:p>
        </w:tc>
        <w:tc>
          <w:tcPr>
            <w:tcW w:w="1539" w:type="pct"/>
            <w:vAlign w:val="center"/>
          </w:tcPr>
          <w:p>
            <w:pPr>
              <w:adjustRightInd w:val="0"/>
              <w:snapToGrid w:val="0"/>
              <w:spacing w:line="240" w:lineRule="auto"/>
              <w:ind w:firstLine="0" w:firstLineChars="0"/>
              <w:contextualSpacing/>
              <w:jc w:val="center"/>
              <w:rPr>
                <w:rFonts w:cs="Times New Roman"/>
                <w:color w:val="auto"/>
                <w:sz w:val="21"/>
                <w:szCs w:val="21"/>
              </w:rPr>
            </w:pPr>
            <w:r>
              <w:rPr>
                <w:rFonts w:hint="eastAsia" w:cs="Times New Roman"/>
                <w:color w:val="auto"/>
                <w:sz w:val="21"/>
                <w:szCs w:val="21"/>
                <w:lang w:val="en-US" w:eastAsia="zh-CN"/>
              </w:rPr>
              <w:t>岚河孟石岭镇项目区段</w:t>
            </w:r>
          </w:p>
        </w:tc>
        <w:tc>
          <w:tcPr>
            <w:tcW w:w="1925" w:type="pct"/>
            <w:vAlign w:val="center"/>
          </w:tcPr>
          <w:p>
            <w:pPr>
              <w:adjustRightInd w:val="0"/>
              <w:snapToGrid w:val="0"/>
              <w:spacing w:line="240" w:lineRule="auto"/>
              <w:ind w:firstLine="0" w:firstLineChars="0"/>
              <w:contextualSpacing/>
              <w:jc w:val="center"/>
              <w:rPr>
                <w:rFonts w:cs="Times New Roman"/>
                <w:color w:val="auto"/>
                <w:spacing w:val="-3"/>
                <w:sz w:val="21"/>
                <w:szCs w:val="21"/>
              </w:rPr>
            </w:pPr>
            <w:r>
              <w:rPr>
                <w:rFonts w:cs="Times New Roman"/>
                <w:color w:val="auto"/>
                <w:spacing w:val="-3"/>
                <w:sz w:val="21"/>
                <w:szCs w:val="21"/>
              </w:rPr>
              <w:t>109°18′21.84″E，32°33′41.54″N</w:t>
            </w:r>
          </w:p>
        </w:tc>
        <w:tc>
          <w:tcPr>
            <w:tcW w:w="599" w:type="pct"/>
            <w:vAlign w:val="center"/>
          </w:tcPr>
          <w:p>
            <w:pPr>
              <w:adjustRightInd w:val="0"/>
              <w:snapToGrid w:val="0"/>
              <w:spacing w:line="240" w:lineRule="auto"/>
              <w:ind w:firstLine="0" w:firstLineChars="0"/>
              <w:contextualSpacing/>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5</w:t>
            </w:r>
          </w:p>
        </w:tc>
        <w:tc>
          <w:tcPr>
            <w:tcW w:w="553" w:type="pct"/>
            <w:vAlign w:val="center"/>
          </w:tcPr>
          <w:p>
            <w:pPr>
              <w:adjustRightInd w:val="0"/>
              <w:snapToGrid w:val="0"/>
              <w:spacing w:line="240" w:lineRule="auto"/>
              <w:ind w:firstLine="0" w:firstLineChars="0"/>
              <w:contextualSpacing/>
              <w:jc w:val="center"/>
              <w:rPr>
                <w:rFonts w:cs="Times New Roman"/>
                <w:color w:val="auto"/>
                <w:sz w:val="21"/>
                <w:szCs w:val="21"/>
              </w:rPr>
            </w:pPr>
            <w:r>
              <w:rPr>
                <w:rFonts w:hint="eastAsia" w:cs="Times New Roman"/>
                <w:color w:val="auto"/>
                <w:sz w:val="21"/>
                <w:szCs w:val="21"/>
              </w:rPr>
              <w:t>潜水层</w:t>
            </w:r>
          </w:p>
        </w:tc>
      </w:tr>
    </w:tbl>
    <w:p>
      <w:pPr>
        <w:snapToGrid w:val="0"/>
        <w:ind w:firstLine="480"/>
        <w:rPr>
          <w:rFonts w:cs="Times New Roman"/>
          <w:color w:val="auto"/>
        </w:rPr>
      </w:pPr>
      <w:r>
        <w:rPr>
          <w:rFonts w:cs="Times New Roman"/>
          <w:color w:val="auto"/>
        </w:rPr>
        <w:t>2.监测项目</w:t>
      </w:r>
    </w:p>
    <w:p>
      <w:pPr>
        <w:snapToGrid w:val="0"/>
        <w:ind w:firstLine="480"/>
        <w:rPr>
          <w:rFonts w:cs="Times New Roman"/>
          <w:color w:val="auto"/>
        </w:rPr>
      </w:pPr>
      <w:r>
        <w:rPr>
          <w:rFonts w:cs="Times New Roman"/>
          <w:color w:val="auto"/>
        </w:rPr>
        <w:t>pH值、氨氮、硝酸盐、亚硝酸盐、挥发性酚类、氰化物、氯化物、总硬度、汞、砷、六价铬、铅、氟、镉、锰、铁、高锰酸盐指数、溶解性总固体、硫酸盐、细菌总数、总大肠菌群。</w:t>
      </w:r>
    </w:p>
    <w:p>
      <w:pPr>
        <w:snapToGrid w:val="0"/>
        <w:ind w:firstLine="480"/>
        <w:rPr>
          <w:rFonts w:cs="Times New Roman"/>
          <w:color w:val="auto"/>
        </w:rPr>
      </w:pPr>
      <w:r>
        <w:rPr>
          <w:rFonts w:cs="Times New Roman"/>
          <w:color w:val="auto"/>
        </w:rPr>
        <w:t>3.监测频率</w:t>
      </w:r>
    </w:p>
    <w:p>
      <w:pPr>
        <w:snapToGrid w:val="0"/>
        <w:ind w:firstLine="480"/>
        <w:rPr>
          <w:rFonts w:cs="Times New Roman"/>
          <w:color w:val="auto"/>
        </w:rPr>
      </w:pPr>
      <w:r>
        <w:rPr>
          <w:rFonts w:cs="Times New Roman"/>
          <w:color w:val="auto"/>
        </w:rPr>
        <w:t>监测1次。</w:t>
      </w:r>
    </w:p>
    <w:p>
      <w:pPr>
        <w:snapToGrid w:val="0"/>
        <w:ind w:firstLine="480"/>
        <w:rPr>
          <w:rFonts w:cs="Times New Roman"/>
          <w:color w:val="auto"/>
        </w:rPr>
      </w:pPr>
      <w:r>
        <w:rPr>
          <w:rFonts w:cs="Times New Roman"/>
          <w:color w:val="auto"/>
        </w:rPr>
        <w:t>4.评价标准</w:t>
      </w:r>
    </w:p>
    <w:p>
      <w:pPr>
        <w:snapToGrid w:val="0"/>
        <w:ind w:firstLine="480"/>
        <w:rPr>
          <w:rFonts w:cs="Times New Roman"/>
          <w:color w:val="auto"/>
        </w:rPr>
      </w:pPr>
      <w:r>
        <w:rPr>
          <w:rFonts w:cs="Times New Roman"/>
          <w:color w:val="auto"/>
        </w:rPr>
        <w:t>采用《地下水质量标准》（GB/T14848-2017）Ⅲ类标准。</w:t>
      </w:r>
    </w:p>
    <w:p>
      <w:pPr>
        <w:snapToGrid w:val="0"/>
        <w:ind w:firstLine="480"/>
        <w:rPr>
          <w:rFonts w:cs="Times New Roman"/>
          <w:color w:val="auto"/>
        </w:rPr>
        <w:sectPr>
          <w:pgSz w:w="11906" w:h="16838"/>
          <w:pgMar w:top="1418" w:right="1531" w:bottom="1418" w:left="1418" w:header="851" w:footer="851" w:gutter="0"/>
          <w:pgBorders>
            <w:top w:val="none" w:sz="0" w:space="0"/>
            <w:left w:val="none" w:sz="0" w:space="0"/>
            <w:bottom w:val="none" w:sz="0" w:space="0"/>
            <w:right w:val="none" w:sz="0" w:space="0"/>
          </w:pgBorders>
          <w:cols w:space="0" w:num="1"/>
          <w:docGrid w:type="lines" w:linePitch="400" w:charSpace="0"/>
        </w:sectPr>
      </w:pPr>
      <w:r>
        <w:rPr>
          <w:rFonts w:cs="Times New Roman"/>
          <w:color w:val="auto"/>
        </w:rPr>
        <w:t>5.监测结果</w:t>
      </w:r>
    </w:p>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eastAsia"/>
          <w:b/>
          <w:color w:val="auto"/>
          <w:sz w:val="22"/>
        </w:rPr>
      </w:pPr>
      <w:r>
        <w:rPr>
          <w:b/>
          <w:color w:val="auto"/>
        </w:rPr>
        <w:t>表4.2-4  地下水水质监测结果</w:t>
      </w:r>
      <w:r>
        <w:rPr>
          <w:rFonts w:hint="eastAsia"/>
          <w:b/>
          <w:color w:val="auto"/>
        </w:rPr>
        <w:t xml:space="preserve">  </w:t>
      </w:r>
      <w:r>
        <w:rPr>
          <w:rFonts w:hint="eastAsia"/>
          <w:b/>
          <w:color w:val="auto"/>
          <w:sz w:val="22"/>
        </w:rPr>
        <w:t>单位mg/L，标明的除外</w:t>
      </w:r>
    </w:p>
    <w:tbl>
      <w:tblPr>
        <w:tblStyle w:val="4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449"/>
        <w:gridCol w:w="2778"/>
        <w:gridCol w:w="2460"/>
        <w:gridCol w:w="2627"/>
        <w:gridCol w:w="2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exact"/>
          <w:tblHeader/>
          <w:jc w:val="center"/>
        </w:trPr>
        <w:tc>
          <w:tcPr>
            <w:tcW w:w="1213" w:type="pct"/>
            <w:tcBorders>
              <w:top w:val="single" w:color="000000" w:sz="12" w:space="0"/>
              <w:left w:val="nil"/>
              <w:bottom w:val="single" w:color="000000" w:sz="12" w:space="0"/>
              <w:right w:val="single" w:color="000000" w:sz="4" w:space="0"/>
              <w:tl2br w:val="single" w:color="000000" w:sz="4" w:space="0"/>
            </w:tcBorders>
            <w:vAlign w:val="center"/>
          </w:tcPr>
          <w:p>
            <w:pPr>
              <w:adjustRightInd w:val="0"/>
              <w:snapToGrid w:val="0"/>
              <w:spacing w:line="240" w:lineRule="auto"/>
              <w:ind w:firstLine="0" w:firstLineChars="0"/>
              <w:jc w:val="center"/>
              <w:rPr>
                <w:b/>
                <w:color w:val="auto"/>
                <w:sz w:val="21"/>
                <w:szCs w:val="21"/>
              </w:rPr>
            </w:pPr>
            <w:r>
              <w:rPr>
                <w:color w:val="auto"/>
                <w:sz w:val="21"/>
                <w:szCs w:val="21"/>
              </w:rPr>
              <w:t xml:space="preserve">     </w:t>
            </w:r>
            <w:r>
              <w:rPr>
                <w:b/>
                <w:color w:val="auto"/>
                <w:sz w:val="21"/>
                <w:szCs w:val="21"/>
              </w:rPr>
              <w:t xml:space="preserve">     监测</w:t>
            </w:r>
            <w:r>
              <w:rPr>
                <w:rFonts w:hint="eastAsia"/>
                <w:b/>
                <w:color w:val="auto"/>
                <w:sz w:val="21"/>
                <w:szCs w:val="21"/>
                <w:lang w:val="en-US" w:eastAsia="zh-CN"/>
              </w:rPr>
              <w:t>点</w:t>
            </w:r>
            <w:r>
              <w:rPr>
                <w:b/>
                <w:color w:val="auto"/>
                <w:sz w:val="21"/>
                <w:szCs w:val="21"/>
              </w:rPr>
              <w:t>位</w:t>
            </w:r>
          </w:p>
          <w:p>
            <w:pPr>
              <w:adjustRightInd w:val="0"/>
              <w:snapToGrid w:val="0"/>
              <w:spacing w:line="240" w:lineRule="auto"/>
              <w:ind w:firstLine="0" w:firstLineChars="0"/>
              <w:rPr>
                <w:color w:val="auto"/>
                <w:sz w:val="21"/>
                <w:szCs w:val="21"/>
              </w:rPr>
            </w:pPr>
            <w:r>
              <w:rPr>
                <w:b/>
                <w:color w:val="auto"/>
                <w:sz w:val="21"/>
                <w:szCs w:val="21"/>
              </w:rPr>
              <w:t>监测项目</w:t>
            </w:r>
          </w:p>
        </w:tc>
        <w:tc>
          <w:tcPr>
            <w:tcW w:w="977" w:type="pct"/>
            <w:tcBorders>
              <w:top w:val="single" w:color="000000" w:sz="12" w:space="0"/>
              <w:left w:val="single" w:color="000000" w:sz="4" w:space="0"/>
              <w:bottom w:val="single" w:color="000000" w:sz="12" w:space="0"/>
              <w:right w:val="single" w:color="auto" w:sz="4" w:space="0"/>
            </w:tcBorders>
            <w:vAlign w:val="center"/>
          </w:tcPr>
          <w:p>
            <w:pPr>
              <w:pStyle w:val="165"/>
              <w:kinsoku w:val="0"/>
              <w:overflowPunct w:val="0"/>
              <w:snapToGrid w:val="0"/>
              <w:spacing w:line="240" w:lineRule="auto"/>
              <w:ind w:firstLine="0" w:firstLineChars="0"/>
              <w:jc w:val="center"/>
              <w:rPr>
                <w:b/>
                <w:color w:val="auto"/>
              </w:rPr>
            </w:pPr>
            <w:r>
              <w:rPr>
                <w:rFonts w:hint="eastAsia"/>
                <w:b/>
                <w:color w:val="auto"/>
                <w:lang w:val="en-US" w:eastAsia="zh-CN"/>
              </w:rPr>
              <w:t>岚河佐龙镇</w:t>
            </w:r>
            <w:r>
              <w:rPr>
                <w:b/>
                <w:color w:val="auto"/>
              </w:rPr>
              <w:t>项目区段</w:t>
            </w:r>
            <w:r>
              <w:rPr>
                <w:rFonts w:hint="eastAsia"/>
                <w:b/>
                <w:color w:val="auto"/>
                <w:lang w:val="en-US" w:eastAsia="zh-CN"/>
              </w:rPr>
              <w:t>下游</w:t>
            </w:r>
          </w:p>
        </w:tc>
        <w:tc>
          <w:tcPr>
            <w:tcW w:w="865" w:type="pct"/>
            <w:tcBorders>
              <w:top w:val="single" w:color="000000" w:sz="12" w:space="0"/>
              <w:left w:val="single" w:color="auto" w:sz="4" w:space="0"/>
              <w:bottom w:val="single" w:color="000000" w:sz="12" w:space="0"/>
              <w:right w:val="single" w:color="000000" w:sz="4" w:space="0"/>
            </w:tcBorders>
            <w:vAlign w:val="center"/>
          </w:tcPr>
          <w:p>
            <w:pPr>
              <w:pStyle w:val="165"/>
              <w:kinsoku w:val="0"/>
              <w:overflowPunct w:val="0"/>
              <w:snapToGrid w:val="0"/>
              <w:spacing w:line="240" w:lineRule="auto"/>
              <w:ind w:firstLine="0" w:firstLineChars="0"/>
              <w:jc w:val="center"/>
              <w:rPr>
                <w:b/>
                <w:color w:val="auto"/>
              </w:rPr>
            </w:pPr>
            <w:r>
              <w:rPr>
                <w:rFonts w:hint="eastAsia"/>
                <w:b/>
                <w:color w:val="auto"/>
                <w:lang w:val="en-US" w:eastAsia="zh-CN"/>
              </w:rPr>
              <w:t>岚河城关镇六口项目区段</w:t>
            </w:r>
          </w:p>
        </w:tc>
        <w:tc>
          <w:tcPr>
            <w:tcW w:w="924" w:type="pct"/>
            <w:tcBorders>
              <w:top w:val="single" w:color="000000" w:sz="12" w:space="0"/>
              <w:left w:val="single" w:color="000000" w:sz="4" w:space="0"/>
              <w:bottom w:val="single" w:color="000000" w:sz="12" w:space="0"/>
              <w:right w:val="nil"/>
            </w:tcBorders>
            <w:vAlign w:val="center"/>
          </w:tcPr>
          <w:p>
            <w:pPr>
              <w:pStyle w:val="165"/>
              <w:kinsoku w:val="0"/>
              <w:overflowPunct w:val="0"/>
              <w:snapToGrid w:val="0"/>
              <w:spacing w:line="240" w:lineRule="auto"/>
              <w:ind w:firstLine="0" w:firstLineChars="0"/>
              <w:jc w:val="center"/>
              <w:rPr>
                <w:rFonts w:hint="eastAsia" w:ascii="宋体" w:cs="宋体"/>
                <w:b/>
                <w:color w:val="auto"/>
                <w:sz w:val="21"/>
                <w:szCs w:val="21"/>
              </w:rPr>
            </w:pPr>
            <w:r>
              <w:rPr>
                <w:rFonts w:hint="eastAsia" w:ascii="宋体" w:cs="宋体"/>
                <w:b/>
                <w:color w:val="auto"/>
                <w:sz w:val="21"/>
                <w:szCs w:val="21"/>
                <w:lang w:val="en-US" w:eastAsia="zh-CN"/>
              </w:rPr>
              <w:t>岚河孟石岭镇项目区段</w:t>
            </w:r>
          </w:p>
        </w:tc>
        <w:tc>
          <w:tcPr>
            <w:tcW w:w="1019" w:type="pct"/>
            <w:tcBorders>
              <w:top w:val="single" w:color="000000" w:sz="12" w:space="0"/>
              <w:left w:val="single" w:color="000000" w:sz="4" w:space="0"/>
              <w:bottom w:val="single" w:color="000000" w:sz="12" w:space="0"/>
              <w:right w:val="nil"/>
            </w:tcBorders>
            <w:vAlign w:val="center"/>
          </w:tcPr>
          <w:p>
            <w:pPr>
              <w:widowControl/>
              <w:adjustRightInd w:val="0"/>
              <w:snapToGrid w:val="0"/>
              <w:spacing w:line="240" w:lineRule="auto"/>
              <w:ind w:firstLine="0" w:firstLineChars="0"/>
              <w:jc w:val="center"/>
              <w:rPr>
                <w:color w:val="auto"/>
                <w:sz w:val="21"/>
                <w:szCs w:val="21"/>
              </w:rPr>
            </w:pPr>
            <w:r>
              <w:rPr>
                <w:b/>
                <w:color w:val="auto"/>
                <w:sz w:val="21"/>
                <w:szCs w:val="21"/>
              </w:rPr>
              <w:t>Ⅲ类标准</w:t>
            </w:r>
            <w:r>
              <w:rPr>
                <w:rFonts w:hint="eastAsia"/>
                <w:b/>
                <w:color w:val="auto"/>
                <w:sz w:val="21"/>
                <w:szCs w:val="21"/>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pH</w:t>
            </w:r>
            <w:r>
              <w:rPr>
                <w:rFonts w:hint="eastAsia" w:ascii="宋体" w:cs="宋体"/>
                <w:color w:val="auto"/>
                <w:sz w:val="21"/>
                <w:szCs w:val="21"/>
              </w:rPr>
              <w:t>（无量纲）</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8.</w:t>
            </w:r>
            <w:r>
              <w:rPr>
                <w:rFonts w:hint="eastAsia"/>
                <w:color w:val="auto"/>
                <w:sz w:val="21"/>
                <w:szCs w:val="21"/>
                <w:lang w:val="en-US" w:eastAsia="zh-CN"/>
              </w:rPr>
              <w:t>2</w:t>
            </w:r>
            <w:r>
              <w:rPr>
                <w:rFonts w:hint="eastAsia" w:ascii="宋体" w:cs="宋体"/>
                <w:color w:val="auto"/>
                <w:sz w:val="21"/>
                <w:szCs w:val="21"/>
              </w:rPr>
              <w:t>（</w:t>
            </w:r>
            <w:r>
              <w:rPr>
                <w:color w:val="auto"/>
                <w:sz w:val="21"/>
                <w:szCs w:val="21"/>
              </w:rPr>
              <w:t>20.9</w:t>
            </w:r>
            <w:r>
              <w:rPr>
                <w:rFonts w:hint="eastAsia" w:ascii="宋体" w:cs="宋体"/>
                <w:color w:val="auto"/>
                <w:sz w:val="21"/>
                <w:szCs w:val="21"/>
              </w:rPr>
              <w:t>℃）</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7.9</w:t>
            </w:r>
            <w:r>
              <w:rPr>
                <w:rFonts w:hint="eastAsia" w:ascii="宋体" w:cs="宋体"/>
                <w:color w:val="auto"/>
                <w:sz w:val="21"/>
                <w:szCs w:val="21"/>
              </w:rPr>
              <w:t>（</w:t>
            </w:r>
            <w:r>
              <w:rPr>
                <w:color w:val="auto"/>
                <w:sz w:val="21"/>
                <w:szCs w:val="21"/>
              </w:rPr>
              <w:t>20.6</w:t>
            </w:r>
            <w:r>
              <w:rPr>
                <w:rFonts w:hint="eastAsia" w:ascii="宋体" w:cs="宋体"/>
                <w:color w:val="auto"/>
                <w:sz w:val="21"/>
                <w:szCs w:val="21"/>
              </w:rPr>
              <w:t>℃）</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7.1</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6.5~8.5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总硬度</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224</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186</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190</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溶解性总固体</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301</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237</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241</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氟化物</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0.203</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0.201</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0.183</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氯化物</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6.60</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2.02</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1.88</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亚硝酸盐</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0.004</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0.007</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0.004</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硝酸盐</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2.15</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0.319</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0.315</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硫酸盐</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31.9</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33.0</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33.5</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高锰酸盐指数</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1.1</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1.3</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1.4</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氨氮</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0.052</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0.098</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0.049</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汞，</w:t>
            </w:r>
            <w:r>
              <w:rPr>
                <w:color w:val="auto"/>
                <w:sz w:val="21"/>
                <w:szCs w:val="21"/>
              </w:rPr>
              <w:t>μg/L</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0.04ND</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0.04ND</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sz w:val="21"/>
                <w:szCs w:val="21"/>
              </w:rPr>
            </w:pPr>
            <w:r>
              <w:rPr>
                <w:color w:val="auto"/>
                <w:sz w:val="21"/>
                <w:szCs w:val="21"/>
              </w:rPr>
              <w:t>0.04ND</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砷，</w:t>
            </w:r>
            <w:r>
              <w:rPr>
                <w:color w:val="auto"/>
                <w:sz w:val="21"/>
                <w:szCs w:val="21"/>
              </w:rPr>
              <w:t>μg/L</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0.3ND</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0.3ND</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sz w:val="21"/>
                <w:szCs w:val="21"/>
              </w:rPr>
            </w:pPr>
            <w:r>
              <w:rPr>
                <w:color w:val="auto"/>
                <w:sz w:val="21"/>
                <w:szCs w:val="21"/>
              </w:rPr>
              <w:t>0.3ND</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六价铬</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0.004ND</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0.004ND</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sz w:val="21"/>
                <w:szCs w:val="21"/>
              </w:rPr>
            </w:pPr>
            <w:r>
              <w:rPr>
                <w:color w:val="auto"/>
                <w:sz w:val="21"/>
                <w:szCs w:val="21"/>
              </w:rPr>
              <w:t>0.004ND</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rFonts w:hint="eastAsia"/>
                <w:color w:val="auto"/>
                <w:sz w:val="21"/>
                <w:szCs w:val="21"/>
              </w:rPr>
              <w:t>0</w:t>
            </w:r>
            <w:r>
              <w:rPr>
                <w:color w:val="auto"/>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氰化物</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0.001ND</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0.001ND</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sz w:val="21"/>
                <w:szCs w:val="21"/>
              </w:rPr>
            </w:pPr>
            <w:r>
              <w:rPr>
                <w:color w:val="auto"/>
                <w:sz w:val="21"/>
                <w:szCs w:val="21"/>
              </w:rPr>
              <w:t>0.001ND</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w w:val="99"/>
                <w:sz w:val="21"/>
                <w:szCs w:val="21"/>
              </w:rPr>
              <w:t>铁</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0.03ND</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0.03ND</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sz w:val="21"/>
                <w:szCs w:val="21"/>
              </w:rPr>
            </w:pPr>
            <w:r>
              <w:rPr>
                <w:color w:val="auto"/>
                <w:sz w:val="21"/>
                <w:szCs w:val="21"/>
              </w:rPr>
              <w:t>0.03ND</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w w:val="99"/>
                <w:sz w:val="21"/>
                <w:szCs w:val="21"/>
              </w:rPr>
              <w:t>锰</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0.01ND</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0.01ND</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sz w:val="21"/>
                <w:szCs w:val="21"/>
              </w:rPr>
            </w:pPr>
            <w:r>
              <w:rPr>
                <w:color w:val="auto"/>
                <w:sz w:val="21"/>
                <w:szCs w:val="21"/>
              </w:rPr>
              <w:t>0.01ND</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w w:val="99"/>
                <w:sz w:val="21"/>
                <w:szCs w:val="21"/>
              </w:rPr>
              <w:t>铅</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0.001ND</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0.001ND</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sz w:val="21"/>
                <w:szCs w:val="21"/>
              </w:rPr>
            </w:pPr>
            <w:r>
              <w:rPr>
                <w:color w:val="auto"/>
                <w:sz w:val="21"/>
                <w:szCs w:val="21"/>
              </w:rPr>
              <w:t>0.001ND</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w w:val="99"/>
                <w:sz w:val="21"/>
                <w:szCs w:val="21"/>
              </w:rPr>
              <w:t>镉</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0.0001ND</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0.0001ND</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sz w:val="21"/>
                <w:szCs w:val="21"/>
              </w:rPr>
            </w:pPr>
            <w:r>
              <w:rPr>
                <w:color w:val="auto"/>
                <w:sz w:val="21"/>
                <w:szCs w:val="21"/>
              </w:rPr>
              <w:t>0.0001ND</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挥发酚</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0.0003ND</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0.0003ND</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sz w:val="21"/>
                <w:szCs w:val="21"/>
              </w:rPr>
            </w:pPr>
            <w:r>
              <w:rPr>
                <w:color w:val="auto"/>
                <w:sz w:val="21"/>
                <w:szCs w:val="21"/>
              </w:rPr>
              <w:t>0.0003ND</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总大肠菌群，</w:t>
            </w:r>
            <w:r>
              <w:rPr>
                <w:color w:val="auto"/>
                <w:sz w:val="21"/>
                <w:szCs w:val="21"/>
              </w:rPr>
              <w:t>MPN/100mL</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2ND</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2ND</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sz w:val="21"/>
                <w:szCs w:val="21"/>
              </w:rPr>
            </w:pPr>
            <w:r>
              <w:rPr>
                <w:color w:val="auto"/>
                <w:sz w:val="21"/>
                <w:szCs w:val="21"/>
              </w:rPr>
              <w:t>2ND</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r>
              <w:rPr>
                <w:color w:val="auto"/>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exact"/>
          <w:jc w:val="center"/>
        </w:trPr>
        <w:tc>
          <w:tcPr>
            <w:tcW w:w="1213" w:type="pct"/>
            <w:tcBorders>
              <w:top w:val="single" w:color="000000" w:sz="4" w:space="0"/>
              <w:left w:val="nil"/>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hint="eastAsia" w:ascii="宋体" w:eastAsia="宋体" w:cs="宋体"/>
                <w:color w:val="auto"/>
                <w:sz w:val="21"/>
                <w:szCs w:val="21"/>
                <w:lang w:val="en-US" w:eastAsia="zh-CN"/>
              </w:rPr>
            </w:pPr>
            <w:r>
              <w:rPr>
                <w:rFonts w:hint="eastAsia" w:ascii="宋体" w:cs="宋体"/>
                <w:color w:val="auto"/>
                <w:sz w:val="21"/>
                <w:szCs w:val="21"/>
                <w:lang w:val="en-US" w:eastAsia="zh-CN"/>
              </w:rPr>
              <w:t>细菌总数</w:t>
            </w:r>
          </w:p>
        </w:tc>
        <w:tc>
          <w:tcPr>
            <w:tcW w:w="977" w:type="pct"/>
            <w:tcBorders>
              <w:top w:val="single" w:color="000000" w:sz="4" w:space="0"/>
              <w:left w:val="single" w:color="000000" w:sz="4" w:space="0"/>
              <w:bottom w:val="single" w:color="000000" w:sz="4" w:space="0"/>
              <w:right w:val="single" w:color="auto" w:sz="4" w:space="0"/>
            </w:tcBorders>
            <w:vAlign w:val="center"/>
          </w:tcPr>
          <w:p>
            <w:pPr>
              <w:pStyle w:val="165"/>
              <w:kinsoku w:val="0"/>
              <w:overflowPunct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11</w:t>
            </w:r>
          </w:p>
        </w:tc>
        <w:tc>
          <w:tcPr>
            <w:tcW w:w="865" w:type="pct"/>
            <w:tcBorders>
              <w:top w:val="single" w:color="000000" w:sz="4" w:space="0"/>
              <w:left w:val="single" w:color="auto"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9</w:t>
            </w:r>
          </w:p>
        </w:tc>
        <w:tc>
          <w:tcPr>
            <w:tcW w:w="924" w:type="pct"/>
            <w:tcBorders>
              <w:top w:val="single" w:color="000000" w:sz="4" w:space="0"/>
              <w:left w:val="single" w:color="auto" w:sz="4" w:space="0"/>
              <w:bottom w:val="single" w:color="000000" w:sz="4" w:space="0"/>
              <w:right w:val="nil"/>
            </w:tcBorders>
            <w:vAlign w:val="center"/>
          </w:tcPr>
          <w:p>
            <w:pPr>
              <w:pStyle w:val="165"/>
              <w:kinsoku w:val="0"/>
              <w:overflowPunct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17</w:t>
            </w:r>
          </w:p>
        </w:tc>
        <w:tc>
          <w:tcPr>
            <w:tcW w:w="1019" w:type="pct"/>
            <w:tcBorders>
              <w:top w:val="single" w:color="000000" w:sz="4" w:space="0"/>
              <w:left w:val="single" w:color="auto" w:sz="4" w:space="0"/>
              <w:bottom w:val="single" w:color="000000" w:sz="4" w:space="0"/>
              <w:right w:val="nil"/>
            </w:tcBorders>
            <w:vAlign w:val="center"/>
          </w:tcPr>
          <w:p>
            <w:pPr>
              <w:snapToGrid w:val="0"/>
              <w:spacing w:line="240" w:lineRule="auto"/>
              <w:ind w:firstLine="0" w:firstLineChars="0"/>
              <w:jc w:val="center"/>
              <w:rPr>
                <w:color w:val="auto"/>
                <w:sz w:val="21"/>
                <w:szCs w:val="21"/>
              </w:rPr>
            </w:pPr>
          </w:p>
        </w:tc>
      </w:tr>
    </w:tbl>
    <w:p>
      <w:pPr>
        <w:snapToGrid w:val="0"/>
        <w:ind w:left="0" w:leftChars="0" w:firstLine="0" w:firstLineChars="0"/>
        <w:jc w:val="center"/>
        <w:rPr>
          <w:rFonts w:hint="eastAsia"/>
          <w:b/>
          <w:color w:val="auto"/>
          <w:sz w:val="22"/>
        </w:rPr>
        <w:sectPr>
          <w:pgSz w:w="16838" w:h="11906" w:orient="landscape"/>
          <w:pgMar w:top="1418" w:right="1418" w:bottom="1531" w:left="1418" w:header="851" w:footer="851" w:gutter="0"/>
          <w:pgBorders>
            <w:top w:val="none" w:sz="0" w:space="0"/>
            <w:left w:val="none" w:sz="0" w:space="0"/>
            <w:bottom w:val="none" w:sz="0" w:space="0"/>
            <w:right w:val="none" w:sz="0" w:space="0"/>
          </w:pgBorders>
          <w:cols w:space="0" w:num="1"/>
          <w:docGrid w:type="lines" w:linePitch="400" w:charSpace="0"/>
        </w:sectPr>
      </w:pPr>
    </w:p>
    <w:p>
      <w:pPr>
        <w:snapToGrid w:val="0"/>
        <w:ind w:firstLine="480"/>
        <w:rPr>
          <w:rFonts w:cs="Times New Roman"/>
          <w:color w:val="auto"/>
        </w:rPr>
      </w:pPr>
      <w:r>
        <w:rPr>
          <w:rFonts w:cs="Times New Roman"/>
          <w:color w:val="auto"/>
        </w:rPr>
        <w:t>各监测点指标符合《地下水质量标准》（GB/T14848-2017）Ⅲ类标准，该区域的地下水质量良好。</w:t>
      </w:r>
    </w:p>
    <w:p>
      <w:pPr>
        <w:pStyle w:val="4"/>
        <w:numPr>
          <w:ilvl w:val="2"/>
          <w:numId w:val="0"/>
        </w:numPr>
        <w:snapToGrid w:val="0"/>
        <w:ind w:firstLine="480" w:firstLineChars="200"/>
        <w:rPr>
          <w:rFonts w:cs="Times New Roman"/>
          <w:color w:val="auto"/>
        </w:rPr>
      </w:pPr>
      <w:bookmarkStart w:id="40" w:name="_Toc253133273"/>
      <w:bookmarkStart w:id="41" w:name="_Toc298051814"/>
      <w:bookmarkStart w:id="42" w:name="_Toc3579"/>
      <w:bookmarkStart w:id="43" w:name="_Toc279674458"/>
      <w:r>
        <w:rPr>
          <w:rFonts w:cs="Times New Roman"/>
          <w:color w:val="auto"/>
        </w:rPr>
        <w:t>4.2.4声环境质量现状监测与评价</w:t>
      </w:r>
      <w:bookmarkEnd w:id="40"/>
      <w:bookmarkEnd w:id="41"/>
      <w:bookmarkEnd w:id="42"/>
      <w:bookmarkEnd w:id="43"/>
    </w:p>
    <w:p>
      <w:pPr>
        <w:snapToGrid w:val="0"/>
        <w:ind w:right="-26" w:firstLine="480"/>
        <w:rPr>
          <w:rFonts w:cs="Times New Roman"/>
          <w:color w:val="auto"/>
        </w:rPr>
      </w:pPr>
      <w:bookmarkStart w:id="44" w:name="_Toc180983035"/>
      <w:bookmarkStart w:id="45" w:name="_Toc180984337"/>
      <w:r>
        <w:rPr>
          <w:rFonts w:cs="Times New Roman"/>
          <w:color w:val="auto"/>
        </w:rPr>
        <w:t>1.</w:t>
      </w:r>
      <w:bookmarkEnd w:id="44"/>
      <w:bookmarkEnd w:id="45"/>
      <w:r>
        <w:rPr>
          <w:rFonts w:cs="Times New Roman"/>
          <w:color w:val="auto"/>
        </w:rPr>
        <w:t>监测布点</w:t>
      </w:r>
    </w:p>
    <w:p>
      <w:pPr>
        <w:snapToGrid w:val="0"/>
        <w:ind w:firstLine="480"/>
        <w:jc w:val="left"/>
        <w:rPr>
          <w:rFonts w:cs="Times New Roman"/>
          <w:color w:val="auto"/>
          <w:szCs w:val="22"/>
        </w:rPr>
      </w:pPr>
      <w:r>
        <w:rPr>
          <w:rFonts w:hint="eastAsia" w:cs="Times New Roman"/>
          <w:color w:val="auto"/>
          <w:szCs w:val="22"/>
        </w:rPr>
        <w:t>在</w:t>
      </w:r>
      <w:r>
        <w:rPr>
          <w:rFonts w:hint="eastAsia" w:cs="Times New Roman"/>
          <w:color w:val="auto"/>
          <w:szCs w:val="22"/>
          <w:lang w:val="en-US" w:eastAsia="zh-CN"/>
        </w:rPr>
        <w:t>佐龙镇六口村</w:t>
      </w:r>
      <w:r>
        <w:rPr>
          <w:rFonts w:hint="eastAsia" w:cs="Times New Roman"/>
          <w:color w:val="auto"/>
          <w:szCs w:val="22"/>
        </w:rPr>
        <w:t>设置</w:t>
      </w:r>
      <w:r>
        <w:rPr>
          <w:rFonts w:hint="eastAsia" w:cs="Times New Roman"/>
          <w:color w:val="auto"/>
          <w:szCs w:val="22"/>
          <w:lang w:val="en-US" w:eastAsia="zh-CN"/>
        </w:rPr>
        <w:t>1</w:t>
      </w:r>
      <w:r>
        <w:rPr>
          <w:rFonts w:hint="eastAsia" w:cs="Times New Roman"/>
          <w:color w:val="auto"/>
          <w:szCs w:val="22"/>
        </w:rPr>
        <w:t>个敏感点监测点位；在</w:t>
      </w:r>
      <w:r>
        <w:rPr>
          <w:rFonts w:hint="eastAsia" w:cs="Times New Roman"/>
          <w:color w:val="auto"/>
          <w:szCs w:val="22"/>
          <w:lang w:val="en-US" w:eastAsia="zh-CN"/>
        </w:rPr>
        <w:t>蔺河镇茶园村</w:t>
      </w:r>
      <w:r>
        <w:rPr>
          <w:rFonts w:hint="eastAsia" w:cs="Times New Roman"/>
          <w:color w:val="auto"/>
          <w:szCs w:val="22"/>
        </w:rPr>
        <w:t>设置</w:t>
      </w:r>
      <w:r>
        <w:rPr>
          <w:rFonts w:hint="eastAsia" w:cs="Times New Roman"/>
          <w:color w:val="auto"/>
          <w:szCs w:val="22"/>
          <w:lang w:val="en-US" w:eastAsia="zh-CN"/>
        </w:rPr>
        <w:t>1</w:t>
      </w:r>
      <w:r>
        <w:rPr>
          <w:rFonts w:hint="eastAsia" w:cs="Times New Roman"/>
          <w:color w:val="auto"/>
          <w:szCs w:val="22"/>
        </w:rPr>
        <w:t>个敏感点监测点位；在</w:t>
      </w:r>
      <w:r>
        <w:rPr>
          <w:rFonts w:hint="eastAsia" w:cs="Times New Roman"/>
          <w:color w:val="auto"/>
          <w:szCs w:val="22"/>
          <w:lang w:val="en-US" w:eastAsia="zh-CN"/>
        </w:rPr>
        <w:t>南宫山镇红日村</w:t>
      </w:r>
      <w:r>
        <w:rPr>
          <w:rFonts w:hint="eastAsia" w:cs="Times New Roman"/>
          <w:color w:val="auto"/>
          <w:szCs w:val="22"/>
        </w:rPr>
        <w:t>设置</w:t>
      </w:r>
      <w:r>
        <w:rPr>
          <w:rFonts w:hint="eastAsia" w:cs="Times New Roman"/>
          <w:color w:val="auto"/>
          <w:szCs w:val="22"/>
          <w:lang w:val="en-US" w:eastAsia="zh-CN"/>
        </w:rPr>
        <w:t>1</w:t>
      </w:r>
      <w:r>
        <w:rPr>
          <w:rFonts w:hint="eastAsia" w:cs="Times New Roman"/>
          <w:color w:val="auto"/>
          <w:szCs w:val="22"/>
        </w:rPr>
        <w:t>个敏感点监测点位。</w:t>
      </w:r>
    </w:p>
    <w:p>
      <w:pPr>
        <w:snapToGrid w:val="0"/>
        <w:ind w:right="-26" w:firstLine="480"/>
        <w:rPr>
          <w:rFonts w:cs="Times New Roman"/>
          <w:color w:val="auto"/>
        </w:rPr>
      </w:pPr>
      <w:r>
        <w:rPr>
          <w:rFonts w:cs="Times New Roman"/>
          <w:color w:val="auto"/>
        </w:rPr>
        <w:t>2.监测项目、监测频次</w:t>
      </w:r>
    </w:p>
    <w:p>
      <w:pPr>
        <w:snapToGrid w:val="0"/>
        <w:ind w:right="-26" w:firstLine="480"/>
        <w:rPr>
          <w:rFonts w:cs="Times New Roman"/>
          <w:color w:val="auto"/>
        </w:rPr>
      </w:pPr>
      <w:r>
        <w:rPr>
          <w:rFonts w:cs="Times New Roman"/>
          <w:color w:val="auto"/>
        </w:rPr>
        <w:t>监测项目：等效A声级。</w:t>
      </w:r>
    </w:p>
    <w:p>
      <w:pPr>
        <w:snapToGrid w:val="0"/>
        <w:ind w:right="-26" w:firstLine="480"/>
        <w:rPr>
          <w:rFonts w:cs="Times New Roman"/>
          <w:color w:val="auto"/>
        </w:rPr>
      </w:pPr>
      <w:r>
        <w:rPr>
          <w:rFonts w:cs="Times New Roman"/>
          <w:color w:val="auto"/>
        </w:rPr>
        <w:t>监测频次：每个点位监测2天，分昼间（6:00～22:00）和夜间（22:00～6:00）两次监测。</w:t>
      </w:r>
    </w:p>
    <w:p>
      <w:pPr>
        <w:snapToGrid w:val="0"/>
        <w:ind w:firstLine="480"/>
        <w:rPr>
          <w:rFonts w:cs="Times New Roman"/>
          <w:color w:val="auto"/>
        </w:rPr>
      </w:pPr>
      <w:r>
        <w:rPr>
          <w:rFonts w:cs="Times New Roman"/>
          <w:color w:val="auto"/>
        </w:rPr>
        <w:t>3.评价标准</w:t>
      </w:r>
    </w:p>
    <w:p>
      <w:pPr>
        <w:snapToGrid w:val="0"/>
        <w:ind w:firstLine="480"/>
        <w:rPr>
          <w:rFonts w:cs="Times New Roman"/>
          <w:color w:val="auto"/>
        </w:rPr>
      </w:pPr>
      <w:r>
        <w:rPr>
          <w:rFonts w:cs="Times New Roman"/>
          <w:color w:val="auto"/>
        </w:rPr>
        <w:t>《声环境质量标准》（GB3096-2008）2类标准。</w:t>
      </w:r>
    </w:p>
    <w:p>
      <w:pPr>
        <w:snapToGrid w:val="0"/>
        <w:ind w:firstLine="496"/>
        <w:rPr>
          <w:rFonts w:cs="Times New Roman"/>
          <w:color w:val="auto"/>
          <w:spacing w:val="4"/>
        </w:rPr>
      </w:pPr>
      <w:r>
        <w:rPr>
          <w:rFonts w:cs="Times New Roman"/>
          <w:color w:val="auto"/>
          <w:spacing w:val="4"/>
        </w:rPr>
        <w:t>4.监测结果</w:t>
      </w:r>
    </w:p>
    <w:p>
      <w:pPr>
        <w:adjustRightInd w:val="0"/>
        <w:snapToGrid w:val="0"/>
        <w:spacing w:line="240" w:lineRule="auto"/>
        <w:ind w:firstLine="0" w:firstLineChars="0"/>
        <w:jc w:val="center"/>
        <w:rPr>
          <w:b/>
          <w:bCs/>
          <w:color w:val="auto"/>
        </w:rPr>
      </w:pPr>
      <w:r>
        <w:rPr>
          <w:b/>
          <w:color w:val="auto"/>
        </w:rPr>
        <w:t xml:space="preserve">表4.2-5  环境噪声现状监测结果表  </w:t>
      </w:r>
      <w:r>
        <w:rPr>
          <w:b/>
          <w:bCs/>
          <w:color w:val="auto"/>
        </w:rPr>
        <w:t>（单位：</w:t>
      </w:r>
      <w:r>
        <w:rPr>
          <w:b/>
          <w:color w:val="auto"/>
        </w:rPr>
        <w:t>dB(A)</w:t>
      </w:r>
      <w:r>
        <w:rPr>
          <w:b/>
          <w:bCs/>
          <w:color w:val="auto"/>
        </w:rPr>
        <w:t>）</w:t>
      </w:r>
    </w:p>
    <w:tbl>
      <w:tblPr>
        <w:tblStyle w:val="42"/>
        <w:tblW w:w="83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5"/>
        <w:gridCol w:w="1096"/>
        <w:gridCol w:w="1134"/>
        <w:gridCol w:w="1134"/>
        <w:gridCol w:w="10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tblHeader/>
          <w:jc w:val="center"/>
        </w:trPr>
        <w:tc>
          <w:tcPr>
            <w:tcW w:w="3975" w:type="dxa"/>
            <w:vMerge w:val="restart"/>
            <w:tcBorders>
              <w:top w:val="single" w:color="auto" w:sz="12" w:space="0"/>
              <w:bottom w:val="single" w:color="auto" w:sz="4" w:space="0"/>
            </w:tcBorders>
            <w:vAlign w:val="center"/>
          </w:tcPr>
          <w:p>
            <w:pPr>
              <w:adjustRightInd w:val="0"/>
              <w:snapToGrid w:val="0"/>
              <w:spacing w:line="240" w:lineRule="atLeast"/>
              <w:ind w:firstLine="0" w:firstLineChars="0"/>
              <w:jc w:val="center"/>
              <w:rPr>
                <w:b/>
                <w:color w:val="auto"/>
                <w:sz w:val="21"/>
                <w:szCs w:val="21"/>
              </w:rPr>
            </w:pPr>
            <w:r>
              <w:rPr>
                <w:b/>
                <w:color w:val="auto"/>
                <w:sz w:val="21"/>
                <w:szCs w:val="21"/>
              </w:rPr>
              <w:t>监测点位</w:t>
            </w:r>
          </w:p>
        </w:tc>
        <w:tc>
          <w:tcPr>
            <w:tcW w:w="2230" w:type="dxa"/>
            <w:gridSpan w:val="2"/>
            <w:tcBorders>
              <w:top w:val="single" w:color="auto" w:sz="12" w:space="0"/>
              <w:bottom w:val="single" w:color="auto" w:sz="4" w:space="0"/>
            </w:tcBorders>
            <w:vAlign w:val="center"/>
          </w:tcPr>
          <w:p>
            <w:pPr>
              <w:adjustRightInd w:val="0"/>
              <w:snapToGrid w:val="0"/>
              <w:spacing w:line="240" w:lineRule="atLeast"/>
              <w:ind w:firstLine="0" w:firstLineChars="0"/>
              <w:jc w:val="center"/>
              <w:rPr>
                <w:b/>
                <w:color w:val="auto"/>
                <w:sz w:val="21"/>
                <w:szCs w:val="21"/>
              </w:rPr>
            </w:pPr>
            <w:r>
              <w:rPr>
                <w:b/>
                <w:color w:val="auto"/>
                <w:sz w:val="21"/>
                <w:szCs w:val="21"/>
              </w:rPr>
              <w:t>202</w:t>
            </w:r>
            <w:r>
              <w:rPr>
                <w:rFonts w:hint="eastAsia"/>
                <w:b/>
                <w:color w:val="auto"/>
                <w:sz w:val="21"/>
                <w:szCs w:val="21"/>
                <w:lang w:val="en-US" w:eastAsia="zh-CN"/>
              </w:rPr>
              <w:t>3</w:t>
            </w:r>
            <w:r>
              <w:rPr>
                <w:b/>
                <w:color w:val="auto"/>
                <w:sz w:val="21"/>
                <w:szCs w:val="21"/>
              </w:rPr>
              <w:t>年</w:t>
            </w:r>
            <w:r>
              <w:rPr>
                <w:rFonts w:hint="eastAsia"/>
                <w:b/>
                <w:color w:val="auto"/>
                <w:sz w:val="21"/>
                <w:szCs w:val="21"/>
                <w:lang w:val="en-US" w:eastAsia="zh-CN"/>
              </w:rPr>
              <w:t>11</w:t>
            </w:r>
            <w:r>
              <w:rPr>
                <w:b/>
                <w:color w:val="auto"/>
                <w:sz w:val="21"/>
                <w:szCs w:val="21"/>
              </w:rPr>
              <w:t>月</w:t>
            </w:r>
            <w:r>
              <w:rPr>
                <w:rFonts w:hint="eastAsia"/>
                <w:b/>
                <w:color w:val="auto"/>
                <w:sz w:val="21"/>
                <w:szCs w:val="21"/>
                <w:lang w:val="en-US" w:eastAsia="zh-CN"/>
              </w:rPr>
              <w:t>27</w:t>
            </w:r>
            <w:r>
              <w:rPr>
                <w:b/>
                <w:color w:val="auto"/>
                <w:sz w:val="21"/>
                <w:szCs w:val="21"/>
              </w:rPr>
              <w:t>日</w:t>
            </w:r>
          </w:p>
        </w:tc>
        <w:tc>
          <w:tcPr>
            <w:tcW w:w="2162" w:type="dxa"/>
            <w:gridSpan w:val="2"/>
            <w:tcBorders>
              <w:top w:val="single" w:color="auto" w:sz="12" w:space="0"/>
              <w:bottom w:val="single" w:color="auto" w:sz="4" w:space="0"/>
            </w:tcBorders>
            <w:vAlign w:val="center"/>
          </w:tcPr>
          <w:p>
            <w:pPr>
              <w:adjustRightInd w:val="0"/>
              <w:snapToGrid w:val="0"/>
              <w:spacing w:line="240" w:lineRule="atLeast"/>
              <w:ind w:firstLine="0" w:firstLineChars="0"/>
              <w:jc w:val="center"/>
              <w:rPr>
                <w:b/>
                <w:color w:val="auto"/>
                <w:sz w:val="21"/>
                <w:szCs w:val="21"/>
              </w:rPr>
            </w:pPr>
            <w:r>
              <w:rPr>
                <w:b/>
                <w:color w:val="auto"/>
                <w:sz w:val="21"/>
                <w:szCs w:val="21"/>
              </w:rPr>
              <w:t>202</w:t>
            </w:r>
            <w:r>
              <w:rPr>
                <w:rFonts w:hint="eastAsia"/>
                <w:b/>
                <w:color w:val="auto"/>
                <w:sz w:val="21"/>
                <w:szCs w:val="21"/>
                <w:lang w:val="en-US" w:eastAsia="zh-CN"/>
              </w:rPr>
              <w:t>3</w:t>
            </w:r>
            <w:r>
              <w:rPr>
                <w:b/>
                <w:color w:val="auto"/>
                <w:sz w:val="21"/>
                <w:szCs w:val="21"/>
              </w:rPr>
              <w:t>年</w:t>
            </w:r>
            <w:r>
              <w:rPr>
                <w:rFonts w:hint="eastAsia"/>
                <w:b/>
                <w:color w:val="auto"/>
                <w:sz w:val="21"/>
                <w:szCs w:val="21"/>
                <w:lang w:val="en-US" w:eastAsia="zh-CN"/>
              </w:rPr>
              <w:t>11</w:t>
            </w:r>
            <w:r>
              <w:rPr>
                <w:b/>
                <w:color w:val="auto"/>
                <w:sz w:val="21"/>
                <w:szCs w:val="21"/>
              </w:rPr>
              <w:t>月</w:t>
            </w:r>
            <w:r>
              <w:rPr>
                <w:rFonts w:hint="eastAsia"/>
                <w:b/>
                <w:color w:val="auto"/>
                <w:sz w:val="21"/>
                <w:szCs w:val="21"/>
                <w:lang w:val="en-US" w:eastAsia="zh-CN"/>
              </w:rPr>
              <w:t>28</w:t>
            </w:r>
            <w:r>
              <w:rPr>
                <w:b/>
                <w:color w:val="auto"/>
                <w:sz w:val="21"/>
                <w:szCs w:val="21"/>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tblHeader/>
          <w:jc w:val="center"/>
        </w:trPr>
        <w:tc>
          <w:tcPr>
            <w:tcW w:w="3975" w:type="dxa"/>
            <w:vMerge w:val="continue"/>
            <w:tcBorders>
              <w:top w:val="single" w:color="auto" w:sz="4" w:space="0"/>
              <w:bottom w:val="single" w:color="auto" w:sz="12" w:space="0"/>
            </w:tcBorders>
            <w:vAlign w:val="center"/>
          </w:tcPr>
          <w:p>
            <w:pPr>
              <w:widowControl/>
              <w:adjustRightInd w:val="0"/>
              <w:snapToGrid w:val="0"/>
              <w:spacing w:line="240" w:lineRule="atLeast"/>
              <w:ind w:firstLine="0" w:firstLineChars="0"/>
              <w:jc w:val="center"/>
              <w:rPr>
                <w:b/>
                <w:color w:val="auto"/>
                <w:sz w:val="21"/>
                <w:szCs w:val="21"/>
              </w:rPr>
            </w:pPr>
          </w:p>
        </w:tc>
        <w:tc>
          <w:tcPr>
            <w:tcW w:w="1096" w:type="dxa"/>
            <w:tcBorders>
              <w:top w:val="single" w:color="auto" w:sz="4" w:space="0"/>
              <w:bottom w:val="single" w:color="auto" w:sz="12" w:space="0"/>
            </w:tcBorders>
            <w:vAlign w:val="center"/>
          </w:tcPr>
          <w:p>
            <w:pPr>
              <w:adjustRightInd w:val="0"/>
              <w:snapToGrid w:val="0"/>
              <w:spacing w:line="240" w:lineRule="atLeast"/>
              <w:ind w:firstLine="0" w:firstLineChars="0"/>
              <w:jc w:val="center"/>
              <w:rPr>
                <w:b/>
                <w:color w:val="auto"/>
                <w:sz w:val="21"/>
                <w:szCs w:val="21"/>
              </w:rPr>
            </w:pPr>
            <w:r>
              <w:rPr>
                <w:b/>
                <w:color w:val="auto"/>
                <w:sz w:val="21"/>
                <w:szCs w:val="21"/>
              </w:rPr>
              <w:t>昼间</w:t>
            </w:r>
          </w:p>
        </w:tc>
        <w:tc>
          <w:tcPr>
            <w:tcW w:w="1134" w:type="dxa"/>
            <w:tcBorders>
              <w:top w:val="single" w:color="auto" w:sz="4" w:space="0"/>
              <w:bottom w:val="single" w:color="auto" w:sz="12" w:space="0"/>
            </w:tcBorders>
            <w:vAlign w:val="center"/>
          </w:tcPr>
          <w:p>
            <w:pPr>
              <w:adjustRightInd w:val="0"/>
              <w:snapToGrid w:val="0"/>
              <w:spacing w:line="240" w:lineRule="atLeast"/>
              <w:ind w:firstLine="0" w:firstLineChars="0"/>
              <w:jc w:val="center"/>
              <w:rPr>
                <w:b/>
                <w:color w:val="auto"/>
                <w:sz w:val="21"/>
                <w:szCs w:val="21"/>
              </w:rPr>
            </w:pPr>
            <w:r>
              <w:rPr>
                <w:rFonts w:hint="eastAsia"/>
                <w:b/>
                <w:color w:val="auto"/>
                <w:sz w:val="21"/>
                <w:szCs w:val="21"/>
              </w:rPr>
              <w:t>夜</w:t>
            </w:r>
            <w:r>
              <w:rPr>
                <w:b/>
                <w:color w:val="auto"/>
                <w:sz w:val="21"/>
                <w:szCs w:val="21"/>
              </w:rPr>
              <w:t>间</w:t>
            </w:r>
          </w:p>
        </w:tc>
        <w:tc>
          <w:tcPr>
            <w:tcW w:w="1134" w:type="dxa"/>
            <w:tcBorders>
              <w:top w:val="single" w:color="auto" w:sz="4" w:space="0"/>
              <w:bottom w:val="single" w:color="auto" w:sz="12" w:space="0"/>
            </w:tcBorders>
            <w:vAlign w:val="center"/>
          </w:tcPr>
          <w:p>
            <w:pPr>
              <w:adjustRightInd w:val="0"/>
              <w:snapToGrid w:val="0"/>
              <w:spacing w:line="240" w:lineRule="atLeast"/>
              <w:ind w:firstLine="0" w:firstLineChars="0"/>
              <w:jc w:val="center"/>
              <w:rPr>
                <w:b/>
                <w:color w:val="auto"/>
                <w:sz w:val="21"/>
                <w:szCs w:val="21"/>
              </w:rPr>
            </w:pPr>
            <w:r>
              <w:rPr>
                <w:b/>
                <w:color w:val="auto"/>
                <w:sz w:val="21"/>
                <w:szCs w:val="21"/>
              </w:rPr>
              <w:t>昼间</w:t>
            </w:r>
          </w:p>
        </w:tc>
        <w:tc>
          <w:tcPr>
            <w:tcW w:w="1028" w:type="dxa"/>
            <w:tcBorders>
              <w:top w:val="single" w:color="auto" w:sz="4" w:space="0"/>
              <w:bottom w:val="single" w:color="auto" w:sz="12" w:space="0"/>
            </w:tcBorders>
            <w:vAlign w:val="center"/>
          </w:tcPr>
          <w:p>
            <w:pPr>
              <w:adjustRightInd w:val="0"/>
              <w:snapToGrid w:val="0"/>
              <w:spacing w:line="240" w:lineRule="atLeast"/>
              <w:ind w:firstLine="0" w:firstLineChars="0"/>
              <w:jc w:val="center"/>
              <w:rPr>
                <w:b/>
                <w:color w:val="auto"/>
                <w:sz w:val="21"/>
                <w:szCs w:val="21"/>
              </w:rPr>
            </w:pPr>
            <w:r>
              <w:rPr>
                <w:rFonts w:hint="eastAsia"/>
                <w:b/>
                <w:color w:val="auto"/>
                <w:sz w:val="21"/>
                <w:szCs w:val="21"/>
              </w:rPr>
              <w:t>夜</w:t>
            </w:r>
            <w:r>
              <w:rPr>
                <w:b/>
                <w:color w:val="auto"/>
                <w:sz w:val="21"/>
                <w:szCs w:val="21"/>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975" w:type="dxa"/>
            <w:tcBorders>
              <w:top w:val="single" w:color="auto" w:sz="12" w:space="0"/>
            </w:tcBorders>
            <w:vAlign w:val="center"/>
          </w:tcPr>
          <w:p>
            <w:pPr>
              <w:pStyle w:val="165"/>
              <w:kinsoku w:val="0"/>
              <w:overflowPunct w:val="0"/>
              <w:snapToGrid w:val="0"/>
              <w:spacing w:line="240" w:lineRule="auto"/>
              <w:ind w:firstLine="0" w:firstLineChars="0"/>
              <w:jc w:val="center"/>
              <w:rPr>
                <w:rFonts w:hint="eastAsia" w:ascii="宋体" w:cs="宋体"/>
                <w:color w:val="auto"/>
                <w:sz w:val="21"/>
                <w:szCs w:val="21"/>
              </w:rPr>
            </w:pPr>
            <w:r>
              <w:rPr>
                <w:rFonts w:hint="eastAsia" w:ascii="宋体" w:cs="宋体"/>
                <w:color w:val="auto"/>
                <w:sz w:val="21"/>
                <w:szCs w:val="21"/>
                <w:lang w:val="en-US" w:eastAsia="zh-CN"/>
              </w:rPr>
              <w:t>佐龙镇六口村</w:t>
            </w:r>
          </w:p>
        </w:tc>
        <w:tc>
          <w:tcPr>
            <w:tcW w:w="1096" w:type="dxa"/>
            <w:tcBorders>
              <w:top w:val="single" w:color="auto" w:sz="12"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sz w:val="21"/>
                <w:szCs w:val="21"/>
                <w:lang w:val="en-US" w:eastAsia="zh-CN"/>
              </w:rPr>
              <w:t>52</w:t>
            </w:r>
          </w:p>
        </w:tc>
        <w:tc>
          <w:tcPr>
            <w:tcW w:w="1134" w:type="dxa"/>
            <w:tcBorders>
              <w:top w:val="single" w:color="auto" w:sz="12"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43</w:t>
            </w:r>
          </w:p>
        </w:tc>
        <w:tc>
          <w:tcPr>
            <w:tcW w:w="1134" w:type="dxa"/>
            <w:tcBorders>
              <w:top w:val="single" w:color="auto" w:sz="12" w:space="0"/>
            </w:tcBorders>
            <w:vAlign w:val="center"/>
          </w:tcPr>
          <w:p>
            <w:pPr>
              <w:pStyle w:val="165"/>
              <w:kinsoku w:val="0"/>
              <w:overflowPunct w:val="0"/>
              <w:snapToGrid w:val="0"/>
              <w:spacing w:line="240" w:lineRule="auto"/>
              <w:ind w:firstLine="0" w:firstLineChars="0"/>
              <w:jc w:val="center"/>
              <w:rPr>
                <w:color w:val="auto"/>
              </w:rPr>
            </w:pPr>
            <w:r>
              <w:rPr>
                <w:color w:val="auto"/>
                <w:sz w:val="21"/>
                <w:szCs w:val="21"/>
              </w:rPr>
              <w:t>53</w:t>
            </w:r>
          </w:p>
        </w:tc>
        <w:tc>
          <w:tcPr>
            <w:tcW w:w="1028" w:type="dxa"/>
            <w:tcBorders>
              <w:top w:val="single" w:color="auto" w:sz="12" w:space="0"/>
            </w:tcBorders>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sz w:val="21"/>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975" w:type="dxa"/>
            <w:vAlign w:val="center"/>
          </w:tcPr>
          <w:p>
            <w:pPr>
              <w:pStyle w:val="165"/>
              <w:kinsoku w:val="0"/>
              <w:overflowPunct w:val="0"/>
              <w:snapToGrid w:val="0"/>
              <w:spacing w:line="240" w:lineRule="auto"/>
              <w:ind w:firstLine="0" w:firstLineChars="0"/>
              <w:jc w:val="center"/>
              <w:rPr>
                <w:rFonts w:hint="eastAsia" w:ascii="宋体" w:cs="宋体"/>
                <w:color w:val="auto"/>
                <w:sz w:val="21"/>
                <w:szCs w:val="21"/>
              </w:rPr>
            </w:pPr>
            <w:r>
              <w:rPr>
                <w:rFonts w:hint="eastAsia" w:ascii="宋体" w:cs="宋体"/>
                <w:color w:val="auto"/>
                <w:sz w:val="21"/>
                <w:szCs w:val="21"/>
                <w:lang w:val="en-US" w:eastAsia="zh-CN"/>
              </w:rPr>
              <w:t>蔺河镇茶园村</w:t>
            </w:r>
          </w:p>
        </w:tc>
        <w:tc>
          <w:tcPr>
            <w:tcW w:w="1096" w:type="dxa"/>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sz w:val="21"/>
                <w:szCs w:val="21"/>
                <w:lang w:val="en-US" w:eastAsia="zh-CN"/>
              </w:rPr>
              <w:t>53</w:t>
            </w:r>
          </w:p>
        </w:tc>
        <w:tc>
          <w:tcPr>
            <w:tcW w:w="1134" w:type="dxa"/>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sz w:val="21"/>
                <w:szCs w:val="21"/>
                <w:lang w:val="en-US" w:eastAsia="zh-CN"/>
              </w:rPr>
              <w:t>44</w:t>
            </w:r>
          </w:p>
        </w:tc>
        <w:tc>
          <w:tcPr>
            <w:tcW w:w="1134" w:type="dxa"/>
            <w:vAlign w:val="center"/>
          </w:tcPr>
          <w:p>
            <w:pPr>
              <w:pStyle w:val="165"/>
              <w:kinsoku w:val="0"/>
              <w:overflowPunct w:val="0"/>
              <w:snapToGrid w:val="0"/>
              <w:spacing w:line="240" w:lineRule="auto"/>
              <w:ind w:firstLine="0" w:firstLineChars="0"/>
              <w:jc w:val="center"/>
              <w:rPr>
                <w:color w:val="auto"/>
              </w:rPr>
            </w:pPr>
            <w:r>
              <w:rPr>
                <w:color w:val="auto"/>
                <w:sz w:val="21"/>
                <w:szCs w:val="21"/>
              </w:rPr>
              <w:t>54</w:t>
            </w:r>
          </w:p>
        </w:tc>
        <w:tc>
          <w:tcPr>
            <w:tcW w:w="1028" w:type="dxa"/>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sz w:val="21"/>
                <w:szCs w:val="21"/>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975" w:type="dxa"/>
            <w:vAlign w:val="center"/>
          </w:tcPr>
          <w:p>
            <w:pPr>
              <w:pStyle w:val="165"/>
              <w:kinsoku w:val="0"/>
              <w:overflowPunct w:val="0"/>
              <w:snapToGrid w:val="0"/>
              <w:spacing w:line="240" w:lineRule="auto"/>
              <w:ind w:firstLine="0" w:firstLineChars="0"/>
              <w:jc w:val="center"/>
              <w:rPr>
                <w:rFonts w:hint="eastAsia" w:ascii="宋体" w:cs="宋体"/>
                <w:color w:val="auto"/>
                <w:sz w:val="21"/>
                <w:szCs w:val="21"/>
              </w:rPr>
            </w:pPr>
            <w:r>
              <w:rPr>
                <w:rFonts w:hint="eastAsia" w:ascii="宋体" w:cs="宋体"/>
                <w:color w:val="auto"/>
                <w:sz w:val="21"/>
                <w:szCs w:val="21"/>
                <w:lang w:val="en-US" w:eastAsia="zh-CN"/>
              </w:rPr>
              <w:t>南宫山镇红日村</w:t>
            </w:r>
          </w:p>
        </w:tc>
        <w:tc>
          <w:tcPr>
            <w:tcW w:w="1096" w:type="dxa"/>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sz w:val="21"/>
                <w:szCs w:val="21"/>
                <w:lang w:val="en-US" w:eastAsia="zh-CN"/>
              </w:rPr>
              <w:t>51</w:t>
            </w:r>
          </w:p>
        </w:tc>
        <w:tc>
          <w:tcPr>
            <w:tcW w:w="1134" w:type="dxa"/>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sz w:val="21"/>
                <w:szCs w:val="21"/>
                <w:lang w:val="en-US" w:eastAsia="zh-CN"/>
              </w:rPr>
              <w:t>43</w:t>
            </w:r>
          </w:p>
        </w:tc>
        <w:tc>
          <w:tcPr>
            <w:tcW w:w="1134" w:type="dxa"/>
            <w:vAlign w:val="center"/>
          </w:tcPr>
          <w:p>
            <w:pPr>
              <w:pStyle w:val="165"/>
              <w:kinsoku w:val="0"/>
              <w:overflowPunct w:val="0"/>
              <w:snapToGrid w:val="0"/>
              <w:spacing w:line="240" w:lineRule="auto"/>
              <w:ind w:firstLine="0" w:firstLineChars="0"/>
              <w:jc w:val="center"/>
              <w:rPr>
                <w:color w:val="auto"/>
              </w:rPr>
            </w:pPr>
            <w:r>
              <w:rPr>
                <w:color w:val="auto"/>
                <w:sz w:val="21"/>
                <w:szCs w:val="21"/>
              </w:rPr>
              <w:t>52</w:t>
            </w:r>
          </w:p>
        </w:tc>
        <w:tc>
          <w:tcPr>
            <w:tcW w:w="1028" w:type="dxa"/>
            <w:vAlign w:val="center"/>
          </w:tcPr>
          <w:p>
            <w:pPr>
              <w:pStyle w:val="165"/>
              <w:kinsoku w:val="0"/>
              <w:overflowPunct w:val="0"/>
              <w:snapToGrid w:val="0"/>
              <w:spacing w:line="240" w:lineRule="auto"/>
              <w:ind w:firstLine="0" w:firstLineChars="0"/>
              <w:jc w:val="center"/>
              <w:rPr>
                <w:rFonts w:hint="default" w:eastAsia="宋体"/>
                <w:color w:val="auto"/>
                <w:lang w:val="en-US" w:eastAsia="zh-CN"/>
              </w:rPr>
            </w:pPr>
            <w:r>
              <w:rPr>
                <w:rFonts w:hint="eastAsia"/>
                <w:color w:val="auto"/>
                <w:sz w:val="21"/>
                <w:szCs w:val="21"/>
                <w:lang w:val="en-US" w:eastAsia="zh-CN"/>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975" w:type="dxa"/>
            <w:vAlign w:val="center"/>
          </w:tcPr>
          <w:p>
            <w:pPr>
              <w:widowControl/>
              <w:adjustRightInd w:val="0"/>
              <w:snapToGrid w:val="0"/>
              <w:spacing w:line="240" w:lineRule="atLeast"/>
              <w:ind w:firstLine="0" w:firstLineChars="0"/>
              <w:jc w:val="center"/>
              <w:rPr>
                <w:bCs/>
                <w:color w:val="auto"/>
                <w:sz w:val="21"/>
                <w:szCs w:val="21"/>
              </w:rPr>
            </w:pPr>
            <w:r>
              <w:rPr>
                <w:bCs/>
                <w:color w:val="auto"/>
                <w:sz w:val="21"/>
                <w:szCs w:val="21"/>
              </w:rPr>
              <w:t>《声环境质量标准》2类区标准</w:t>
            </w:r>
          </w:p>
        </w:tc>
        <w:tc>
          <w:tcPr>
            <w:tcW w:w="1096" w:type="dxa"/>
            <w:vAlign w:val="center"/>
          </w:tcPr>
          <w:p>
            <w:pPr>
              <w:widowControl/>
              <w:adjustRightInd w:val="0"/>
              <w:snapToGrid w:val="0"/>
              <w:spacing w:line="240" w:lineRule="atLeast"/>
              <w:ind w:firstLine="0" w:firstLineChars="0"/>
              <w:jc w:val="center"/>
              <w:rPr>
                <w:color w:val="auto"/>
                <w:sz w:val="21"/>
                <w:szCs w:val="21"/>
              </w:rPr>
            </w:pPr>
            <w:r>
              <w:rPr>
                <w:color w:val="auto"/>
                <w:sz w:val="21"/>
                <w:szCs w:val="21"/>
              </w:rPr>
              <w:t>60</w:t>
            </w:r>
          </w:p>
        </w:tc>
        <w:tc>
          <w:tcPr>
            <w:tcW w:w="1134" w:type="dxa"/>
            <w:vAlign w:val="center"/>
          </w:tcPr>
          <w:p>
            <w:pPr>
              <w:widowControl/>
              <w:adjustRightInd w:val="0"/>
              <w:snapToGrid w:val="0"/>
              <w:spacing w:line="240" w:lineRule="atLeast"/>
              <w:ind w:firstLine="0" w:firstLineChars="0"/>
              <w:jc w:val="center"/>
              <w:rPr>
                <w:color w:val="auto"/>
                <w:sz w:val="21"/>
                <w:szCs w:val="21"/>
              </w:rPr>
            </w:pPr>
            <w:r>
              <w:rPr>
                <w:color w:val="auto"/>
                <w:sz w:val="21"/>
                <w:szCs w:val="21"/>
              </w:rPr>
              <w:t>60</w:t>
            </w:r>
          </w:p>
        </w:tc>
        <w:tc>
          <w:tcPr>
            <w:tcW w:w="1134" w:type="dxa"/>
            <w:vAlign w:val="center"/>
          </w:tcPr>
          <w:p>
            <w:pPr>
              <w:widowControl/>
              <w:adjustRightInd w:val="0"/>
              <w:snapToGrid w:val="0"/>
              <w:spacing w:line="240" w:lineRule="atLeast"/>
              <w:ind w:firstLine="0" w:firstLineChars="0"/>
              <w:jc w:val="center"/>
              <w:rPr>
                <w:color w:val="auto"/>
                <w:sz w:val="21"/>
                <w:szCs w:val="21"/>
              </w:rPr>
            </w:pPr>
            <w:r>
              <w:rPr>
                <w:color w:val="auto"/>
                <w:sz w:val="21"/>
                <w:szCs w:val="21"/>
              </w:rPr>
              <w:t>50</w:t>
            </w:r>
          </w:p>
        </w:tc>
        <w:tc>
          <w:tcPr>
            <w:tcW w:w="1028" w:type="dxa"/>
            <w:vAlign w:val="center"/>
          </w:tcPr>
          <w:p>
            <w:pPr>
              <w:widowControl/>
              <w:adjustRightInd w:val="0"/>
              <w:snapToGrid w:val="0"/>
              <w:spacing w:line="240" w:lineRule="atLeast"/>
              <w:ind w:firstLine="0" w:firstLineChars="0"/>
              <w:jc w:val="center"/>
              <w:rPr>
                <w:color w:val="auto"/>
                <w:sz w:val="21"/>
                <w:szCs w:val="21"/>
              </w:rPr>
            </w:pPr>
            <w:r>
              <w:rPr>
                <w:color w:val="auto"/>
                <w:sz w:val="21"/>
                <w:szCs w:val="21"/>
              </w:rPr>
              <w:t>50</w:t>
            </w:r>
          </w:p>
        </w:tc>
      </w:tr>
    </w:tbl>
    <w:p>
      <w:pPr>
        <w:snapToGrid w:val="0"/>
        <w:ind w:firstLine="496"/>
        <w:rPr>
          <w:rFonts w:cs="Times New Roman"/>
          <w:color w:val="auto"/>
        </w:rPr>
      </w:pPr>
      <w:r>
        <w:rPr>
          <w:rFonts w:cs="Times New Roman"/>
          <w:color w:val="auto"/>
          <w:spacing w:val="4"/>
        </w:rPr>
        <w:t>根据监测结果，各监测点</w:t>
      </w:r>
      <w:r>
        <w:rPr>
          <w:rFonts w:hint="eastAsia" w:cs="Times New Roman"/>
          <w:color w:val="auto"/>
          <w:spacing w:val="4"/>
        </w:rPr>
        <w:t>昼夜间噪声</w:t>
      </w:r>
      <w:r>
        <w:rPr>
          <w:rFonts w:cs="Times New Roman"/>
          <w:color w:val="auto"/>
          <w:spacing w:val="4"/>
        </w:rPr>
        <w:t>均满足</w:t>
      </w:r>
      <w:r>
        <w:rPr>
          <w:rFonts w:cs="Times New Roman"/>
          <w:color w:val="auto"/>
        </w:rPr>
        <w:t>《声环境质量标准》</w:t>
      </w:r>
      <w:r>
        <w:rPr>
          <w:rFonts w:cs="Times New Roman"/>
          <w:color w:val="auto"/>
          <w:spacing w:val="4"/>
        </w:rPr>
        <w:t>（GB3096-2008）</w:t>
      </w:r>
      <w:r>
        <w:rPr>
          <w:rFonts w:cs="Times New Roman"/>
          <w:color w:val="auto"/>
        </w:rPr>
        <w:t>2类</w:t>
      </w:r>
      <w:r>
        <w:rPr>
          <w:rFonts w:cs="Times New Roman"/>
          <w:color w:val="auto"/>
          <w:spacing w:val="4"/>
        </w:rPr>
        <w:t>标准要求</w:t>
      </w:r>
      <w:r>
        <w:rPr>
          <w:rFonts w:cs="Times New Roman"/>
          <w:color w:val="auto"/>
        </w:rPr>
        <w:t>。</w:t>
      </w:r>
    </w:p>
    <w:p>
      <w:pPr>
        <w:pStyle w:val="3"/>
        <w:numPr>
          <w:ilvl w:val="1"/>
          <w:numId w:val="0"/>
        </w:numPr>
        <w:ind w:left="575"/>
        <w:rPr>
          <w:rFonts w:cs="Times New Roman"/>
          <w:b w:val="0"/>
          <w:color w:val="auto"/>
        </w:rPr>
      </w:pPr>
      <w:bookmarkStart w:id="46" w:name="_Toc142388377"/>
      <w:r>
        <w:rPr>
          <w:rFonts w:cs="Times New Roman"/>
          <w:b w:val="0"/>
          <w:color w:val="auto"/>
        </w:rPr>
        <w:t>4.3生态环境现状调查</w:t>
      </w:r>
      <w:bookmarkEnd w:id="46"/>
    </w:p>
    <w:p>
      <w:pPr>
        <w:pStyle w:val="4"/>
        <w:numPr>
          <w:ilvl w:val="2"/>
          <w:numId w:val="0"/>
        </w:numPr>
        <w:snapToGrid w:val="0"/>
        <w:ind w:firstLine="480" w:firstLineChars="200"/>
        <w:rPr>
          <w:rFonts w:cs="Times New Roman"/>
          <w:color w:val="auto"/>
        </w:rPr>
      </w:pPr>
      <w:r>
        <w:rPr>
          <w:rFonts w:cs="Times New Roman"/>
          <w:color w:val="auto"/>
        </w:rPr>
        <w:t>4.3.1</w:t>
      </w:r>
      <w:r>
        <w:rPr>
          <w:rFonts w:hint="eastAsia" w:cs="Times New Roman"/>
          <w:color w:val="auto"/>
        </w:rPr>
        <w:t>生态功能区划</w:t>
      </w:r>
    </w:p>
    <w:p>
      <w:pPr>
        <w:widowControl/>
        <w:kinsoku w:val="0"/>
        <w:autoSpaceDE w:val="0"/>
        <w:autoSpaceDN w:val="0"/>
        <w:adjustRightInd w:val="0"/>
        <w:snapToGrid w:val="0"/>
        <w:ind w:firstLine="480"/>
        <w:textAlignment w:val="baseline"/>
        <w:rPr>
          <w:rFonts w:cs="Times New Roman"/>
          <w:snapToGrid w:val="0"/>
          <w:color w:val="auto"/>
          <w:kern w:val="0"/>
        </w:rPr>
      </w:pPr>
      <w:r>
        <w:rPr>
          <w:rFonts w:cs="Times New Roman"/>
          <w:snapToGrid w:val="0"/>
          <w:color w:val="auto"/>
          <w:kern w:val="0"/>
        </w:rPr>
        <w:t>根据《陕西生态功能区划》，本区生态功能区划如下：</w:t>
      </w:r>
    </w:p>
    <w:p>
      <w:pPr>
        <w:snapToGrid w:val="0"/>
        <w:ind w:firstLine="480"/>
        <w:rPr>
          <w:rFonts w:cs="Times New Roman"/>
          <w:snapToGrid w:val="0"/>
          <w:color w:val="auto"/>
          <w:kern w:val="0"/>
        </w:rPr>
      </w:pPr>
      <w:r>
        <w:rPr>
          <w:rFonts w:cs="Times New Roman"/>
          <w:snapToGrid w:val="0"/>
          <w:color w:val="auto"/>
          <w:kern w:val="0"/>
        </w:rPr>
        <w:t>本项目一级区划属秦巴山地落叶阔叶、常绿阔叶混交林生态区；二级区划属米仓山、大巴山水源涵养生态功能区；三级区划属大巴山水源涵养与生物多样性保护区。本项目的生态功能区划见附图3。</w:t>
      </w:r>
      <w:r>
        <w:rPr>
          <w:color w:val="auto"/>
        </w:rPr>
        <w:t>本区主导生态功能为水源涵养和生物多样性保护，区域植被类型属暖温带落叶阔叶林和常绿阔叶混交林为主，混生针阔混交林；区内森林覆盖率较高。</w:t>
      </w:r>
      <w:r>
        <w:rPr>
          <w:rFonts w:cs="Times New Roman"/>
          <w:snapToGrid w:val="0"/>
          <w:color w:val="auto"/>
          <w:kern w:val="0"/>
        </w:rPr>
        <w:t>项目区生态功能分区见表4.3-1。</w:t>
      </w:r>
    </w:p>
    <w:p>
      <w:pPr>
        <w:pStyle w:val="7"/>
        <w:tabs>
          <w:tab w:val="left" w:pos="3994"/>
        </w:tabs>
        <w:kinsoku w:val="0"/>
        <w:overflowPunct w:val="0"/>
        <w:snapToGrid w:val="0"/>
        <w:spacing w:after="0" w:line="240" w:lineRule="auto"/>
        <w:ind w:firstLine="0" w:firstLineChars="0"/>
        <w:jc w:val="center"/>
        <w:rPr>
          <w:b/>
          <w:bCs/>
          <w:color w:val="auto"/>
        </w:rPr>
      </w:pPr>
    </w:p>
    <w:p>
      <w:pPr>
        <w:pStyle w:val="7"/>
        <w:tabs>
          <w:tab w:val="left" w:pos="3994"/>
        </w:tabs>
        <w:kinsoku w:val="0"/>
        <w:overflowPunct w:val="0"/>
        <w:snapToGrid w:val="0"/>
        <w:spacing w:after="0" w:line="240" w:lineRule="auto"/>
        <w:ind w:firstLine="0" w:firstLineChars="0"/>
        <w:jc w:val="center"/>
        <w:rPr>
          <w:b/>
          <w:bCs/>
          <w:color w:val="auto"/>
        </w:rPr>
      </w:pPr>
    </w:p>
    <w:p>
      <w:pPr>
        <w:pStyle w:val="7"/>
        <w:tabs>
          <w:tab w:val="left" w:pos="3994"/>
        </w:tabs>
        <w:kinsoku w:val="0"/>
        <w:overflowPunct w:val="0"/>
        <w:snapToGrid w:val="0"/>
        <w:spacing w:after="0" w:line="240" w:lineRule="auto"/>
        <w:ind w:firstLine="0" w:firstLineChars="0"/>
        <w:jc w:val="center"/>
        <w:rPr>
          <w:b/>
          <w:bCs/>
          <w:color w:val="auto"/>
        </w:rPr>
      </w:pPr>
      <w:r>
        <w:rPr>
          <w:b/>
          <w:bCs/>
          <w:color w:val="auto"/>
        </w:rPr>
        <w:t>表4.3-1  项目区主要生态环境问题及生态功能</w:t>
      </w:r>
    </w:p>
    <w:tbl>
      <w:tblPr>
        <w:tblStyle w:val="42"/>
        <w:tblW w:w="94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1275"/>
        <w:gridCol w:w="1560"/>
        <w:gridCol w:w="1914"/>
        <w:gridCol w:w="29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680" w:type="dxa"/>
            <w:tcBorders>
              <w:top w:val="single" w:color="auto" w:sz="12" w:space="0"/>
              <w:bottom w:val="single" w:color="auto" w:sz="12" w:space="0"/>
            </w:tcBorders>
            <w:vAlign w:val="center"/>
          </w:tcPr>
          <w:p>
            <w:pPr>
              <w:adjustRightInd w:val="0"/>
              <w:snapToGrid w:val="0"/>
              <w:spacing w:line="240" w:lineRule="atLeast"/>
              <w:ind w:firstLine="0" w:firstLineChars="0"/>
              <w:jc w:val="center"/>
              <w:rPr>
                <w:b/>
                <w:bCs/>
                <w:color w:val="auto"/>
                <w:sz w:val="21"/>
                <w:szCs w:val="21"/>
              </w:rPr>
            </w:pPr>
            <w:r>
              <w:rPr>
                <w:b/>
                <w:bCs/>
                <w:color w:val="auto"/>
                <w:sz w:val="21"/>
                <w:szCs w:val="21"/>
              </w:rPr>
              <w:t>一级区</w:t>
            </w:r>
          </w:p>
        </w:tc>
        <w:tc>
          <w:tcPr>
            <w:tcW w:w="1275" w:type="dxa"/>
            <w:tcBorders>
              <w:top w:val="single" w:color="auto" w:sz="12" w:space="0"/>
              <w:bottom w:val="single" w:color="auto" w:sz="12" w:space="0"/>
            </w:tcBorders>
            <w:vAlign w:val="center"/>
          </w:tcPr>
          <w:p>
            <w:pPr>
              <w:adjustRightInd w:val="0"/>
              <w:snapToGrid w:val="0"/>
              <w:spacing w:line="240" w:lineRule="atLeast"/>
              <w:ind w:firstLine="0" w:firstLineChars="0"/>
              <w:jc w:val="center"/>
              <w:rPr>
                <w:b/>
                <w:bCs/>
                <w:color w:val="auto"/>
                <w:sz w:val="21"/>
                <w:szCs w:val="21"/>
              </w:rPr>
            </w:pPr>
            <w:r>
              <w:rPr>
                <w:b/>
                <w:bCs/>
                <w:color w:val="auto"/>
                <w:sz w:val="21"/>
                <w:szCs w:val="21"/>
              </w:rPr>
              <w:t>二级区</w:t>
            </w:r>
          </w:p>
        </w:tc>
        <w:tc>
          <w:tcPr>
            <w:tcW w:w="1560" w:type="dxa"/>
            <w:tcBorders>
              <w:top w:val="single" w:color="auto" w:sz="12" w:space="0"/>
              <w:bottom w:val="single" w:color="auto" w:sz="12" w:space="0"/>
            </w:tcBorders>
            <w:vAlign w:val="center"/>
          </w:tcPr>
          <w:p>
            <w:pPr>
              <w:adjustRightInd w:val="0"/>
              <w:snapToGrid w:val="0"/>
              <w:spacing w:line="240" w:lineRule="atLeast"/>
              <w:ind w:firstLine="0" w:firstLineChars="0"/>
              <w:jc w:val="center"/>
              <w:rPr>
                <w:b/>
                <w:bCs/>
                <w:color w:val="auto"/>
                <w:sz w:val="21"/>
                <w:szCs w:val="21"/>
              </w:rPr>
            </w:pPr>
            <w:r>
              <w:rPr>
                <w:b/>
                <w:bCs/>
                <w:color w:val="auto"/>
                <w:sz w:val="21"/>
                <w:szCs w:val="21"/>
              </w:rPr>
              <w:t>三级区</w:t>
            </w:r>
          </w:p>
        </w:tc>
        <w:tc>
          <w:tcPr>
            <w:tcW w:w="1914" w:type="dxa"/>
            <w:tcBorders>
              <w:top w:val="single" w:color="auto" w:sz="12" w:space="0"/>
              <w:bottom w:val="single" w:color="auto" w:sz="12" w:space="0"/>
            </w:tcBorders>
            <w:vAlign w:val="center"/>
          </w:tcPr>
          <w:p>
            <w:pPr>
              <w:adjustRightInd w:val="0"/>
              <w:snapToGrid w:val="0"/>
              <w:spacing w:line="240" w:lineRule="atLeast"/>
              <w:ind w:firstLine="0" w:firstLineChars="0"/>
              <w:jc w:val="center"/>
              <w:rPr>
                <w:b/>
                <w:bCs/>
                <w:color w:val="auto"/>
                <w:sz w:val="21"/>
                <w:szCs w:val="21"/>
              </w:rPr>
            </w:pPr>
            <w:r>
              <w:rPr>
                <w:b/>
                <w:bCs/>
                <w:color w:val="auto"/>
                <w:sz w:val="21"/>
                <w:szCs w:val="21"/>
              </w:rPr>
              <w:t>范围</w:t>
            </w:r>
          </w:p>
        </w:tc>
        <w:tc>
          <w:tcPr>
            <w:tcW w:w="2994" w:type="dxa"/>
            <w:tcBorders>
              <w:top w:val="single" w:color="auto" w:sz="12" w:space="0"/>
              <w:bottom w:val="single" w:color="auto" w:sz="12" w:space="0"/>
            </w:tcBorders>
            <w:vAlign w:val="center"/>
          </w:tcPr>
          <w:p>
            <w:pPr>
              <w:adjustRightInd w:val="0"/>
              <w:snapToGrid w:val="0"/>
              <w:spacing w:line="240" w:lineRule="atLeast"/>
              <w:ind w:firstLine="0" w:firstLineChars="0"/>
              <w:jc w:val="center"/>
              <w:rPr>
                <w:b/>
                <w:bCs/>
                <w:color w:val="auto"/>
                <w:sz w:val="21"/>
                <w:szCs w:val="21"/>
              </w:rPr>
            </w:pPr>
            <w:r>
              <w:rPr>
                <w:b/>
                <w:bCs/>
                <w:color w:val="auto"/>
                <w:sz w:val="21"/>
                <w:szCs w:val="21"/>
              </w:rPr>
              <w:t>生态服务功能重要性或生态敏感性特征及生态保护对策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1" w:hRule="exact"/>
          <w:tblHeader/>
          <w:jc w:val="center"/>
        </w:trPr>
        <w:tc>
          <w:tcPr>
            <w:tcW w:w="1680" w:type="dxa"/>
            <w:tcBorders>
              <w:top w:val="single" w:color="auto" w:sz="12" w:space="0"/>
            </w:tcBorders>
            <w:vAlign w:val="center"/>
          </w:tcPr>
          <w:p>
            <w:pPr>
              <w:adjustRightInd w:val="0"/>
              <w:snapToGrid w:val="0"/>
              <w:spacing w:line="240" w:lineRule="atLeast"/>
              <w:ind w:firstLine="0" w:firstLineChars="0"/>
              <w:jc w:val="center"/>
              <w:rPr>
                <w:bCs/>
                <w:color w:val="auto"/>
                <w:sz w:val="21"/>
                <w:szCs w:val="21"/>
              </w:rPr>
            </w:pPr>
            <w:r>
              <w:rPr>
                <w:bCs/>
                <w:color w:val="auto"/>
                <w:sz w:val="21"/>
                <w:szCs w:val="21"/>
              </w:rPr>
              <w:t>秦巴山地落叶阔叶、常绿阔叶混交林生态区</w:t>
            </w:r>
          </w:p>
        </w:tc>
        <w:tc>
          <w:tcPr>
            <w:tcW w:w="1275" w:type="dxa"/>
            <w:tcBorders>
              <w:top w:val="single" w:color="auto" w:sz="12" w:space="0"/>
            </w:tcBorders>
            <w:vAlign w:val="center"/>
          </w:tcPr>
          <w:p>
            <w:pPr>
              <w:adjustRightInd w:val="0"/>
              <w:snapToGrid w:val="0"/>
              <w:spacing w:line="240" w:lineRule="atLeast"/>
              <w:ind w:firstLine="0" w:firstLineChars="0"/>
              <w:jc w:val="center"/>
              <w:rPr>
                <w:bCs/>
                <w:color w:val="auto"/>
                <w:sz w:val="21"/>
                <w:szCs w:val="21"/>
              </w:rPr>
            </w:pPr>
            <w:r>
              <w:rPr>
                <w:bCs/>
                <w:color w:val="auto"/>
                <w:sz w:val="21"/>
                <w:szCs w:val="21"/>
              </w:rPr>
              <w:t>米仓山、大巴山水源涵养生态亚区</w:t>
            </w:r>
          </w:p>
        </w:tc>
        <w:tc>
          <w:tcPr>
            <w:tcW w:w="1560" w:type="dxa"/>
            <w:tcBorders>
              <w:top w:val="single" w:color="auto" w:sz="12" w:space="0"/>
            </w:tcBorders>
            <w:vAlign w:val="center"/>
          </w:tcPr>
          <w:p>
            <w:pPr>
              <w:adjustRightInd w:val="0"/>
              <w:snapToGrid w:val="0"/>
              <w:spacing w:line="240" w:lineRule="atLeast"/>
              <w:ind w:firstLine="0" w:firstLineChars="0"/>
              <w:jc w:val="center"/>
              <w:rPr>
                <w:bCs/>
                <w:color w:val="auto"/>
                <w:sz w:val="21"/>
                <w:szCs w:val="21"/>
              </w:rPr>
            </w:pPr>
            <w:r>
              <w:rPr>
                <w:bCs/>
                <w:color w:val="auto"/>
                <w:sz w:val="21"/>
                <w:szCs w:val="21"/>
              </w:rPr>
              <w:t>大巴山水源涵养与生物多样性保护区</w:t>
            </w:r>
          </w:p>
        </w:tc>
        <w:tc>
          <w:tcPr>
            <w:tcW w:w="1914" w:type="dxa"/>
            <w:tcBorders>
              <w:top w:val="single" w:color="auto" w:sz="12" w:space="0"/>
            </w:tcBorders>
            <w:vAlign w:val="center"/>
          </w:tcPr>
          <w:p>
            <w:pPr>
              <w:adjustRightInd w:val="0"/>
              <w:snapToGrid w:val="0"/>
              <w:spacing w:line="240" w:lineRule="atLeast"/>
              <w:ind w:firstLine="0" w:firstLineChars="0"/>
              <w:jc w:val="center"/>
              <w:rPr>
                <w:bCs/>
                <w:color w:val="auto"/>
                <w:sz w:val="21"/>
                <w:szCs w:val="21"/>
              </w:rPr>
            </w:pPr>
            <w:r>
              <w:rPr>
                <w:bCs/>
                <w:color w:val="auto"/>
                <w:sz w:val="21"/>
                <w:szCs w:val="21"/>
              </w:rPr>
              <w:t>紫阳县中南部，平利县大部，岚皋县、镇坪县全部</w:t>
            </w:r>
          </w:p>
        </w:tc>
        <w:tc>
          <w:tcPr>
            <w:tcW w:w="2994" w:type="dxa"/>
            <w:tcBorders>
              <w:top w:val="single" w:color="auto" w:sz="12" w:space="0"/>
            </w:tcBorders>
            <w:vAlign w:val="center"/>
          </w:tcPr>
          <w:p>
            <w:pPr>
              <w:adjustRightInd w:val="0"/>
              <w:snapToGrid w:val="0"/>
              <w:spacing w:line="240" w:lineRule="atLeast"/>
              <w:ind w:firstLine="0" w:firstLineChars="0"/>
              <w:jc w:val="center"/>
              <w:rPr>
                <w:bCs/>
                <w:color w:val="auto"/>
                <w:sz w:val="21"/>
                <w:szCs w:val="21"/>
              </w:rPr>
            </w:pPr>
            <w:r>
              <w:rPr>
                <w:color w:val="auto"/>
                <w:sz w:val="21"/>
                <w:szCs w:val="21"/>
              </w:rPr>
              <w:t>水源涵养与生物多样性维持功能极重要。保护天然林，建设化龙山为核心的自然保护区，保护生态多样性。</w:t>
            </w:r>
          </w:p>
        </w:tc>
      </w:tr>
    </w:tbl>
    <w:p>
      <w:pPr>
        <w:pStyle w:val="4"/>
        <w:numPr>
          <w:ilvl w:val="2"/>
          <w:numId w:val="0"/>
        </w:numPr>
        <w:snapToGrid w:val="0"/>
        <w:ind w:firstLine="480" w:firstLineChars="200"/>
        <w:rPr>
          <w:rFonts w:cs="Times New Roman"/>
          <w:color w:val="auto"/>
        </w:rPr>
      </w:pPr>
      <w:r>
        <w:rPr>
          <w:rFonts w:cs="Times New Roman"/>
          <w:color w:val="auto"/>
        </w:rPr>
        <w:t>4.3.2</w:t>
      </w:r>
      <w:r>
        <w:rPr>
          <w:rFonts w:hint="eastAsia" w:cs="Times New Roman"/>
          <w:color w:val="auto"/>
        </w:rPr>
        <w:t>生态系统主要类型</w:t>
      </w:r>
    </w:p>
    <w:p>
      <w:pPr>
        <w:widowControl/>
        <w:topLinePunct/>
        <w:adjustRightInd w:val="0"/>
        <w:snapToGrid w:val="0"/>
        <w:ind w:firstLine="480"/>
        <w:textAlignment w:val="baseline"/>
        <w:rPr>
          <w:rFonts w:cs="Times New Roman"/>
          <w:snapToGrid w:val="0"/>
          <w:color w:val="auto"/>
          <w:kern w:val="0"/>
        </w:rPr>
      </w:pPr>
      <w:r>
        <w:rPr>
          <w:rFonts w:cs="Times New Roman"/>
          <w:color w:val="auto"/>
          <w:kern w:val="44"/>
        </w:rPr>
        <w:t>项目位于</w:t>
      </w:r>
      <w:r>
        <w:rPr>
          <w:rFonts w:hint="eastAsia" w:cs="Times New Roman"/>
          <w:color w:val="auto"/>
          <w:kern w:val="44"/>
          <w:lang w:val="en-US" w:eastAsia="zh-CN"/>
        </w:rPr>
        <w:t>岚皋县岚河</w:t>
      </w:r>
      <w:r>
        <w:rPr>
          <w:rFonts w:cs="Times New Roman"/>
          <w:color w:val="auto"/>
          <w:kern w:val="44"/>
        </w:rPr>
        <w:t>流域，主要涉及</w:t>
      </w:r>
      <w:r>
        <w:rPr>
          <w:rFonts w:hint="eastAsia" w:cs="Times New Roman"/>
          <w:color w:val="auto"/>
          <w:kern w:val="44"/>
        </w:rPr>
        <w:t>岚皋县佐龙镇、城关镇、蔺河镇、南宫山镇、孟石岭镇</w:t>
      </w:r>
      <w:r>
        <w:rPr>
          <w:rFonts w:hint="eastAsia" w:cs="Times New Roman"/>
          <w:color w:val="auto"/>
        </w:rPr>
        <w:t>。</w:t>
      </w:r>
      <w:r>
        <w:rPr>
          <w:rFonts w:hint="eastAsia" w:cs="Times New Roman"/>
          <w:snapToGrid w:val="0"/>
          <w:color w:val="auto"/>
          <w:kern w:val="0"/>
        </w:rPr>
        <w:t>项目所在区域处于</w:t>
      </w:r>
      <w:r>
        <w:rPr>
          <w:rFonts w:cs="Times New Roman"/>
          <w:color w:val="auto"/>
        </w:rPr>
        <w:t>巴山北麓，属亚热带气候带，华中气候区，四季气候分明，</w:t>
      </w:r>
      <w:r>
        <w:rPr>
          <w:color w:val="auto"/>
        </w:rPr>
        <w:t>区域植被类型属暖温带落叶阔叶林和常绿阔叶混交林为主，混生针阔混交林</w:t>
      </w:r>
      <w:r>
        <w:rPr>
          <w:rFonts w:hint="eastAsia"/>
          <w:color w:val="auto"/>
        </w:rPr>
        <w:t>。项目区具有</w:t>
      </w:r>
      <w:r>
        <w:rPr>
          <w:rFonts w:hint="eastAsia" w:cs="Times New Roman"/>
          <w:snapToGrid w:val="0"/>
          <w:color w:val="auto"/>
          <w:kern w:val="0"/>
        </w:rPr>
        <w:t>既有天然湿地（河流湿地、滩涂湿地），又有人工湿地（堰塘）。在上述地形地貌、河流水系及人类活动的共同作用下，评价区主要生态系统类有森林生态系统、灌丛生态系统、草地生态系统、水域生态系统、农田生态系统和城镇生态系统等。</w:t>
      </w:r>
    </w:p>
    <w:p>
      <w:pPr>
        <w:widowControl/>
        <w:kinsoku w:val="0"/>
        <w:autoSpaceDE w:val="0"/>
        <w:autoSpaceDN w:val="0"/>
        <w:adjustRightInd w:val="0"/>
        <w:snapToGrid w:val="0"/>
        <w:ind w:firstLine="480"/>
        <w:textAlignment w:val="baseline"/>
        <w:rPr>
          <w:rFonts w:cs="Times New Roman"/>
          <w:snapToGrid w:val="0"/>
          <w:color w:val="auto"/>
          <w:kern w:val="0"/>
        </w:rPr>
      </w:pPr>
      <w:r>
        <w:rPr>
          <w:rFonts w:hint="eastAsia" w:cs="Times New Roman"/>
          <w:snapToGrid w:val="0"/>
          <w:color w:val="auto"/>
          <w:kern w:val="0"/>
        </w:rPr>
        <w:t>各类生态系统现状及分布见表</w:t>
      </w:r>
      <w:r>
        <w:rPr>
          <w:rFonts w:cs="Times New Roman"/>
          <w:snapToGrid w:val="0"/>
          <w:color w:val="auto"/>
          <w:kern w:val="0"/>
        </w:rPr>
        <w:t>4.3-2</w:t>
      </w:r>
      <w:r>
        <w:rPr>
          <w:rFonts w:hint="eastAsia" w:cs="Times New Roman"/>
          <w:snapToGrid w:val="0"/>
          <w:color w:val="auto"/>
          <w:kern w:val="0"/>
        </w:rPr>
        <w:t>。</w:t>
      </w:r>
    </w:p>
    <w:p>
      <w:pPr>
        <w:pStyle w:val="7"/>
        <w:tabs>
          <w:tab w:val="left" w:pos="3994"/>
        </w:tabs>
        <w:kinsoku w:val="0"/>
        <w:overflowPunct w:val="0"/>
        <w:snapToGrid w:val="0"/>
        <w:spacing w:after="0" w:line="240" w:lineRule="auto"/>
        <w:ind w:firstLine="0" w:firstLineChars="0"/>
        <w:jc w:val="center"/>
        <w:rPr>
          <w:color w:val="auto"/>
        </w:rPr>
      </w:pPr>
      <w:r>
        <w:rPr>
          <w:rFonts w:hint="eastAsia"/>
          <w:b/>
          <w:bCs/>
          <w:color w:val="auto"/>
        </w:rPr>
        <w:t>表</w:t>
      </w:r>
      <w:r>
        <w:rPr>
          <w:b/>
          <w:bCs/>
          <w:color w:val="auto"/>
        </w:rPr>
        <w:t xml:space="preserve">4.3-2  </w:t>
      </w:r>
      <w:r>
        <w:rPr>
          <w:rFonts w:hint="eastAsia"/>
          <w:b/>
          <w:bCs/>
          <w:color w:val="auto"/>
        </w:rPr>
        <w:t>各类生态系统现状及分布</w:t>
      </w:r>
    </w:p>
    <w:tbl>
      <w:tblPr>
        <w:tblStyle w:val="42"/>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764"/>
        <w:gridCol w:w="3601"/>
        <w:gridCol w:w="327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6" w:hRule="atLeast"/>
          <w:tblHeader/>
          <w:jc w:val="center"/>
        </w:trPr>
        <w:tc>
          <w:tcPr>
            <w:tcW w:w="1764" w:type="dxa"/>
            <w:tcBorders>
              <w:top w:val="single" w:color="000000" w:sz="12" w:space="0"/>
              <w:bottom w:val="single" w:color="000000" w:sz="12"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b/>
                <w:bCs/>
                <w:color w:val="auto"/>
                <w:sz w:val="21"/>
                <w:szCs w:val="21"/>
              </w:rPr>
              <w:t>生态系统类型</w:t>
            </w:r>
          </w:p>
        </w:tc>
        <w:tc>
          <w:tcPr>
            <w:tcW w:w="3601" w:type="dxa"/>
            <w:tcBorders>
              <w:top w:val="single" w:color="000000" w:sz="12" w:space="0"/>
              <w:bottom w:val="single" w:color="000000" w:sz="12"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b/>
                <w:bCs/>
                <w:color w:val="auto"/>
                <w:sz w:val="21"/>
                <w:szCs w:val="21"/>
              </w:rPr>
              <w:t>现场照片</w:t>
            </w:r>
          </w:p>
        </w:tc>
        <w:tc>
          <w:tcPr>
            <w:tcW w:w="3274" w:type="dxa"/>
            <w:tcBorders>
              <w:top w:val="single" w:color="000000" w:sz="12" w:space="0"/>
              <w:bottom w:val="single" w:color="000000" w:sz="12"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b/>
                <w:bCs/>
                <w:color w:val="auto"/>
                <w:sz w:val="21"/>
                <w:szCs w:val="21"/>
              </w:rPr>
              <w:t>分布特征</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56" w:hRule="atLeast"/>
          <w:jc w:val="center"/>
        </w:trPr>
        <w:tc>
          <w:tcPr>
            <w:tcW w:w="1764" w:type="dxa"/>
            <w:tcBorders>
              <w:top w:val="single" w:color="000000" w:sz="12"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森林、灌丛、草地生态系统</w:t>
            </w:r>
          </w:p>
        </w:tc>
        <w:tc>
          <w:tcPr>
            <w:tcW w:w="3601" w:type="dxa"/>
            <w:tcBorders>
              <w:top w:val="single" w:color="000000" w:sz="12" w:space="0"/>
            </w:tcBorders>
            <w:vAlign w:val="center"/>
          </w:tcPr>
          <w:p>
            <w:pPr>
              <w:snapToGrid w:val="0"/>
              <w:spacing w:line="240" w:lineRule="auto"/>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2269490" cy="1701800"/>
                  <wp:effectExtent l="0" t="0" r="16510" b="12700"/>
                  <wp:docPr id="12" name="图片 12" descr="afba19e8f5444514c97f43895795c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fba19e8f5444514c97f43895795c0d"/>
                          <pic:cNvPicPr>
                            <a:picLocks noChangeAspect="1"/>
                          </pic:cNvPicPr>
                        </pic:nvPicPr>
                        <pic:blipFill>
                          <a:blip r:embed="rId32"/>
                          <a:stretch>
                            <a:fillRect/>
                          </a:stretch>
                        </pic:blipFill>
                        <pic:spPr>
                          <a:xfrm>
                            <a:off x="0" y="0"/>
                            <a:ext cx="2269490" cy="1701800"/>
                          </a:xfrm>
                          <a:prstGeom prst="rect">
                            <a:avLst/>
                          </a:prstGeom>
                        </pic:spPr>
                      </pic:pic>
                    </a:graphicData>
                  </a:graphic>
                </wp:inline>
              </w:drawing>
            </w:r>
          </w:p>
        </w:tc>
        <w:tc>
          <w:tcPr>
            <w:tcW w:w="3274" w:type="dxa"/>
            <w:tcBorders>
              <w:top w:val="single" w:color="000000" w:sz="12"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pacing w:val="17"/>
                <w:sz w:val="21"/>
                <w:szCs w:val="21"/>
              </w:rPr>
              <w:t>林地生态系统是评价区较</w:t>
            </w:r>
            <w:r>
              <w:rPr>
                <w:rFonts w:hint="eastAsia" w:ascii="宋体" w:cs="宋体"/>
                <w:color w:val="auto"/>
                <w:sz w:val="21"/>
                <w:szCs w:val="21"/>
              </w:rPr>
              <w:t>为典型的一类生态系统，广泛分布于评价区山脊，植被以常绿针叶林、阔叶林为主，</w:t>
            </w:r>
            <w:r>
              <w:rPr>
                <w:rFonts w:hint="eastAsia" w:ascii="宋体" w:cs="宋体"/>
                <w:color w:val="auto"/>
                <w:spacing w:val="14"/>
                <w:sz w:val="21"/>
                <w:szCs w:val="21"/>
              </w:rPr>
              <w:t>因项目周围大部分区域已被人</w:t>
            </w:r>
            <w:r>
              <w:rPr>
                <w:rFonts w:hint="eastAsia" w:ascii="宋体" w:cs="宋体"/>
                <w:color w:val="auto"/>
                <w:sz w:val="21"/>
                <w:szCs w:val="21"/>
              </w:rPr>
              <w:t>类开垦，受人类活动以下，大型野生动物较为少见。</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51" w:hRule="atLeast"/>
          <w:jc w:val="center"/>
        </w:trPr>
        <w:tc>
          <w:tcPr>
            <w:tcW w:w="1764" w:type="dxa"/>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水域生态系统</w:t>
            </w:r>
          </w:p>
        </w:tc>
        <w:tc>
          <w:tcPr>
            <w:tcW w:w="3601" w:type="dxa"/>
            <w:vAlign w:val="center"/>
          </w:tcPr>
          <w:p>
            <w:pPr>
              <w:snapToGrid w:val="0"/>
              <w:spacing w:line="240" w:lineRule="auto"/>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2269490" cy="1701800"/>
                  <wp:effectExtent l="0" t="0" r="16510" b="12700"/>
                  <wp:docPr id="13" name="图片 13" descr="724a2087239a61e2efd0243c1463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24a2087239a61e2efd0243c1463d8d"/>
                          <pic:cNvPicPr>
                            <a:picLocks noChangeAspect="1"/>
                          </pic:cNvPicPr>
                        </pic:nvPicPr>
                        <pic:blipFill>
                          <a:blip r:embed="rId33"/>
                          <a:stretch>
                            <a:fillRect/>
                          </a:stretch>
                        </pic:blipFill>
                        <pic:spPr>
                          <a:xfrm>
                            <a:off x="0" y="0"/>
                            <a:ext cx="2269490" cy="1701800"/>
                          </a:xfrm>
                          <a:prstGeom prst="rect">
                            <a:avLst/>
                          </a:prstGeom>
                        </pic:spPr>
                      </pic:pic>
                    </a:graphicData>
                  </a:graphic>
                </wp:inline>
              </w:drawing>
            </w:r>
          </w:p>
        </w:tc>
        <w:tc>
          <w:tcPr>
            <w:tcW w:w="3274" w:type="dxa"/>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pacing w:val="17"/>
                <w:sz w:val="21"/>
                <w:szCs w:val="21"/>
              </w:rPr>
              <w:t>评价区范围内的河流主要是</w:t>
            </w:r>
            <w:r>
              <w:rPr>
                <w:rFonts w:hint="eastAsia" w:ascii="宋体" w:cs="宋体"/>
                <w:color w:val="auto"/>
                <w:spacing w:val="17"/>
                <w:sz w:val="21"/>
                <w:szCs w:val="21"/>
                <w:lang w:val="en-US" w:eastAsia="zh-CN"/>
              </w:rPr>
              <w:t>岚河</w:t>
            </w:r>
            <w:r>
              <w:rPr>
                <w:rFonts w:hint="eastAsia" w:ascii="宋体" w:cs="宋体"/>
                <w:color w:val="auto"/>
                <w:sz w:val="21"/>
                <w:szCs w:val="21"/>
              </w:rPr>
              <w:t>，形成了评价区的河流生态系统。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155" w:hRule="atLeast"/>
          <w:jc w:val="center"/>
        </w:trPr>
        <w:tc>
          <w:tcPr>
            <w:tcW w:w="1764" w:type="dxa"/>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农田生态系统</w:t>
            </w:r>
          </w:p>
        </w:tc>
        <w:tc>
          <w:tcPr>
            <w:tcW w:w="3601" w:type="dxa"/>
            <w:vAlign w:val="center"/>
          </w:tcPr>
          <w:p>
            <w:pPr>
              <w:snapToGrid w:val="0"/>
              <w:spacing w:line="240" w:lineRule="auto"/>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2269490" cy="1701800"/>
                  <wp:effectExtent l="0" t="0" r="16510" b="12700"/>
                  <wp:docPr id="14" name="图片 14" descr="b71a350865058b94f48aaa67beab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71a350865058b94f48aaa67beab831"/>
                          <pic:cNvPicPr>
                            <a:picLocks noChangeAspect="1"/>
                          </pic:cNvPicPr>
                        </pic:nvPicPr>
                        <pic:blipFill>
                          <a:blip r:embed="rId34"/>
                          <a:stretch>
                            <a:fillRect/>
                          </a:stretch>
                        </pic:blipFill>
                        <pic:spPr>
                          <a:xfrm>
                            <a:off x="0" y="0"/>
                            <a:ext cx="2269490" cy="1701800"/>
                          </a:xfrm>
                          <a:prstGeom prst="rect">
                            <a:avLst/>
                          </a:prstGeom>
                        </pic:spPr>
                      </pic:pic>
                    </a:graphicData>
                  </a:graphic>
                </wp:inline>
              </w:drawing>
            </w:r>
          </w:p>
        </w:tc>
        <w:tc>
          <w:tcPr>
            <w:tcW w:w="3274" w:type="dxa"/>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pacing w:val="17"/>
                <w:sz w:val="21"/>
                <w:szCs w:val="21"/>
              </w:rPr>
              <w:t>农田生态系统主要分布于</w:t>
            </w:r>
            <w:r>
              <w:rPr>
                <w:rFonts w:hint="eastAsia" w:ascii="宋体" w:cs="宋体"/>
                <w:color w:val="auto"/>
                <w:sz w:val="21"/>
                <w:szCs w:val="21"/>
              </w:rPr>
              <w:t>山间谷地，以水田为主，主要种植水稻和油菜等作物，在水田周</w:t>
            </w:r>
            <w:r>
              <w:rPr>
                <w:rFonts w:hint="eastAsia" w:ascii="宋体" w:cs="宋体"/>
                <w:color w:val="auto"/>
                <w:spacing w:val="14"/>
                <w:sz w:val="21"/>
                <w:szCs w:val="21"/>
              </w:rPr>
              <w:t>围有蔬菜种植，但分布面积较</w:t>
            </w:r>
            <w:r>
              <w:rPr>
                <w:rFonts w:hint="eastAsia" w:ascii="宋体" w:cs="宋体"/>
                <w:color w:val="auto"/>
                <w:sz w:val="21"/>
                <w:szCs w:val="21"/>
              </w:rPr>
              <w:t>小，呈斑块状、零星分布。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55" w:hRule="atLeast"/>
          <w:jc w:val="center"/>
        </w:trPr>
        <w:tc>
          <w:tcPr>
            <w:tcW w:w="1764" w:type="dxa"/>
            <w:vAlign w:val="center"/>
          </w:tcPr>
          <w:p>
            <w:pPr>
              <w:pStyle w:val="165"/>
              <w:kinsoku w:val="0"/>
              <w:overflowPunct w:val="0"/>
              <w:snapToGrid w:val="0"/>
              <w:spacing w:line="240" w:lineRule="auto"/>
              <w:ind w:firstLine="0" w:firstLineChars="0"/>
              <w:jc w:val="center"/>
              <w:rPr>
                <w:rFonts w:ascii="宋体" w:cs="宋体"/>
                <w:color w:val="auto"/>
                <w:sz w:val="21"/>
                <w:szCs w:val="21"/>
              </w:rPr>
            </w:pPr>
            <w:r>
              <w:rPr>
                <w:rFonts w:hint="eastAsia" w:ascii="宋体" w:cs="宋体"/>
                <w:color w:val="auto"/>
                <w:sz w:val="21"/>
                <w:szCs w:val="21"/>
              </w:rPr>
              <w:t>城镇生态系统</w:t>
            </w:r>
          </w:p>
        </w:tc>
        <w:tc>
          <w:tcPr>
            <w:tcW w:w="3601" w:type="dxa"/>
            <w:vAlign w:val="center"/>
          </w:tcPr>
          <w:p>
            <w:pPr>
              <w:snapToGrid w:val="0"/>
              <w:spacing w:line="240" w:lineRule="auto"/>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2269490" cy="1701800"/>
                  <wp:effectExtent l="0" t="0" r="16510" b="12700"/>
                  <wp:docPr id="15" name="图片 15" descr="9db333d8a8e96287782dfaf4d364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db333d8a8e96287782dfaf4d3649f0"/>
                          <pic:cNvPicPr>
                            <a:picLocks noChangeAspect="1"/>
                          </pic:cNvPicPr>
                        </pic:nvPicPr>
                        <pic:blipFill>
                          <a:blip r:embed="rId35"/>
                          <a:stretch>
                            <a:fillRect/>
                          </a:stretch>
                        </pic:blipFill>
                        <pic:spPr>
                          <a:xfrm>
                            <a:off x="0" y="0"/>
                            <a:ext cx="2269490" cy="1701800"/>
                          </a:xfrm>
                          <a:prstGeom prst="rect">
                            <a:avLst/>
                          </a:prstGeom>
                        </pic:spPr>
                      </pic:pic>
                    </a:graphicData>
                  </a:graphic>
                </wp:inline>
              </w:drawing>
            </w:r>
          </w:p>
        </w:tc>
        <w:tc>
          <w:tcPr>
            <w:tcW w:w="3274" w:type="dxa"/>
            <w:vAlign w:val="center"/>
          </w:tcPr>
          <w:p>
            <w:pPr>
              <w:pStyle w:val="165"/>
              <w:kinsoku w:val="0"/>
              <w:overflowPunct w:val="0"/>
              <w:snapToGrid w:val="0"/>
              <w:spacing w:line="240" w:lineRule="auto"/>
              <w:ind w:firstLine="0" w:firstLineChars="0"/>
              <w:jc w:val="center"/>
              <w:rPr>
                <w:rFonts w:ascii="宋体" w:cs="宋体"/>
                <w:color w:val="auto"/>
                <w:spacing w:val="17"/>
                <w:sz w:val="21"/>
                <w:szCs w:val="21"/>
              </w:rPr>
            </w:pPr>
            <w:r>
              <w:rPr>
                <w:rFonts w:hint="eastAsia" w:ascii="宋体" w:cs="宋体"/>
                <w:color w:val="auto"/>
                <w:spacing w:val="17"/>
                <w:sz w:val="21"/>
                <w:szCs w:val="21"/>
              </w:rPr>
              <w:t>以集镇、村落为主，由</w:t>
            </w:r>
            <w:r>
              <w:rPr>
                <w:rFonts w:ascii="宋体" w:cs="宋体"/>
                <w:color w:val="auto"/>
                <w:spacing w:val="17"/>
                <w:sz w:val="21"/>
                <w:szCs w:val="21"/>
              </w:rPr>
              <w:t>自然系统、经济系统和社会系统所组成的</w:t>
            </w:r>
            <w:r>
              <w:rPr>
                <w:rFonts w:hint="eastAsia" w:ascii="宋体" w:cs="宋体"/>
                <w:color w:val="auto"/>
                <w:spacing w:val="17"/>
                <w:sz w:val="21"/>
                <w:szCs w:val="21"/>
              </w:rPr>
              <w:t>。</w:t>
            </w:r>
          </w:p>
        </w:tc>
      </w:tr>
    </w:tbl>
    <w:p>
      <w:pPr>
        <w:pStyle w:val="195"/>
        <w:spacing w:line="360" w:lineRule="auto"/>
        <w:rPr>
          <w:rFonts w:eastAsiaTheme="minorEastAsia"/>
          <w:color w:val="auto"/>
        </w:rPr>
      </w:pPr>
      <w:r>
        <w:rPr>
          <w:rFonts w:hint="eastAsia" w:eastAsiaTheme="minorEastAsia"/>
          <w:color w:val="auto"/>
        </w:rPr>
        <w:t>按照《全国生态状况调查评估技术规范——生态系统遥感解译与野外核查》（HJ 1166—2021）中的Ⅱ级类型进行</w:t>
      </w:r>
      <w:r>
        <w:rPr>
          <w:rFonts w:eastAsiaTheme="minorEastAsia"/>
          <w:color w:val="auto"/>
        </w:rPr>
        <w:t>划分</w:t>
      </w:r>
      <w:r>
        <w:rPr>
          <w:rFonts w:hint="eastAsia" w:eastAsiaTheme="minorEastAsia"/>
          <w:color w:val="auto"/>
        </w:rPr>
        <w:t>，项目区评价范围内的生态系统类型面积统计表见表4</w:t>
      </w:r>
      <w:r>
        <w:rPr>
          <w:rFonts w:eastAsiaTheme="minorEastAsia"/>
          <w:color w:val="auto"/>
        </w:rPr>
        <w:t>.3</w:t>
      </w:r>
      <w:r>
        <w:rPr>
          <w:rFonts w:hint="eastAsia" w:eastAsiaTheme="minorEastAsia"/>
          <w:color w:val="auto"/>
        </w:rPr>
        <w:t>-</w:t>
      </w:r>
      <w:r>
        <w:rPr>
          <w:rFonts w:eastAsiaTheme="minorEastAsia"/>
          <w:color w:val="auto"/>
        </w:rPr>
        <w:t>3</w:t>
      </w:r>
      <w:r>
        <w:rPr>
          <w:rFonts w:hint="eastAsia" w:eastAsiaTheme="minorEastAsia"/>
          <w:color w:val="auto"/>
        </w:rPr>
        <w:t>。</w:t>
      </w:r>
    </w:p>
    <w:p>
      <w:pPr>
        <w:pStyle w:val="195"/>
        <w:spacing w:line="360" w:lineRule="auto"/>
        <w:rPr>
          <w:rFonts w:eastAsiaTheme="minorEastAsia"/>
          <w:color w:val="auto"/>
        </w:rPr>
      </w:pPr>
    </w:p>
    <w:p>
      <w:pPr>
        <w:pStyle w:val="195"/>
        <w:spacing w:line="360" w:lineRule="auto"/>
        <w:rPr>
          <w:rFonts w:eastAsiaTheme="minorEastAsia"/>
          <w:color w:val="auto"/>
        </w:rPr>
        <w:sectPr>
          <w:pgSz w:w="11906" w:h="16838"/>
          <w:pgMar w:top="1418" w:right="1531" w:bottom="1418" w:left="1418" w:header="851" w:footer="851" w:gutter="0"/>
          <w:pgBorders>
            <w:top w:val="none" w:sz="0" w:space="0"/>
            <w:left w:val="none" w:sz="0" w:space="0"/>
            <w:bottom w:val="none" w:sz="0" w:space="0"/>
            <w:right w:val="none" w:sz="0" w:space="0"/>
          </w:pgBorders>
          <w:cols w:space="0" w:num="1"/>
          <w:docGrid w:type="lines" w:linePitch="400" w:charSpace="0"/>
        </w:sectPr>
      </w:pPr>
    </w:p>
    <w:p>
      <w:pPr>
        <w:pStyle w:val="7"/>
        <w:snapToGrid w:val="0"/>
        <w:spacing w:after="0" w:line="240" w:lineRule="auto"/>
        <w:ind w:firstLine="0" w:firstLineChars="0"/>
        <w:jc w:val="center"/>
        <w:rPr>
          <w:b/>
          <w:bCs/>
          <w:color w:val="auto"/>
        </w:rPr>
      </w:pPr>
      <w:r>
        <w:rPr>
          <w:rFonts w:hint="eastAsia"/>
          <w:b/>
          <w:bCs/>
          <w:color w:val="auto"/>
        </w:rPr>
        <w:t xml:space="preserve">表4.3-3  </w:t>
      </w:r>
      <w:r>
        <w:rPr>
          <w:rFonts w:hint="eastAsia" w:eastAsiaTheme="minorEastAsia"/>
          <w:b/>
          <w:bCs/>
          <w:color w:val="auto"/>
        </w:rPr>
        <w:t>项目区评价范围内的生态系统类型面积统计表</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388"/>
        <w:gridCol w:w="3034"/>
        <w:gridCol w:w="1474"/>
        <w:gridCol w:w="2610"/>
        <w:gridCol w:w="2939"/>
        <w:gridCol w:w="26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94" w:type="pct"/>
            <w:vMerge w:val="restart"/>
            <w:noWrap/>
            <w:tcMar>
              <w:top w:w="28" w:type="dxa"/>
              <w:bottom w:w="28" w:type="dxa"/>
            </w:tcMar>
            <w:vAlign w:val="center"/>
          </w:tcPr>
          <w:p>
            <w:pPr>
              <w:snapToGrid w:val="0"/>
              <w:spacing w:line="240" w:lineRule="auto"/>
              <w:ind w:firstLine="0" w:firstLineChars="0"/>
              <w:jc w:val="center"/>
              <w:rPr>
                <w:rFonts w:hint="eastAsia" w:cs="Times New Roman"/>
                <w:b/>
                <w:bCs/>
                <w:color w:val="auto"/>
                <w:sz w:val="21"/>
                <w:szCs w:val="21"/>
              </w:rPr>
            </w:pPr>
            <w:r>
              <w:rPr>
                <w:rFonts w:hint="eastAsia" w:cs="Times New Roman"/>
                <w:b/>
                <w:bCs/>
                <w:color w:val="auto"/>
                <w:sz w:val="21"/>
                <w:szCs w:val="21"/>
              </w:rPr>
              <w:t>I</w:t>
            </w:r>
            <w:r>
              <w:rPr>
                <w:rFonts w:cs="Times New Roman"/>
                <w:b/>
                <w:bCs/>
                <w:color w:val="auto"/>
                <w:sz w:val="21"/>
                <w:szCs w:val="21"/>
              </w:rPr>
              <w:t>级代码</w:t>
            </w:r>
          </w:p>
        </w:tc>
        <w:tc>
          <w:tcPr>
            <w:tcW w:w="1079" w:type="pct"/>
            <w:vMerge w:val="restart"/>
            <w:noWrap/>
            <w:tcMar>
              <w:top w:w="28" w:type="dxa"/>
              <w:bottom w:w="28" w:type="dxa"/>
            </w:tcMar>
            <w:vAlign w:val="center"/>
          </w:tcPr>
          <w:p>
            <w:pPr>
              <w:snapToGrid w:val="0"/>
              <w:spacing w:line="240" w:lineRule="auto"/>
              <w:ind w:firstLine="0" w:firstLineChars="0"/>
              <w:jc w:val="center"/>
              <w:rPr>
                <w:rFonts w:hint="eastAsia" w:cs="Times New Roman"/>
                <w:b/>
                <w:bCs/>
                <w:color w:val="auto"/>
                <w:sz w:val="21"/>
                <w:szCs w:val="21"/>
              </w:rPr>
            </w:pPr>
            <w:r>
              <w:rPr>
                <w:rFonts w:hint="eastAsia" w:cs="Times New Roman"/>
                <w:b/>
                <w:bCs/>
                <w:color w:val="auto"/>
                <w:sz w:val="21"/>
                <w:szCs w:val="21"/>
              </w:rPr>
              <w:t>I</w:t>
            </w:r>
            <w:r>
              <w:rPr>
                <w:rFonts w:cs="Times New Roman"/>
                <w:b/>
                <w:bCs/>
                <w:color w:val="auto"/>
                <w:sz w:val="21"/>
                <w:szCs w:val="21"/>
              </w:rPr>
              <w:t>级分类</w:t>
            </w:r>
          </w:p>
        </w:tc>
        <w:tc>
          <w:tcPr>
            <w:tcW w:w="524" w:type="pct"/>
            <w:vMerge w:val="restart"/>
            <w:noWrap/>
            <w:tcMar>
              <w:top w:w="28" w:type="dxa"/>
              <w:bottom w:w="28" w:type="dxa"/>
            </w:tcMar>
            <w:vAlign w:val="center"/>
          </w:tcPr>
          <w:p>
            <w:pPr>
              <w:snapToGrid w:val="0"/>
              <w:spacing w:line="240" w:lineRule="auto"/>
              <w:ind w:firstLine="0" w:firstLineChars="0"/>
              <w:jc w:val="center"/>
              <w:rPr>
                <w:rFonts w:hint="eastAsia" w:cs="Times New Roman"/>
                <w:b/>
                <w:bCs/>
                <w:color w:val="auto"/>
                <w:sz w:val="21"/>
                <w:szCs w:val="21"/>
              </w:rPr>
            </w:pPr>
            <w:r>
              <w:rPr>
                <w:rFonts w:hint="eastAsia" w:cs="Times New Roman"/>
                <w:b/>
                <w:bCs/>
                <w:color w:val="auto"/>
                <w:sz w:val="21"/>
                <w:szCs w:val="21"/>
              </w:rPr>
              <w:t>II</w:t>
            </w:r>
            <w:r>
              <w:rPr>
                <w:rFonts w:cs="Times New Roman"/>
                <w:b/>
                <w:bCs/>
                <w:color w:val="auto"/>
                <w:sz w:val="21"/>
                <w:szCs w:val="21"/>
              </w:rPr>
              <w:t>级代码</w:t>
            </w:r>
          </w:p>
        </w:tc>
        <w:tc>
          <w:tcPr>
            <w:tcW w:w="927" w:type="pct"/>
            <w:vMerge w:val="restart"/>
            <w:noWrap/>
            <w:tcMar>
              <w:top w:w="28" w:type="dxa"/>
              <w:bottom w:w="28" w:type="dxa"/>
            </w:tcMar>
            <w:vAlign w:val="center"/>
          </w:tcPr>
          <w:p>
            <w:pPr>
              <w:snapToGrid w:val="0"/>
              <w:spacing w:line="240" w:lineRule="auto"/>
              <w:ind w:firstLine="0" w:firstLineChars="0"/>
              <w:jc w:val="center"/>
              <w:rPr>
                <w:rFonts w:hint="eastAsia" w:cs="Times New Roman"/>
                <w:b/>
                <w:bCs/>
                <w:color w:val="auto"/>
                <w:sz w:val="21"/>
                <w:szCs w:val="21"/>
              </w:rPr>
            </w:pPr>
            <w:r>
              <w:rPr>
                <w:rFonts w:hint="eastAsia" w:cs="Times New Roman"/>
                <w:b/>
                <w:bCs/>
                <w:color w:val="auto"/>
                <w:sz w:val="21"/>
                <w:szCs w:val="21"/>
              </w:rPr>
              <w:t>II级</w:t>
            </w:r>
            <w:r>
              <w:rPr>
                <w:rFonts w:cs="Times New Roman"/>
                <w:b/>
                <w:bCs/>
                <w:color w:val="auto"/>
                <w:sz w:val="21"/>
                <w:szCs w:val="21"/>
              </w:rPr>
              <w:t>分类</w:t>
            </w:r>
          </w:p>
        </w:tc>
        <w:tc>
          <w:tcPr>
            <w:tcW w:w="1974" w:type="pct"/>
            <w:gridSpan w:val="2"/>
            <w:noWrap/>
            <w:tcMar>
              <w:top w:w="28" w:type="dxa"/>
              <w:bottom w:w="28" w:type="dxa"/>
            </w:tcMar>
            <w:vAlign w:val="center"/>
          </w:tcPr>
          <w:p>
            <w:pPr>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rPr>
              <w:t>评价区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94" w:type="pct"/>
            <w:vMerge w:val="continue"/>
            <w:tcBorders>
              <w:bottom w:val="single" w:color="auto" w:sz="12" w:space="0"/>
            </w:tcBorders>
            <w:noWrap/>
            <w:tcMar>
              <w:top w:w="28" w:type="dxa"/>
              <w:bottom w:w="28" w:type="dxa"/>
            </w:tcMar>
            <w:vAlign w:val="center"/>
          </w:tcPr>
          <w:p>
            <w:pPr>
              <w:snapToGrid w:val="0"/>
              <w:spacing w:line="240" w:lineRule="auto"/>
              <w:ind w:firstLine="0" w:firstLineChars="0"/>
              <w:jc w:val="center"/>
              <w:rPr>
                <w:rFonts w:hint="eastAsia" w:cs="Times New Roman"/>
                <w:b/>
                <w:bCs/>
                <w:color w:val="auto"/>
                <w:sz w:val="21"/>
                <w:szCs w:val="21"/>
              </w:rPr>
            </w:pPr>
          </w:p>
        </w:tc>
        <w:tc>
          <w:tcPr>
            <w:tcW w:w="1079" w:type="pct"/>
            <w:vMerge w:val="continue"/>
            <w:tcBorders>
              <w:bottom w:val="single" w:color="auto" w:sz="12" w:space="0"/>
            </w:tcBorders>
            <w:noWrap/>
            <w:tcMar>
              <w:top w:w="28" w:type="dxa"/>
              <w:bottom w:w="28" w:type="dxa"/>
            </w:tcMar>
            <w:vAlign w:val="center"/>
          </w:tcPr>
          <w:p>
            <w:pPr>
              <w:snapToGrid w:val="0"/>
              <w:spacing w:line="240" w:lineRule="auto"/>
              <w:ind w:firstLine="0" w:firstLineChars="0"/>
              <w:jc w:val="center"/>
              <w:rPr>
                <w:rFonts w:hint="eastAsia" w:cs="Times New Roman"/>
                <w:b/>
                <w:bCs/>
                <w:color w:val="auto"/>
                <w:sz w:val="21"/>
                <w:szCs w:val="21"/>
              </w:rPr>
            </w:pPr>
          </w:p>
        </w:tc>
        <w:tc>
          <w:tcPr>
            <w:tcW w:w="524" w:type="pct"/>
            <w:vMerge w:val="continue"/>
            <w:tcBorders>
              <w:bottom w:val="single" w:color="auto" w:sz="12" w:space="0"/>
            </w:tcBorders>
            <w:noWrap/>
            <w:tcMar>
              <w:top w:w="28" w:type="dxa"/>
              <w:bottom w:w="28" w:type="dxa"/>
            </w:tcMar>
            <w:vAlign w:val="center"/>
          </w:tcPr>
          <w:p>
            <w:pPr>
              <w:snapToGrid w:val="0"/>
              <w:spacing w:line="240" w:lineRule="auto"/>
              <w:ind w:firstLine="0" w:firstLineChars="0"/>
              <w:jc w:val="center"/>
              <w:rPr>
                <w:rFonts w:hint="eastAsia" w:cs="Times New Roman"/>
                <w:b/>
                <w:bCs/>
                <w:color w:val="auto"/>
                <w:sz w:val="21"/>
                <w:szCs w:val="21"/>
              </w:rPr>
            </w:pPr>
          </w:p>
        </w:tc>
        <w:tc>
          <w:tcPr>
            <w:tcW w:w="927" w:type="pct"/>
            <w:vMerge w:val="continue"/>
            <w:tcBorders>
              <w:bottom w:val="single" w:color="auto" w:sz="12" w:space="0"/>
            </w:tcBorders>
            <w:noWrap/>
            <w:tcMar>
              <w:top w:w="28" w:type="dxa"/>
              <w:bottom w:w="28" w:type="dxa"/>
            </w:tcMar>
            <w:vAlign w:val="center"/>
          </w:tcPr>
          <w:p>
            <w:pPr>
              <w:snapToGrid w:val="0"/>
              <w:spacing w:line="240" w:lineRule="auto"/>
              <w:ind w:firstLine="0" w:firstLineChars="0"/>
              <w:jc w:val="center"/>
              <w:rPr>
                <w:rFonts w:hint="eastAsia" w:cs="Times New Roman"/>
                <w:b/>
                <w:bCs/>
                <w:color w:val="auto"/>
                <w:sz w:val="21"/>
                <w:szCs w:val="21"/>
              </w:rPr>
            </w:pPr>
          </w:p>
        </w:tc>
        <w:tc>
          <w:tcPr>
            <w:tcW w:w="1045" w:type="pct"/>
            <w:tcBorders>
              <w:bottom w:val="single" w:color="auto" w:sz="12" w:space="0"/>
            </w:tcBorders>
            <w:noWrap/>
            <w:tcMar>
              <w:top w:w="28" w:type="dxa"/>
              <w:bottom w:w="28" w:type="dxa"/>
            </w:tcMar>
            <w:vAlign w:val="center"/>
          </w:tcPr>
          <w:p>
            <w:pPr>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面积（km</w:t>
            </w:r>
            <w:r>
              <w:rPr>
                <w:rFonts w:cs="Times New Roman"/>
                <w:b/>
                <w:bCs/>
                <w:color w:val="auto"/>
                <w:sz w:val="21"/>
                <w:szCs w:val="21"/>
                <w:vertAlign w:val="superscript"/>
              </w:rPr>
              <w:t>2</w:t>
            </w:r>
            <w:r>
              <w:rPr>
                <w:rFonts w:cs="Times New Roman"/>
                <w:b/>
                <w:bCs/>
                <w:color w:val="auto"/>
                <w:sz w:val="21"/>
                <w:szCs w:val="21"/>
              </w:rPr>
              <w:t>）</w:t>
            </w:r>
          </w:p>
        </w:tc>
        <w:tc>
          <w:tcPr>
            <w:tcW w:w="929" w:type="pct"/>
            <w:tcBorders>
              <w:bottom w:val="single" w:color="auto" w:sz="12" w:space="0"/>
            </w:tcBorders>
            <w:noWrap/>
            <w:tcMar>
              <w:top w:w="28" w:type="dxa"/>
              <w:bottom w:w="28" w:type="dxa"/>
            </w:tcMar>
            <w:vAlign w:val="center"/>
          </w:tcPr>
          <w:p>
            <w:pPr>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比例（%）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94" w:type="pct"/>
            <w:vMerge w:val="restart"/>
            <w:tcBorders>
              <w:top w:val="single" w:color="auto" w:sz="12" w:space="0"/>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1</w:t>
            </w:r>
          </w:p>
        </w:tc>
        <w:tc>
          <w:tcPr>
            <w:tcW w:w="1079" w:type="pct"/>
            <w:vMerge w:val="restart"/>
            <w:tcBorders>
              <w:top w:val="single" w:color="auto" w:sz="12" w:space="0"/>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森林生态系统</w:t>
            </w:r>
          </w:p>
        </w:tc>
        <w:tc>
          <w:tcPr>
            <w:tcW w:w="524" w:type="pct"/>
            <w:tcBorders>
              <w:top w:val="single" w:color="auto" w:sz="12" w:space="0"/>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11</w:t>
            </w:r>
          </w:p>
        </w:tc>
        <w:tc>
          <w:tcPr>
            <w:tcW w:w="927" w:type="pct"/>
            <w:tcBorders>
              <w:top w:val="single" w:color="auto" w:sz="12" w:space="0"/>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阔叶林</w:t>
            </w:r>
          </w:p>
        </w:tc>
        <w:tc>
          <w:tcPr>
            <w:tcW w:w="1045" w:type="pct"/>
            <w:tcBorders>
              <w:top w:val="single" w:color="auto" w:sz="12" w:space="0"/>
              <w:tl2br w:val="nil"/>
              <w:tr2bl w:val="nil"/>
            </w:tcBorders>
            <w:noWrap/>
            <w:tcMar>
              <w:top w:w="28" w:type="dxa"/>
              <w:bottom w:w="28" w:type="dxa"/>
            </w:tcMar>
            <w:vAlign w:val="center"/>
          </w:tcPr>
          <w:p>
            <w:pPr>
              <w:snapToGrid w:val="0"/>
              <w:spacing w:line="240" w:lineRule="auto"/>
              <w:ind w:firstLine="0" w:firstLineChars="0"/>
              <w:jc w:val="center"/>
              <w:rPr>
                <w:rFonts w:cs="Times New Roman"/>
                <w:color w:val="auto"/>
                <w:sz w:val="21"/>
                <w:szCs w:val="21"/>
              </w:rPr>
            </w:pPr>
            <w:r>
              <w:rPr>
                <w:rFonts w:hint="eastAsia" w:cs="Times New Roman"/>
                <w:color w:val="auto"/>
                <w:sz w:val="21"/>
                <w:szCs w:val="21"/>
              </w:rPr>
              <w:t>12.4914</w:t>
            </w:r>
          </w:p>
        </w:tc>
        <w:tc>
          <w:tcPr>
            <w:tcW w:w="929" w:type="pct"/>
            <w:tcBorders>
              <w:top w:val="single" w:color="auto" w:sz="12" w:space="0"/>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25.46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94" w:type="pct"/>
            <w:vMerge w:val="continue"/>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p>
        </w:tc>
        <w:tc>
          <w:tcPr>
            <w:tcW w:w="1079" w:type="pct"/>
            <w:vMerge w:val="continue"/>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p>
        </w:tc>
        <w:tc>
          <w:tcPr>
            <w:tcW w:w="524"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12</w:t>
            </w:r>
          </w:p>
        </w:tc>
        <w:tc>
          <w:tcPr>
            <w:tcW w:w="927"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针叶林</w:t>
            </w:r>
          </w:p>
        </w:tc>
        <w:tc>
          <w:tcPr>
            <w:tcW w:w="1045"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5.0558</w:t>
            </w:r>
          </w:p>
        </w:tc>
        <w:tc>
          <w:tcPr>
            <w:tcW w:w="929"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10.30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94"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2</w:t>
            </w:r>
          </w:p>
        </w:tc>
        <w:tc>
          <w:tcPr>
            <w:tcW w:w="1079"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灌丛生态系统</w:t>
            </w:r>
          </w:p>
        </w:tc>
        <w:tc>
          <w:tcPr>
            <w:tcW w:w="524"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21</w:t>
            </w:r>
          </w:p>
        </w:tc>
        <w:tc>
          <w:tcPr>
            <w:tcW w:w="927"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阔叶灌丛</w:t>
            </w:r>
          </w:p>
        </w:tc>
        <w:tc>
          <w:tcPr>
            <w:tcW w:w="1045"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9.2435</w:t>
            </w:r>
          </w:p>
        </w:tc>
        <w:tc>
          <w:tcPr>
            <w:tcW w:w="929"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18.84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94" w:type="pct"/>
            <w:tcBorders>
              <w:tl2br w:val="nil"/>
              <w:tr2bl w:val="nil"/>
            </w:tcBorders>
            <w:noWrap/>
            <w:tcMar>
              <w:top w:w="28" w:type="dxa"/>
              <w:bottom w:w="28" w:type="dxa"/>
            </w:tcMar>
            <w:vAlign w:val="center"/>
          </w:tcPr>
          <w:p>
            <w:pPr>
              <w:snapToGrid w:val="0"/>
              <w:spacing w:line="240" w:lineRule="auto"/>
              <w:ind w:firstLine="0" w:firstLineChars="0"/>
              <w:jc w:val="center"/>
              <w:rPr>
                <w:rFonts w:cs="Times New Roman"/>
                <w:color w:val="auto"/>
                <w:sz w:val="21"/>
                <w:szCs w:val="21"/>
              </w:rPr>
            </w:pPr>
            <w:r>
              <w:rPr>
                <w:rFonts w:hint="eastAsia" w:cs="Times New Roman"/>
                <w:color w:val="auto"/>
                <w:sz w:val="21"/>
                <w:szCs w:val="21"/>
              </w:rPr>
              <w:t>3</w:t>
            </w:r>
          </w:p>
        </w:tc>
        <w:tc>
          <w:tcPr>
            <w:tcW w:w="1079"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草地</w:t>
            </w:r>
            <w:r>
              <w:rPr>
                <w:rFonts w:cs="Times New Roman"/>
                <w:color w:val="auto"/>
                <w:sz w:val="21"/>
                <w:szCs w:val="21"/>
              </w:rPr>
              <w:t>生态系统</w:t>
            </w:r>
          </w:p>
        </w:tc>
        <w:tc>
          <w:tcPr>
            <w:tcW w:w="524"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33</w:t>
            </w:r>
          </w:p>
        </w:tc>
        <w:tc>
          <w:tcPr>
            <w:tcW w:w="927"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草丛</w:t>
            </w:r>
          </w:p>
        </w:tc>
        <w:tc>
          <w:tcPr>
            <w:tcW w:w="1045"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4.5246</w:t>
            </w:r>
          </w:p>
        </w:tc>
        <w:tc>
          <w:tcPr>
            <w:tcW w:w="929"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9.22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94" w:type="pct"/>
            <w:vMerge w:val="restar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4</w:t>
            </w:r>
          </w:p>
        </w:tc>
        <w:tc>
          <w:tcPr>
            <w:tcW w:w="1079" w:type="pct"/>
            <w:vMerge w:val="restar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水域生态系统</w:t>
            </w:r>
          </w:p>
        </w:tc>
        <w:tc>
          <w:tcPr>
            <w:tcW w:w="524"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41</w:t>
            </w:r>
          </w:p>
        </w:tc>
        <w:tc>
          <w:tcPr>
            <w:tcW w:w="927"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河流</w:t>
            </w:r>
          </w:p>
        </w:tc>
        <w:tc>
          <w:tcPr>
            <w:tcW w:w="1045"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2.7132</w:t>
            </w:r>
          </w:p>
        </w:tc>
        <w:tc>
          <w:tcPr>
            <w:tcW w:w="929"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5.53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jc w:val="center"/>
        </w:trPr>
        <w:tc>
          <w:tcPr>
            <w:tcW w:w="494" w:type="pct"/>
            <w:vMerge w:val="continue"/>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p>
        </w:tc>
        <w:tc>
          <w:tcPr>
            <w:tcW w:w="1079" w:type="pct"/>
            <w:vMerge w:val="continue"/>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p>
        </w:tc>
        <w:tc>
          <w:tcPr>
            <w:tcW w:w="524"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4</w:t>
            </w:r>
            <w:r>
              <w:rPr>
                <w:rFonts w:cs="Times New Roman"/>
                <w:color w:val="auto"/>
                <w:sz w:val="21"/>
                <w:szCs w:val="21"/>
              </w:rPr>
              <w:t>2</w:t>
            </w:r>
          </w:p>
        </w:tc>
        <w:tc>
          <w:tcPr>
            <w:tcW w:w="927"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湖泊</w:t>
            </w:r>
          </w:p>
        </w:tc>
        <w:tc>
          <w:tcPr>
            <w:tcW w:w="1045"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0.3574</w:t>
            </w:r>
          </w:p>
        </w:tc>
        <w:tc>
          <w:tcPr>
            <w:tcW w:w="929"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0.73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94" w:type="pct"/>
            <w:vMerge w:val="continue"/>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p>
        </w:tc>
        <w:tc>
          <w:tcPr>
            <w:tcW w:w="1079" w:type="pct"/>
            <w:vMerge w:val="continue"/>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p>
        </w:tc>
        <w:tc>
          <w:tcPr>
            <w:tcW w:w="524"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4</w:t>
            </w:r>
            <w:r>
              <w:rPr>
                <w:rFonts w:cs="Times New Roman"/>
                <w:color w:val="auto"/>
                <w:sz w:val="21"/>
                <w:szCs w:val="21"/>
              </w:rPr>
              <w:t>3</w:t>
            </w:r>
          </w:p>
        </w:tc>
        <w:tc>
          <w:tcPr>
            <w:tcW w:w="927"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沼泽地</w:t>
            </w:r>
          </w:p>
        </w:tc>
        <w:tc>
          <w:tcPr>
            <w:tcW w:w="1045"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0.2575</w:t>
            </w:r>
          </w:p>
        </w:tc>
        <w:tc>
          <w:tcPr>
            <w:tcW w:w="929"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0.52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94"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5</w:t>
            </w:r>
          </w:p>
        </w:tc>
        <w:tc>
          <w:tcPr>
            <w:tcW w:w="1079"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农田生态系统</w:t>
            </w:r>
          </w:p>
        </w:tc>
        <w:tc>
          <w:tcPr>
            <w:tcW w:w="524"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51</w:t>
            </w:r>
          </w:p>
        </w:tc>
        <w:tc>
          <w:tcPr>
            <w:tcW w:w="927"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耕地</w:t>
            </w:r>
          </w:p>
        </w:tc>
        <w:tc>
          <w:tcPr>
            <w:tcW w:w="1045"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10.2617</w:t>
            </w:r>
          </w:p>
        </w:tc>
        <w:tc>
          <w:tcPr>
            <w:tcW w:w="929"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20.92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jc w:val="center"/>
        </w:trPr>
        <w:tc>
          <w:tcPr>
            <w:tcW w:w="494" w:type="pct"/>
            <w:vMerge w:val="restar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6</w:t>
            </w:r>
          </w:p>
        </w:tc>
        <w:tc>
          <w:tcPr>
            <w:tcW w:w="1079" w:type="pct"/>
            <w:vMerge w:val="restar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城镇</w:t>
            </w:r>
            <w:r>
              <w:rPr>
                <w:rFonts w:cs="Times New Roman"/>
                <w:color w:val="auto"/>
                <w:sz w:val="21"/>
                <w:szCs w:val="21"/>
              </w:rPr>
              <w:t>生态系统</w:t>
            </w:r>
          </w:p>
        </w:tc>
        <w:tc>
          <w:tcPr>
            <w:tcW w:w="524"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61</w:t>
            </w:r>
          </w:p>
        </w:tc>
        <w:tc>
          <w:tcPr>
            <w:tcW w:w="927"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居住</w:t>
            </w:r>
            <w:r>
              <w:rPr>
                <w:rFonts w:cs="Times New Roman"/>
                <w:color w:val="auto"/>
                <w:sz w:val="21"/>
                <w:szCs w:val="21"/>
              </w:rPr>
              <w:t>地</w:t>
            </w:r>
          </w:p>
        </w:tc>
        <w:tc>
          <w:tcPr>
            <w:tcW w:w="1045"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3.2458</w:t>
            </w:r>
          </w:p>
        </w:tc>
        <w:tc>
          <w:tcPr>
            <w:tcW w:w="929"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6.62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94" w:type="pct"/>
            <w:vMerge w:val="continue"/>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p>
        </w:tc>
        <w:tc>
          <w:tcPr>
            <w:tcW w:w="1079" w:type="pct"/>
            <w:vMerge w:val="continue"/>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p>
        </w:tc>
        <w:tc>
          <w:tcPr>
            <w:tcW w:w="524"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63</w:t>
            </w:r>
          </w:p>
        </w:tc>
        <w:tc>
          <w:tcPr>
            <w:tcW w:w="927"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工矿</w:t>
            </w:r>
            <w:r>
              <w:rPr>
                <w:rFonts w:cs="Times New Roman"/>
                <w:color w:val="auto"/>
                <w:sz w:val="21"/>
                <w:szCs w:val="21"/>
              </w:rPr>
              <w:t>交通</w:t>
            </w:r>
          </w:p>
        </w:tc>
        <w:tc>
          <w:tcPr>
            <w:tcW w:w="1045"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0.9115</w:t>
            </w:r>
          </w:p>
        </w:tc>
        <w:tc>
          <w:tcPr>
            <w:tcW w:w="929" w:type="pct"/>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1.86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025" w:type="pct"/>
            <w:gridSpan w:val="4"/>
            <w:tcBorders>
              <w:tl2br w:val="nil"/>
              <w:tr2bl w:val="nil"/>
            </w:tcBorders>
            <w:noWrap/>
            <w:tcMar>
              <w:top w:w="28" w:type="dxa"/>
              <w:bottom w:w="28" w:type="dxa"/>
            </w:tcMar>
            <w:vAlign w:val="center"/>
          </w:tcPr>
          <w:p>
            <w:pPr>
              <w:snapToGrid w:val="0"/>
              <w:spacing w:line="240" w:lineRule="auto"/>
              <w:ind w:firstLine="0" w:firstLineChars="0"/>
              <w:jc w:val="center"/>
              <w:rPr>
                <w:rFonts w:hint="eastAsia" w:cs="Times New Roman"/>
                <w:color w:val="auto"/>
                <w:sz w:val="21"/>
                <w:szCs w:val="21"/>
              </w:rPr>
            </w:pPr>
            <w:r>
              <w:rPr>
                <w:rFonts w:cs="Times New Roman"/>
                <w:color w:val="auto"/>
                <w:sz w:val="21"/>
                <w:szCs w:val="21"/>
              </w:rPr>
              <w:t>合计</w:t>
            </w:r>
          </w:p>
        </w:tc>
        <w:tc>
          <w:tcPr>
            <w:tcW w:w="1045" w:type="pct"/>
            <w:tcBorders>
              <w:tl2br w:val="nil"/>
              <w:tr2bl w:val="nil"/>
            </w:tcBorders>
            <w:noWrap/>
            <w:tcMar>
              <w:top w:w="28" w:type="dxa"/>
              <w:bottom w:w="28" w:type="dxa"/>
            </w:tcMar>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fldChar w:fldCharType="begin"/>
            </w:r>
            <w:r>
              <w:rPr>
                <w:rFonts w:cs="Times New Roman"/>
                <w:color w:val="auto"/>
                <w:sz w:val="21"/>
                <w:szCs w:val="21"/>
              </w:rPr>
              <w:instrText xml:space="preserve"> </w:instrText>
            </w:r>
            <w:r>
              <w:rPr>
                <w:rFonts w:hint="eastAsia" w:cs="Times New Roman"/>
                <w:color w:val="auto"/>
                <w:sz w:val="21"/>
                <w:szCs w:val="21"/>
              </w:rPr>
              <w:instrText xml:space="preserve">=SUM(ABOVE)</w:instrText>
            </w:r>
            <w:r>
              <w:rPr>
                <w:rFonts w:cs="Times New Roman"/>
                <w:color w:val="auto"/>
                <w:sz w:val="21"/>
                <w:szCs w:val="21"/>
              </w:rPr>
              <w:instrText xml:space="preserve"> </w:instrText>
            </w:r>
            <w:r>
              <w:rPr>
                <w:rFonts w:cs="Times New Roman"/>
                <w:color w:val="auto"/>
                <w:sz w:val="21"/>
                <w:szCs w:val="21"/>
              </w:rPr>
              <w:fldChar w:fldCharType="separate"/>
            </w:r>
            <w:r>
              <w:rPr>
                <w:rFonts w:cs="Times New Roman"/>
                <w:color w:val="auto"/>
                <w:sz w:val="21"/>
                <w:szCs w:val="21"/>
              </w:rPr>
              <w:t>49.0624</w:t>
            </w:r>
            <w:r>
              <w:rPr>
                <w:rFonts w:cs="Times New Roman"/>
                <w:color w:val="auto"/>
                <w:sz w:val="21"/>
                <w:szCs w:val="21"/>
              </w:rPr>
              <w:fldChar w:fldCharType="end"/>
            </w:r>
          </w:p>
        </w:tc>
        <w:tc>
          <w:tcPr>
            <w:tcW w:w="929" w:type="pct"/>
            <w:tcBorders>
              <w:tl2br w:val="nil"/>
              <w:tr2bl w:val="nil"/>
            </w:tcBorders>
            <w:noWrap/>
            <w:tcMar>
              <w:top w:w="28" w:type="dxa"/>
              <w:bottom w:w="28" w:type="dxa"/>
            </w:tcMar>
            <w:vAlign w:val="center"/>
          </w:tcPr>
          <w:p>
            <w:pPr>
              <w:snapToGrid w:val="0"/>
              <w:spacing w:line="240" w:lineRule="auto"/>
              <w:ind w:firstLine="0" w:firstLineChars="0"/>
              <w:jc w:val="center"/>
              <w:rPr>
                <w:rFonts w:cs="Times New Roman"/>
                <w:color w:val="auto"/>
                <w:sz w:val="21"/>
                <w:szCs w:val="21"/>
              </w:rPr>
            </w:pPr>
            <w:r>
              <w:rPr>
                <w:rFonts w:hint="eastAsia" w:cs="Times New Roman"/>
                <w:color w:val="auto"/>
                <w:sz w:val="21"/>
                <w:szCs w:val="21"/>
              </w:rPr>
              <w:t>100</w:t>
            </w:r>
          </w:p>
        </w:tc>
      </w:tr>
    </w:tbl>
    <w:p>
      <w:pPr>
        <w:pStyle w:val="7"/>
        <w:ind w:firstLine="480"/>
        <w:rPr>
          <w:color w:val="auto"/>
        </w:rPr>
      </w:pPr>
    </w:p>
    <w:p>
      <w:pPr>
        <w:pStyle w:val="7"/>
        <w:ind w:firstLine="480"/>
        <w:rPr>
          <w:color w:val="auto"/>
        </w:rPr>
      </w:pPr>
    </w:p>
    <w:p>
      <w:pPr>
        <w:pStyle w:val="7"/>
        <w:ind w:firstLine="480"/>
        <w:rPr>
          <w:color w:val="auto"/>
        </w:rPr>
      </w:pPr>
    </w:p>
    <w:p>
      <w:pPr>
        <w:snapToGrid w:val="0"/>
        <w:spacing w:line="240" w:lineRule="auto"/>
        <w:ind w:firstLine="482"/>
        <w:jc w:val="center"/>
        <w:rPr>
          <w:rFonts w:hint="eastAsia"/>
          <w:b/>
          <w:bCs/>
          <w:color w:val="auto"/>
        </w:rPr>
      </w:pPr>
    </w:p>
    <w:p>
      <w:pPr>
        <w:snapToGrid w:val="0"/>
        <w:spacing w:line="240" w:lineRule="auto"/>
        <w:ind w:firstLine="482"/>
        <w:jc w:val="center"/>
        <w:rPr>
          <w:b/>
          <w:bCs/>
          <w:color w:val="auto"/>
        </w:rPr>
      </w:pPr>
      <w:r>
        <w:rPr>
          <w:rFonts w:hint="eastAsia"/>
          <w:b/>
          <w:bCs/>
          <w:color w:val="auto"/>
        </w:rPr>
        <w:t>表</w:t>
      </w:r>
      <w:r>
        <w:rPr>
          <w:b/>
          <w:bCs/>
          <w:color w:val="auto"/>
        </w:rPr>
        <w:t>4.3</w:t>
      </w:r>
      <w:r>
        <w:rPr>
          <w:rFonts w:hint="eastAsia"/>
          <w:b/>
          <w:bCs/>
          <w:color w:val="auto"/>
        </w:rPr>
        <w:t>-4  评价范围内植被类型面积统计表</w:t>
      </w:r>
    </w:p>
    <w:tbl>
      <w:tblPr>
        <w:tblStyle w:val="4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85" w:type="dxa"/>
          <w:left w:w="57" w:type="dxa"/>
          <w:bottom w:w="85" w:type="dxa"/>
          <w:right w:w="57" w:type="dxa"/>
        </w:tblCellMar>
      </w:tblPr>
      <w:tblGrid>
        <w:gridCol w:w="1299"/>
        <w:gridCol w:w="2358"/>
        <w:gridCol w:w="3086"/>
        <w:gridCol w:w="3809"/>
        <w:gridCol w:w="1898"/>
        <w:gridCol w:w="1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397" w:hRule="atLeast"/>
          <w:jc w:val="center"/>
        </w:trPr>
        <w:tc>
          <w:tcPr>
            <w:tcW w:w="460" w:type="pct"/>
            <w:vMerge w:val="restart"/>
            <w:tcBorders>
              <w:top w:val="single" w:color="auto" w:sz="12"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b/>
                <w:bCs/>
                <w:color w:val="auto"/>
                <w:sz w:val="21"/>
                <w:szCs w:val="21"/>
              </w:rPr>
            </w:pPr>
            <w:r>
              <w:rPr>
                <w:rFonts w:hint="eastAsia" w:cs="Times New Roman"/>
                <w:b/>
                <w:bCs/>
                <w:color w:val="auto"/>
                <w:sz w:val="21"/>
                <w:szCs w:val="21"/>
              </w:rPr>
              <w:t>植被型组</w:t>
            </w:r>
          </w:p>
        </w:tc>
        <w:tc>
          <w:tcPr>
            <w:tcW w:w="835" w:type="pct"/>
            <w:vMerge w:val="restart"/>
            <w:tcBorders>
              <w:top w:val="single" w:color="auto" w:sz="12"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b/>
                <w:bCs/>
                <w:color w:val="auto"/>
                <w:sz w:val="21"/>
                <w:szCs w:val="21"/>
              </w:rPr>
            </w:pPr>
            <w:r>
              <w:rPr>
                <w:rFonts w:hint="eastAsia" w:cs="Times New Roman"/>
                <w:b/>
                <w:bCs/>
                <w:color w:val="auto"/>
                <w:sz w:val="21"/>
                <w:szCs w:val="21"/>
              </w:rPr>
              <w:t>植被型</w:t>
            </w:r>
          </w:p>
        </w:tc>
        <w:tc>
          <w:tcPr>
            <w:tcW w:w="1093" w:type="pct"/>
            <w:vMerge w:val="restart"/>
            <w:tcBorders>
              <w:top w:val="single" w:color="auto" w:sz="12"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b/>
                <w:bCs/>
                <w:color w:val="auto"/>
                <w:sz w:val="21"/>
                <w:szCs w:val="21"/>
              </w:rPr>
            </w:pPr>
            <w:r>
              <w:rPr>
                <w:rFonts w:hint="eastAsia" w:cs="Times New Roman"/>
                <w:b/>
                <w:bCs/>
                <w:color w:val="auto"/>
                <w:sz w:val="21"/>
                <w:szCs w:val="21"/>
              </w:rPr>
              <w:t>植被亚型</w:t>
            </w:r>
          </w:p>
        </w:tc>
        <w:tc>
          <w:tcPr>
            <w:tcW w:w="1348" w:type="pct"/>
            <w:vMerge w:val="restart"/>
            <w:tcBorders>
              <w:top w:val="single" w:color="auto" w:sz="12"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b/>
                <w:bCs/>
                <w:color w:val="auto"/>
                <w:sz w:val="21"/>
                <w:szCs w:val="21"/>
              </w:rPr>
            </w:pPr>
            <w:r>
              <w:rPr>
                <w:rFonts w:hint="eastAsia" w:cs="Times New Roman"/>
                <w:b/>
                <w:bCs/>
                <w:color w:val="auto"/>
                <w:sz w:val="21"/>
                <w:szCs w:val="21"/>
              </w:rPr>
              <w:t>群系</w:t>
            </w:r>
          </w:p>
        </w:tc>
        <w:tc>
          <w:tcPr>
            <w:tcW w:w="1262" w:type="pct"/>
            <w:gridSpan w:val="2"/>
            <w:tcBorders>
              <w:top w:val="single" w:color="auto" w:sz="12"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b/>
                <w:bCs/>
                <w:color w:val="auto"/>
                <w:sz w:val="21"/>
                <w:szCs w:val="21"/>
              </w:rPr>
            </w:pPr>
            <w:r>
              <w:rPr>
                <w:rFonts w:hint="eastAsia" w:cs="Times New Roman"/>
                <w:b/>
                <w:bCs/>
                <w:color w:val="auto"/>
                <w:sz w:val="21"/>
                <w:szCs w:val="21"/>
              </w:rPr>
              <w:t>评价区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397" w:hRule="atLeast"/>
          <w:jc w:val="center"/>
        </w:trPr>
        <w:tc>
          <w:tcPr>
            <w:tcW w:w="460" w:type="pct"/>
            <w:vMerge w:val="continue"/>
            <w:tcBorders>
              <w:top w:val="single" w:color="auto" w:sz="6" w:space="0"/>
              <w:left w:val="nil"/>
              <w:bottom w:val="single" w:color="auto" w:sz="12" w:space="0"/>
              <w:right w:val="single" w:color="auto" w:sz="6" w:space="0"/>
            </w:tcBorders>
            <w:noWrap w:val="0"/>
            <w:vAlign w:val="center"/>
          </w:tcPr>
          <w:p>
            <w:pPr>
              <w:snapToGrid w:val="0"/>
              <w:spacing w:line="240" w:lineRule="auto"/>
              <w:ind w:firstLine="0" w:firstLineChars="0"/>
              <w:jc w:val="center"/>
              <w:rPr>
                <w:rFonts w:hint="eastAsia" w:cs="Times New Roman"/>
                <w:b/>
                <w:bCs/>
                <w:color w:val="auto"/>
                <w:sz w:val="21"/>
                <w:szCs w:val="21"/>
              </w:rPr>
            </w:pPr>
          </w:p>
        </w:tc>
        <w:tc>
          <w:tcPr>
            <w:tcW w:w="835" w:type="pct"/>
            <w:vMerge w:val="continue"/>
            <w:tcBorders>
              <w:top w:val="single" w:color="auto" w:sz="6" w:space="0"/>
              <w:left w:val="single" w:color="auto" w:sz="6" w:space="0"/>
              <w:bottom w:val="single" w:color="auto" w:sz="12" w:space="0"/>
              <w:right w:val="single" w:color="auto" w:sz="6" w:space="0"/>
            </w:tcBorders>
            <w:noWrap w:val="0"/>
            <w:vAlign w:val="center"/>
          </w:tcPr>
          <w:p>
            <w:pPr>
              <w:snapToGrid w:val="0"/>
              <w:spacing w:line="240" w:lineRule="auto"/>
              <w:ind w:firstLine="0" w:firstLineChars="0"/>
              <w:jc w:val="center"/>
              <w:rPr>
                <w:rFonts w:hint="eastAsia" w:cs="Times New Roman"/>
                <w:b/>
                <w:bCs/>
                <w:color w:val="auto"/>
                <w:sz w:val="21"/>
                <w:szCs w:val="21"/>
              </w:rPr>
            </w:pPr>
          </w:p>
        </w:tc>
        <w:tc>
          <w:tcPr>
            <w:tcW w:w="1093" w:type="pct"/>
            <w:vMerge w:val="continue"/>
            <w:tcBorders>
              <w:top w:val="single" w:color="auto" w:sz="6" w:space="0"/>
              <w:left w:val="single" w:color="auto" w:sz="6" w:space="0"/>
              <w:bottom w:val="single" w:color="auto" w:sz="12" w:space="0"/>
              <w:right w:val="single" w:color="auto" w:sz="6" w:space="0"/>
            </w:tcBorders>
            <w:noWrap w:val="0"/>
            <w:vAlign w:val="center"/>
          </w:tcPr>
          <w:p>
            <w:pPr>
              <w:snapToGrid w:val="0"/>
              <w:spacing w:line="240" w:lineRule="auto"/>
              <w:ind w:firstLine="0" w:firstLineChars="0"/>
              <w:jc w:val="center"/>
              <w:rPr>
                <w:rFonts w:hint="eastAsia" w:cs="Times New Roman"/>
                <w:b/>
                <w:bCs/>
                <w:color w:val="auto"/>
                <w:sz w:val="21"/>
                <w:szCs w:val="21"/>
              </w:rPr>
            </w:pPr>
          </w:p>
        </w:tc>
        <w:tc>
          <w:tcPr>
            <w:tcW w:w="1348" w:type="pct"/>
            <w:vMerge w:val="continue"/>
            <w:tcBorders>
              <w:top w:val="single" w:color="auto" w:sz="6" w:space="0"/>
              <w:left w:val="single" w:color="auto" w:sz="6" w:space="0"/>
              <w:bottom w:val="single" w:color="auto" w:sz="12" w:space="0"/>
              <w:right w:val="single" w:color="auto" w:sz="6" w:space="0"/>
            </w:tcBorders>
            <w:noWrap w:val="0"/>
            <w:vAlign w:val="center"/>
          </w:tcPr>
          <w:p>
            <w:pPr>
              <w:snapToGrid w:val="0"/>
              <w:spacing w:line="240" w:lineRule="auto"/>
              <w:ind w:firstLine="0" w:firstLineChars="0"/>
              <w:jc w:val="center"/>
              <w:rPr>
                <w:rFonts w:hint="eastAsia" w:cs="Times New Roman"/>
                <w:b/>
                <w:bCs/>
                <w:color w:val="auto"/>
                <w:sz w:val="21"/>
                <w:szCs w:val="21"/>
              </w:rPr>
            </w:pPr>
          </w:p>
        </w:tc>
        <w:tc>
          <w:tcPr>
            <w:tcW w:w="672" w:type="pct"/>
            <w:tcBorders>
              <w:top w:val="single" w:color="auto" w:sz="6" w:space="0"/>
              <w:left w:val="single" w:color="auto" w:sz="6" w:space="0"/>
              <w:bottom w:val="single" w:color="auto" w:sz="12" w:space="0"/>
              <w:right w:val="single" w:color="auto" w:sz="6" w:space="0"/>
            </w:tcBorders>
            <w:noWrap w:val="0"/>
            <w:vAlign w:val="center"/>
          </w:tcPr>
          <w:p>
            <w:pPr>
              <w:snapToGrid w:val="0"/>
              <w:spacing w:line="240" w:lineRule="auto"/>
              <w:ind w:firstLine="0" w:firstLineChars="0"/>
              <w:jc w:val="center"/>
              <w:rPr>
                <w:rFonts w:hint="eastAsia" w:cs="Times New Roman"/>
                <w:b/>
                <w:bCs/>
                <w:color w:val="auto"/>
                <w:sz w:val="21"/>
                <w:szCs w:val="21"/>
              </w:rPr>
            </w:pPr>
            <w:r>
              <w:rPr>
                <w:rFonts w:hint="eastAsia" w:cs="Times New Roman"/>
                <w:b/>
                <w:bCs/>
                <w:color w:val="auto"/>
                <w:sz w:val="21"/>
                <w:szCs w:val="21"/>
              </w:rPr>
              <w:t>面积(km</w:t>
            </w:r>
            <w:r>
              <w:rPr>
                <w:rFonts w:hint="eastAsia" w:cs="Times New Roman"/>
                <w:b/>
                <w:bCs/>
                <w:color w:val="auto"/>
                <w:sz w:val="21"/>
                <w:szCs w:val="21"/>
                <w:vertAlign w:val="superscript"/>
              </w:rPr>
              <w:t>2</w:t>
            </w:r>
            <w:r>
              <w:rPr>
                <w:rFonts w:hint="eastAsia" w:cs="Times New Roman"/>
                <w:b/>
                <w:bCs/>
                <w:color w:val="auto"/>
                <w:sz w:val="21"/>
                <w:szCs w:val="21"/>
              </w:rPr>
              <w:t>)</w:t>
            </w:r>
          </w:p>
        </w:tc>
        <w:tc>
          <w:tcPr>
            <w:tcW w:w="589" w:type="pct"/>
            <w:tcBorders>
              <w:top w:val="single" w:color="auto" w:sz="6" w:space="0"/>
              <w:left w:val="single" w:color="auto" w:sz="6" w:space="0"/>
              <w:bottom w:val="single" w:color="auto" w:sz="12" w:space="0"/>
              <w:right w:val="nil"/>
            </w:tcBorders>
            <w:noWrap w:val="0"/>
            <w:vAlign w:val="center"/>
          </w:tcPr>
          <w:p>
            <w:pPr>
              <w:snapToGrid w:val="0"/>
              <w:spacing w:line="240" w:lineRule="auto"/>
              <w:ind w:firstLine="0" w:firstLineChars="0"/>
              <w:jc w:val="center"/>
              <w:rPr>
                <w:rFonts w:hint="eastAsia" w:cs="Times New Roman"/>
                <w:b/>
                <w:bCs/>
                <w:color w:val="auto"/>
                <w:sz w:val="21"/>
                <w:szCs w:val="21"/>
              </w:rPr>
            </w:pPr>
            <w:r>
              <w:rPr>
                <w:rFonts w:hint="eastAsia" w:cs="Times New Roman"/>
                <w:b/>
                <w:bCs/>
                <w:color w:val="auto"/>
                <w:sz w:val="21"/>
                <w:szCs w:val="21"/>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397" w:hRule="atLeast"/>
          <w:jc w:val="center"/>
        </w:trPr>
        <w:tc>
          <w:tcPr>
            <w:tcW w:w="460" w:type="pct"/>
            <w:tcBorders>
              <w:top w:val="single" w:color="auto" w:sz="12"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阔叶林</w:t>
            </w:r>
          </w:p>
        </w:tc>
        <w:tc>
          <w:tcPr>
            <w:tcW w:w="835" w:type="pct"/>
            <w:tcBorders>
              <w:top w:val="single" w:color="auto" w:sz="12"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落叶阔叶林</w:t>
            </w:r>
          </w:p>
        </w:tc>
        <w:tc>
          <w:tcPr>
            <w:tcW w:w="1093" w:type="pct"/>
            <w:tcBorders>
              <w:top w:val="single" w:color="auto" w:sz="12"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典型落叶阔叶林</w:t>
            </w:r>
          </w:p>
        </w:tc>
        <w:tc>
          <w:tcPr>
            <w:tcW w:w="1348" w:type="pct"/>
            <w:tcBorders>
              <w:top w:val="single" w:color="auto" w:sz="12"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栓皮栎、桦木阔叶林</w:t>
            </w:r>
          </w:p>
        </w:tc>
        <w:tc>
          <w:tcPr>
            <w:tcW w:w="672" w:type="pct"/>
            <w:tcBorders>
              <w:top w:val="single" w:color="auto" w:sz="12"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12.4914</w:t>
            </w:r>
          </w:p>
        </w:tc>
        <w:tc>
          <w:tcPr>
            <w:tcW w:w="589" w:type="pct"/>
            <w:tcBorders>
              <w:top w:val="single" w:color="auto" w:sz="12"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25.46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397" w:hRule="atLeast"/>
          <w:jc w:val="center"/>
        </w:trPr>
        <w:tc>
          <w:tcPr>
            <w:tcW w:w="460" w:type="pct"/>
            <w:tcBorders>
              <w:top w:val="single" w:color="auto" w:sz="6"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针叶林</w:t>
            </w:r>
          </w:p>
        </w:tc>
        <w:tc>
          <w:tcPr>
            <w:tcW w:w="835"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常绿针叶林</w:t>
            </w:r>
          </w:p>
        </w:tc>
        <w:tc>
          <w:tcPr>
            <w:tcW w:w="1093"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温性常绿针叶林</w:t>
            </w:r>
          </w:p>
        </w:tc>
        <w:tc>
          <w:tcPr>
            <w:tcW w:w="1348"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马尾松、杉木针叶林</w:t>
            </w:r>
          </w:p>
        </w:tc>
        <w:tc>
          <w:tcPr>
            <w:tcW w:w="672"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5.0558</w:t>
            </w:r>
          </w:p>
        </w:tc>
        <w:tc>
          <w:tcPr>
            <w:tcW w:w="589" w:type="pct"/>
            <w:tcBorders>
              <w:top w:val="single" w:color="auto" w:sz="6"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10.30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397" w:hRule="atLeast"/>
          <w:jc w:val="center"/>
        </w:trPr>
        <w:tc>
          <w:tcPr>
            <w:tcW w:w="460" w:type="pct"/>
            <w:vMerge w:val="restart"/>
            <w:tcBorders>
              <w:top w:val="single" w:color="auto" w:sz="6"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灌丛</w:t>
            </w:r>
          </w:p>
        </w:tc>
        <w:tc>
          <w:tcPr>
            <w:tcW w:w="835" w:type="pct"/>
            <w:vMerge w:val="restar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落叶灌丛</w:t>
            </w:r>
          </w:p>
        </w:tc>
        <w:tc>
          <w:tcPr>
            <w:tcW w:w="1093" w:type="pct"/>
            <w:vMerge w:val="restar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温性落叶阔叶灌丛</w:t>
            </w:r>
          </w:p>
        </w:tc>
        <w:tc>
          <w:tcPr>
            <w:tcW w:w="1348"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马桑、火棘灌丛</w:t>
            </w:r>
          </w:p>
        </w:tc>
        <w:tc>
          <w:tcPr>
            <w:tcW w:w="672"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5.8348</w:t>
            </w:r>
          </w:p>
        </w:tc>
        <w:tc>
          <w:tcPr>
            <w:tcW w:w="589" w:type="pct"/>
            <w:tcBorders>
              <w:top w:val="single" w:color="auto" w:sz="6"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11.89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397" w:hRule="atLeast"/>
          <w:jc w:val="center"/>
        </w:trPr>
        <w:tc>
          <w:tcPr>
            <w:tcW w:w="460" w:type="pct"/>
            <w:vMerge w:val="continue"/>
            <w:tcBorders>
              <w:top w:val="single" w:color="auto" w:sz="6"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p>
        </w:tc>
        <w:tc>
          <w:tcPr>
            <w:tcW w:w="835" w:type="pct"/>
            <w:vMerge w:val="continue"/>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p>
        </w:tc>
        <w:tc>
          <w:tcPr>
            <w:tcW w:w="1093" w:type="pct"/>
            <w:vMerge w:val="continue"/>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p>
        </w:tc>
        <w:tc>
          <w:tcPr>
            <w:tcW w:w="1348"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胡枝子、黄栌灌丛</w:t>
            </w:r>
          </w:p>
        </w:tc>
        <w:tc>
          <w:tcPr>
            <w:tcW w:w="672"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3.4087</w:t>
            </w:r>
          </w:p>
        </w:tc>
        <w:tc>
          <w:tcPr>
            <w:tcW w:w="589" w:type="pct"/>
            <w:tcBorders>
              <w:top w:val="single" w:color="auto" w:sz="6"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6.95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397" w:hRule="atLeast"/>
          <w:jc w:val="center"/>
        </w:trPr>
        <w:tc>
          <w:tcPr>
            <w:tcW w:w="460" w:type="pct"/>
            <w:vMerge w:val="restart"/>
            <w:tcBorders>
              <w:top w:val="single" w:color="auto" w:sz="6"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草甸</w:t>
            </w:r>
          </w:p>
        </w:tc>
        <w:tc>
          <w:tcPr>
            <w:tcW w:w="835" w:type="pct"/>
            <w:vMerge w:val="restar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温性草甸</w:t>
            </w:r>
          </w:p>
        </w:tc>
        <w:tc>
          <w:tcPr>
            <w:tcW w:w="1093" w:type="pct"/>
            <w:vMerge w:val="restar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山地丘陵温性草甸</w:t>
            </w:r>
          </w:p>
        </w:tc>
        <w:tc>
          <w:tcPr>
            <w:tcW w:w="1348"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白茅、龙须草杂类草丛</w:t>
            </w:r>
          </w:p>
        </w:tc>
        <w:tc>
          <w:tcPr>
            <w:tcW w:w="672"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3.3549</w:t>
            </w:r>
          </w:p>
        </w:tc>
        <w:tc>
          <w:tcPr>
            <w:tcW w:w="589" w:type="pct"/>
            <w:tcBorders>
              <w:top w:val="single" w:color="auto" w:sz="6"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6.84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397" w:hRule="atLeast"/>
          <w:jc w:val="center"/>
        </w:trPr>
        <w:tc>
          <w:tcPr>
            <w:tcW w:w="460" w:type="pct"/>
            <w:vMerge w:val="continue"/>
            <w:tcBorders>
              <w:top w:val="single" w:color="auto" w:sz="6"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p>
        </w:tc>
        <w:tc>
          <w:tcPr>
            <w:tcW w:w="835" w:type="pct"/>
            <w:vMerge w:val="continue"/>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p>
        </w:tc>
        <w:tc>
          <w:tcPr>
            <w:tcW w:w="1093" w:type="pct"/>
            <w:vMerge w:val="continue"/>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p>
        </w:tc>
        <w:tc>
          <w:tcPr>
            <w:tcW w:w="1348"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芒、大披针苔杂类草丛</w:t>
            </w:r>
          </w:p>
        </w:tc>
        <w:tc>
          <w:tcPr>
            <w:tcW w:w="672"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1.1697</w:t>
            </w:r>
          </w:p>
        </w:tc>
        <w:tc>
          <w:tcPr>
            <w:tcW w:w="589" w:type="pct"/>
            <w:tcBorders>
              <w:top w:val="single" w:color="auto" w:sz="6"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2.38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397" w:hRule="atLeast"/>
          <w:jc w:val="center"/>
        </w:trPr>
        <w:tc>
          <w:tcPr>
            <w:tcW w:w="3737" w:type="pct"/>
            <w:gridSpan w:val="4"/>
            <w:tcBorders>
              <w:top w:val="single" w:color="auto" w:sz="6"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农作物</w:t>
            </w:r>
          </w:p>
        </w:tc>
        <w:tc>
          <w:tcPr>
            <w:tcW w:w="672"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10.2617</w:t>
            </w:r>
          </w:p>
        </w:tc>
        <w:tc>
          <w:tcPr>
            <w:tcW w:w="589" w:type="pct"/>
            <w:tcBorders>
              <w:top w:val="single" w:color="auto" w:sz="6"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20.92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397" w:hRule="atLeast"/>
          <w:jc w:val="center"/>
        </w:trPr>
        <w:tc>
          <w:tcPr>
            <w:tcW w:w="3737" w:type="pct"/>
            <w:gridSpan w:val="4"/>
            <w:tcBorders>
              <w:top w:val="single" w:color="auto" w:sz="6"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非植被区</w:t>
            </w:r>
          </w:p>
        </w:tc>
        <w:tc>
          <w:tcPr>
            <w:tcW w:w="672"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7.4854</w:t>
            </w:r>
          </w:p>
        </w:tc>
        <w:tc>
          <w:tcPr>
            <w:tcW w:w="589" w:type="pct"/>
            <w:tcBorders>
              <w:top w:val="single" w:color="auto" w:sz="6"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 xml:space="preserve">15.26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397" w:hRule="atLeast"/>
          <w:jc w:val="center"/>
        </w:trPr>
        <w:tc>
          <w:tcPr>
            <w:tcW w:w="3737" w:type="pct"/>
            <w:gridSpan w:val="4"/>
            <w:tcBorders>
              <w:top w:val="single" w:color="auto" w:sz="6" w:space="0"/>
              <w:left w:val="nil"/>
              <w:bottom w:val="single" w:color="auto" w:sz="12"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合计</w:t>
            </w:r>
          </w:p>
        </w:tc>
        <w:tc>
          <w:tcPr>
            <w:tcW w:w="672" w:type="pct"/>
            <w:tcBorders>
              <w:top w:val="single" w:color="auto" w:sz="6" w:space="0"/>
              <w:left w:val="single" w:color="auto" w:sz="6" w:space="0"/>
              <w:bottom w:val="single" w:color="auto" w:sz="12"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fldChar w:fldCharType="begin"/>
            </w:r>
            <w:r>
              <w:rPr>
                <w:rFonts w:hint="eastAsia" w:cs="Times New Roman"/>
                <w:color w:val="auto"/>
                <w:sz w:val="21"/>
                <w:szCs w:val="21"/>
              </w:rPr>
              <w:instrText xml:space="preserve"> =SUM(ABOVE) </w:instrText>
            </w:r>
            <w:r>
              <w:rPr>
                <w:rFonts w:hint="eastAsia" w:cs="Times New Roman"/>
                <w:color w:val="auto"/>
                <w:sz w:val="21"/>
                <w:szCs w:val="21"/>
              </w:rPr>
              <w:fldChar w:fldCharType="separate"/>
            </w:r>
            <w:r>
              <w:rPr>
                <w:rFonts w:hint="eastAsia" w:cs="Times New Roman"/>
                <w:color w:val="auto"/>
                <w:sz w:val="21"/>
                <w:szCs w:val="21"/>
              </w:rPr>
              <w:t>49.0624</w:t>
            </w:r>
            <w:r>
              <w:rPr>
                <w:rFonts w:hint="eastAsia" w:cs="Times New Roman"/>
                <w:color w:val="auto"/>
                <w:sz w:val="21"/>
                <w:szCs w:val="21"/>
              </w:rPr>
              <w:fldChar w:fldCharType="end"/>
            </w:r>
          </w:p>
        </w:tc>
        <w:tc>
          <w:tcPr>
            <w:tcW w:w="589" w:type="pct"/>
            <w:tcBorders>
              <w:top w:val="single" w:color="auto" w:sz="6" w:space="0"/>
              <w:left w:val="single" w:color="auto" w:sz="6" w:space="0"/>
              <w:bottom w:val="single" w:color="auto" w:sz="12"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fldChar w:fldCharType="begin"/>
            </w:r>
            <w:r>
              <w:rPr>
                <w:rFonts w:hint="eastAsia" w:cs="Times New Roman"/>
                <w:color w:val="auto"/>
                <w:sz w:val="21"/>
                <w:szCs w:val="21"/>
              </w:rPr>
              <w:instrText xml:space="preserve"> =SUM(ABOVE) </w:instrText>
            </w:r>
            <w:r>
              <w:rPr>
                <w:rFonts w:hint="eastAsia" w:cs="Times New Roman"/>
                <w:color w:val="auto"/>
                <w:sz w:val="21"/>
                <w:szCs w:val="21"/>
              </w:rPr>
              <w:fldChar w:fldCharType="separate"/>
            </w:r>
            <w:r>
              <w:rPr>
                <w:rFonts w:hint="eastAsia" w:cs="Times New Roman"/>
                <w:color w:val="auto"/>
                <w:sz w:val="21"/>
                <w:szCs w:val="21"/>
              </w:rPr>
              <w:t>100</w:t>
            </w:r>
            <w:r>
              <w:rPr>
                <w:rFonts w:hint="eastAsia" w:cs="Times New Roman"/>
                <w:color w:val="auto"/>
                <w:sz w:val="21"/>
                <w:szCs w:val="21"/>
              </w:rPr>
              <w:fldChar w:fldCharType="end"/>
            </w:r>
          </w:p>
        </w:tc>
      </w:tr>
    </w:tbl>
    <w:p>
      <w:pPr>
        <w:snapToGrid w:val="0"/>
        <w:spacing w:line="240" w:lineRule="auto"/>
        <w:ind w:firstLine="482"/>
        <w:jc w:val="center"/>
        <w:rPr>
          <w:b/>
          <w:bCs/>
          <w:color w:val="auto"/>
        </w:rPr>
      </w:pPr>
    </w:p>
    <w:p>
      <w:pPr>
        <w:pStyle w:val="195"/>
        <w:spacing w:line="360" w:lineRule="auto"/>
        <w:rPr>
          <w:rFonts w:eastAsiaTheme="minorEastAsia"/>
          <w:color w:val="auto"/>
        </w:rPr>
        <w:sectPr>
          <w:pgSz w:w="16838" w:h="11906" w:orient="landscape"/>
          <w:pgMar w:top="1418" w:right="1418" w:bottom="1531" w:left="1418" w:header="851" w:footer="851" w:gutter="0"/>
          <w:pgBorders>
            <w:top w:val="none" w:sz="0" w:space="0"/>
            <w:left w:val="none" w:sz="0" w:space="0"/>
            <w:bottom w:val="none" w:sz="0" w:space="0"/>
            <w:right w:val="none" w:sz="0" w:space="0"/>
          </w:pgBorders>
          <w:cols w:space="0" w:num="1"/>
          <w:docGrid w:type="lines" w:linePitch="400" w:charSpace="0"/>
        </w:sectPr>
      </w:pPr>
    </w:p>
    <w:p>
      <w:pPr>
        <w:pStyle w:val="4"/>
        <w:numPr>
          <w:ilvl w:val="2"/>
          <w:numId w:val="0"/>
        </w:numPr>
        <w:snapToGrid w:val="0"/>
        <w:ind w:firstLine="480" w:firstLineChars="200"/>
        <w:rPr>
          <w:rFonts w:cs="Times New Roman"/>
          <w:color w:val="auto"/>
        </w:rPr>
      </w:pPr>
      <w:r>
        <w:rPr>
          <w:rFonts w:cs="Times New Roman"/>
          <w:color w:val="auto"/>
        </w:rPr>
        <w:t>4.3.3</w:t>
      </w:r>
      <w:r>
        <w:rPr>
          <w:rFonts w:hint="eastAsia" w:cs="Times New Roman"/>
          <w:color w:val="auto"/>
        </w:rPr>
        <w:t>生态环境现状</w:t>
      </w:r>
    </w:p>
    <w:p>
      <w:pPr>
        <w:pStyle w:val="195"/>
        <w:spacing w:line="360" w:lineRule="auto"/>
        <w:outlineLvl w:val="3"/>
        <w:rPr>
          <w:rFonts w:eastAsiaTheme="minorEastAsia"/>
          <w:color w:val="auto"/>
        </w:rPr>
      </w:pPr>
      <w:r>
        <w:rPr>
          <w:rFonts w:hint="eastAsia" w:eastAsiaTheme="minorEastAsia"/>
          <w:color w:val="auto"/>
        </w:rPr>
        <w:t>1.陆生植物</w:t>
      </w:r>
    </w:p>
    <w:p>
      <w:pPr>
        <w:pStyle w:val="195"/>
        <w:spacing w:line="360" w:lineRule="auto"/>
        <w:rPr>
          <w:rFonts w:eastAsiaTheme="minorEastAsia"/>
          <w:color w:val="auto"/>
        </w:rPr>
      </w:pPr>
      <w:r>
        <w:rPr>
          <w:rFonts w:hint="eastAsia" w:eastAsiaTheme="minorEastAsia"/>
          <w:color w:val="auto"/>
        </w:rPr>
        <w:t>（1）植被类型</w:t>
      </w:r>
    </w:p>
    <w:p>
      <w:pPr>
        <w:pStyle w:val="195"/>
        <w:spacing w:line="360" w:lineRule="auto"/>
        <w:rPr>
          <w:rFonts w:eastAsiaTheme="minorEastAsia"/>
          <w:color w:val="auto"/>
        </w:rPr>
      </w:pPr>
      <w:r>
        <w:rPr>
          <w:rFonts w:hint="eastAsia" w:eastAsiaTheme="minorEastAsia"/>
          <w:color w:val="auto"/>
        </w:rPr>
        <w:t>岚皋县位于我国南北过渡地带，植被丰茂，种类繁杂，成分丰富多彩，垂直差异明显，有“生物基因库”之称。</w:t>
      </w:r>
    </w:p>
    <w:p>
      <w:pPr>
        <w:pStyle w:val="195"/>
        <w:spacing w:line="360" w:lineRule="auto"/>
        <w:rPr>
          <w:rFonts w:eastAsiaTheme="minorEastAsia"/>
          <w:color w:val="auto"/>
        </w:rPr>
      </w:pPr>
      <w:r>
        <w:rPr>
          <w:rFonts w:hint="eastAsia" w:eastAsiaTheme="minorEastAsia"/>
          <w:color w:val="auto"/>
        </w:rPr>
        <w:t>项目区主要涉及岚皋县佐龙镇、城关镇、蔺河镇、南宫山镇、孟石岭镇，评价区主要的植被类型为阔叶林、针叶林、灌丛、草甸，集中非植被区主要为公路和河流等。阔叶林主要为栓皮栎、桦木阔叶林等。灌丛主要为马桑、火棘灌丛，胡枝子、黄栌灌丛，针叶林主要为马尾松、杉木针叶林</w:t>
      </w:r>
      <w:r>
        <w:rPr>
          <w:rFonts w:hint="eastAsia" w:eastAsiaTheme="minorEastAsia"/>
          <w:color w:val="auto"/>
          <w:lang w:eastAsia="zh-CN"/>
        </w:rPr>
        <w:t>，</w:t>
      </w:r>
      <w:r>
        <w:rPr>
          <w:rFonts w:hint="eastAsia" w:eastAsiaTheme="minorEastAsia"/>
          <w:color w:val="auto"/>
        </w:rPr>
        <w:t>草甸主要为白茅、龙须草杂类草丛</w:t>
      </w:r>
      <w:r>
        <w:rPr>
          <w:rFonts w:hint="eastAsia" w:eastAsiaTheme="minorEastAsia"/>
          <w:color w:val="auto"/>
          <w:lang w:eastAsia="zh-CN"/>
        </w:rPr>
        <w:t>、芒、大披针苔杂类草丛</w:t>
      </w:r>
      <w:r>
        <w:rPr>
          <w:rFonts w:hint="eastAsia" w:eastAsiaTheme="minorEastAsia"/>
          <w:color w:val="auto"/>
        </w:rPr>
        <w:t>。栽培植被主要为农作物、果树等。通过遥感解译各项目区评价范围内的植被类型见表4</w:t>
      </w:r>
      <w:r>
        <w:rPr>
          <w:rFonts w:eastAsiaTheme="minorEastAsia"/>
          <w:color w:val="auto"/>
        </w:rPr>
        <w:t>.3</w:t>
      </w:r>
      <w:r>
        <w:rPr>
          <w:rFonts w:hint="eastAsia" w:eastAsiaTheme="minorEastAsia"/>
          <w:color w:val="auto"/>
        </w:rPr>
        <w:t>-</w:t>
      </w:r>
      <w:r>
        <w:rPr>
          <w:rFonts w:eastAsiaTheme="minorEastAsia"/>
          <w:color w:val="auto"/>
        </w:rPr>
        <w:t>3</w:t>
      </w:r>
      <w:r>
        <w:rPr>
          <w:rFonts w:hint="eastAsia" w:eastAsiaTheme="minorEastAsia"/>
          <w:color w:val="auto"/>
        </w:rPr>
        <w:t>。</w:t>
      </w:r>
    </w:p>
    <w:p>
      <w:pPr>
        <w:pStyle w:val="195"/>
        <w:spacing w:line="360" w:lineRule="auto"/>
        <w:rPr>
          <w:rFonts w:eastAsiaTheme="minorEastAsia"/>
          <w:color w:val="auto"/>
        </w:rPr>
      </w:pPr>
      <w:r>
        <w:rPr>
          <w:rFonts w:hint="eastAsia" w:eastAsiaTheme="minorEastAsia"/>
          <w:color w:val="auto"/>
        </w:rPr>
        <w:t>（2）植被样方调查</w:t>
      </w:r>
    </w:p>
    <w:p>
      <w:pPr>
        <w:pStyle w:val="195"/>
        <w:spacing w:line="360" w:lineRule="auto"/>
        <w:rPr>
          <w:rFonts w:eastAsiaTheme="minorEastAsia"/>
          <w:color w:val="auto"/>
        </w:rPr>
      </w:pPr>
      <w:r>
        <w:rPr>
          <w:rFonts w:hint="eastAsia" w:eastAsiaTheme="minorEastAsia"/>
          <w:color w:val="auto"/>
        </w:rPr>
        <w:t>根据《环境影响评价技术导则 生态影响》（H</w:t>
      </w:r>
      <w:r>
        <w:rPr>
          <w:rFonts w:eastAsiaTheme="minorEastAsia"/>
          <w:color w:val="auto"/>
        </w:rPr>
        <w:t>J19</w:t>
      </w:r>
      <w:r>
        <w:rPr>
          <w:rFonts w:hint="eastAsia" w:eastAsiaTheme="minorEastAsia"/>
          <w:color w:val="auto"/>
        </w:rPr>
        <w:t>-</w:t>
      </w:r>
      <w:r>
        <w:rPr>
          <w:rFonts w:eastAsiaTheme="minorEastAsia"/>
          <w:color w:val="auto"/>
        </w:rPr>
        <w:t>2022</w:t>
      </w:r>
      <w:r>
        <w:rPr>
          <w:rFonts w:hint="eastAsia" w:eastAsiaTheme="minorEastAsia"/>
          <w:color w:val="auto"/>
        </w:rPr>
        <w:t>），二级评级需开展样方调查。本次环评对</w:t>
      </w:r>
      <w:r>
        <w:rPr>
          <w:rFonts w:hint="eastAsia" w:eastAsiaTheme="minorEastAsia"/>
          <w:color w:val="auto"/>
          <w:lang w:val="en-US" w:eastAsia="zh-CN"/>
        </w:rPr>
        <w:t>岚河</w:t>
      </w:r>
      <w:r>
        <w:rPr>
          <w:rFonts w:hint="eastAsia" w:eastAsiaTheme="minorEastAsia"/>
          <w:color w:val="auto"/>
        </w:rPr>
        <w:t>工程区评级范围内的植被进行样方调查。调查时间为</w:t>
      </w:r>
      <w:r>
        <w:rPr>
          <w:rFonts w:eastAsiaTheme="minorEastAsia"/>
          <w:color w:val="auto"/>
        </w:rPr>
        <w:t>2023</w:t>
      </w:r>
      <w:r>
        <w:rPr>
          <w:rFonts w:hint="eastAsia" w:eastAsiaTheme="minorEastAsia"/>
          <w:color w:val="auto"/>
        </w:rPr>
        <w:t>年</w:t>
      </w:r>
      <w:r>
        <w:rPr>
          <w:rFonts w:hint="eastAsia" w:eastAsiaTheme="minorEastAsia"/>
          <w:color w:val="auto"/>
          <w:lang w:val="en-US" w:eastAsia="zh-CN"/>
        </w:rPr>
        <w:t>11</w:t>
      </w:r>
      <w:r>
        <w:rPr>
          <w:rFonts w:hint="eastAsia" w:eastAsiaTheme="minorEastAsia"/>
          <w:color w:val="auto"/>
        </w:rPr>
        <w:t>月。</w:t>
      </w:r>
    </w:p>
    <w:p>
      <w:pPr>
        <w:pStyle w:val="195"/>
        <w:spacing w:line="360" w:lineRule="auto"/>
        <w:rPr>
          <w:rFonts w:eastAsiaTheme="minorEastAsia"/>
          <w:color w:val="auto"/>
        </w:rPr>
      </w:pPr>
      <w:r>
        <w:rPr>
          <w:rFonts w:hint="eastAsia" w:eastAsiaTheme="minorEastAsia"/>
          <w:color w:val="auto"/>
        </w:rPr>
        <w:t>在项目评价区附近随机选择踏查点，沿点两侧各</w:t>
      </w:r>
      <w:r>
        <w:rPr>
          <w:rFonts w:eastAsiaTheme="minorEastAsia"/>
          <w:color w:val="auto"/>
        </w:rPr>
        <w:t>1m</w:t>
      </w:r>
      <w:r>
        <w:rPr>
          <w:rFonts w:hint="eastAsia" w:eastAsiaTheme="minorEastAsia"/>
          <w:color w:val="auto"/>
        </w:rPr>
        <w:t>范围内对植物种类进行踏查，记录所见的植物种类。按照不同的植被特点采用随机取样法设置样方。共设置</w:t>
      </w:r>
      <w:r>
        <w:rPr>
          <w:rFonts w:eastAsiaTheme="minorEastAsia"/>
          <w:color w:val="auto"/>
        </w:rPr>
        <w:t>3</w:t>
      </w:r>
      <w:r>
        <w:rPr>
          <w:rFonts w:hint="eastAsia" w:eastAsiaTheme="minorEastAsia"/>
          <w:color w:val="auto"/>
        </w:rPr>
        <w:t>个样方，其中，草本样方1个，采用</w:t>
      </w:r>
      <w:r>
        <w:rPr>
          <w:rFonts w:eastAsiaTheme="minorEastAsia"/>
          <w:color w:val="auto"/>
        </w:rPr>
        <w:t>1m</w:t>
      </w:r>
      <w:r>
        <w:rPr>
          <w:rFonts w:hint="eastAsia" w:eastAsiaTheme="minorEastAsia"/>
          <w:color w:val="auto"/>
        </w:rPr>
        <w:t>×</w:t>
      </w:r>
      <w:r>
        <w:rPr>
          <w:rFonts w:eastAsiaTheme="minorEastAsia"/>
          <w:color w:val="auto"/>
        </w:rPr>
        <w:t>1m</w:t>
      </w:r>
      <w:r>
        <w:rPr>
          <w:rFonts w:hint="eastAsia" w:eastAsiaTheme="minorEastAsia"/>
          <w:color w:val="auto"/>
        </w:rPr>
        <w:t>规格；灌木样方1个，采用</w:t>
      </w:r>
      <w:r>
        <w:rPr>
          <w:rFonts w:eastAsiaTheme="minorEastAsia"/>
          <w:color w:val="auto"/>
        </w:rPr>
        <w:t>10m</w:t>
      </w:r>
      <w:r>
        <w:rPr>
          <w:rFonts w:hint="eastAsia" w:eastAsiaTheme="minorEastAsia"/>
          <w:color w:val="auto"/>
        </w:rPr>
        <w:t>×</w:t>
      </w:r>
      <w:r>
        <w:rPr>
          <w:rFonts w:eastAsiaTheme="minorEastAsia"/>
          <w:color w:val="auto"/>
        </w:rPr>
        <w:t>10m</w:t>
      </w:r>
      <w:r>
        <w:rPr>
          <w:rFonts w:hint="eastAsia" w:eastAsiaTheme="minorEastAsia"/>
          <w:color w:val="auto"/>
        </w:rPr>
        <w:t>规格；乔木样方1个，采用</w:t>
      </w:r>
      <w:r>
        <w:rPr>
          <w:rFonts w:eastAsiaTheme="minorEastAsia"/>
          <w:color w:val="auto"/>
        </w:rPr>
        <w:t>100m</w:t>
      </w:r>
      <w:r>
        <w:rPr>
          <w:rFonts w:hint="eastAsia" w:eastAsiaTheme="minorEastAsia"/>
          <w:color w:val="auto"/>
        </w:rPr>
        <w:t>×</w:t>
      </w:r>
      <w:r>
        <w:rPr>
          <w:rFonts w:eastAsiaTheme="minorEastAsia"/>
          <w:color w:val="auto"/>
        </w:rPr>
        <w:t>100m</w:t>
      </w:r>
      <w:r>
        <w:rPr>
          <w:rFonts w:hint="eastAsia" w:eastAsiaTheme="minorEastAsia"/>
          <w:color w:val="auto"/>
        </w:rPr>
        <w:t>规格。</w:t>
      </w:r>
    </w:p>
    <w:p>
      <w:pPr>
        <w:pStyle w:val="195"/>
        <w:spacing w:line="360" w:lineRule="auto"/>
        <w:rPr>
          <w:rFonts w:eastAsiaTheme="minorEastAsia"/>
          <w:color w:val="auto"/>
        </w:rPr>
      </w:pPr>
      <w:r>
        <w:rPr>
          <w:rFonts w:hint="eastAsia" w:eastAsiaTheme="minorEastAsia"/>
          <w:color w:val="auto"/>
        </w:rPr>
        <w:t>现场调查和资料查阅共记录到</w:t>
      </w:r>
      <w:r>
        <w:rPr>
          <w:rFonts w:hint="eastAsia" w:eastAsiaTheme="minorEastAsia"/>
          <w:color w:val="auto"/>
          <w:lang w:val="en-US" w:eastAsia="zh-CN"/>
        </w:rPr>
        <w:t>南宫山</w:t>
      </w:r>
      <w:r>
        <w:rPr>
          <w:rFonts w:hint="eastAsia" w:eastAsiaTheme="minorEastAsia"/>
          <w:color w:val="auto"/>
        </w:rPr>
        <w:t>镇评价范围内，以单子叶植物中禾本科植物占优势；双子叶植物中，以菊科植物占优势。</w:t>
      </w:r>
    </w:p>
    <w:p>
      <w:pPr>
        <w:pStyle w:val="195"/>
        <w:spacing w:line="360" w:lineRule="auto"/>
        <w:rPr>
          <w:rFonts w:eastAsiaTheme="minorEastAsia"/>
          <w:color w:val="auto"/>
        </w:rPr>
      </w:pPr>
      <w:r>
        <w:rPr>
          <w:rFonts w:eastAsiaTheme="minorEastAsia"/>
          <w:color w:val="auto"/>
        </w:rPr>
        <w:t>乔木层的栓皮栎为建群种。乔木层中伴生的树种有麻栎、短柄枹、构树。灌木层的优势种是马桑、火棘、荆条等。草本层的优势种是白茅草、龙须草、狗尾草等。常见藤本植物有葛麻藤、悬钩子葛藤等。</w:t>
      </w:r>
    </w:p>
    <w:p>
      <w:pPr>
        <w:pStyle w:val="195"/>
        <w:spacing w:line="360" w:lineRule="auto"/>
        <w:rPr>
          <w:rFonts w:eastAsiaTheme="minorEastAsia"/>
          <w:color w:val="auto"/>
        </w:rPr>
      </w:pPr>
      <w:r>
        <w:rPr>
          <w:rFonts w:eastAsiaTheme="minorEastAsia"/>
          <w:color w:val="auto"/>
        </w:rPr>
        <w:t>麻栎林结构简单，乔木层除建群种麻栎外，优势种有栓皮栎、短柄枹树、化香树等。灌木层较稀疏，优势种是马桑、火棘、荆条、胡枝子、盐肤木等。</w:t>
      </w:r>
    </w:p>
    <w:p>
      <w:pPr>
        <w:pStyle w:val="195"/>
        <w:spacing w:line="360" w:lineRule="auto"/>
        <w:rPr>
          <w:rFonts w:eastAsiaTheme="minorEastAsia"/>
          <w:color w:val="auto"/>
        </w:rPr>
      </w:pPr>
      <w:r>
        <w:rPr>
          <w:rFonts w:eastAsiaTheme="minorEastAsia"/>
          <w:color w:val="auto"/>
        </w:rPr>
        <w:t>马尾松：在项目周边地区内马尾松林主要分布在阳面山坡上。其乔木层的建群种主要为马尾松；灌木层的优势种为马桑、荆条、盐肤木、马棘等为常见的伴生种。草本层的优势种为白羊草、黄背草、龙须草等。</w:t>
      </w:r>
    </w:p>
    <w:p>
      <w:pPr>
        <w:pStyle w:val="195"/>
        <w:spacing w:line="360" w:lineRule="auto"/>
        <w:rPr>
          <w:rFonts w:eastAsiaTheme="minorEastAsia"/>
          <w:color w:val="auto"/>
        </w:rPr>
      </w:pPr>
      <w:r>
        <w:rPr>
          <w:rFonts w:eastAsiaTheme="minorEastAsia"/>
          <w:color w:val="auto"/>
        </w:rPr>
        <w:t>杉木林：多为栽培人工杉木林。其乔木层为由杉木构成的单优势种群落，天然半天然的杉木林常有枫香、麻栎、马尾松、毛竹片混生。灌木层的优势种为马桑、盐肤木、荆条等。草本层以白茅、白羊草最多，其它常见的有野青茅、龙须草、野棉花等。藤本植物有铁线莲、葛藤及常绿藤本植物络石大花中姆瓜、小木通、小血藤等。</w:t>
      </w:r>
    </w:p>
    <w:p>
      <w:pPr>
        <w:pStyle w:val="195"/>
        <w:spacing w:line="360" w:lineRule="auto"/>
        <w:rPr>
          <w:rFonts w:eastAsiaTheme="minorEastAsia"/>
          <w:color w:val="auto"/>
        </w:rPr>
      </w:pPr>
      <w:r>
        <w:rPr>
          <w:rFonts w:eastAsiaTheme="minorEastAsia"/>
          <w:color w:val="auto"/>
        </w:rPr>
        <w:t>竹林</w:t>
      </w:r>
      <w:r>
        <w:rPr>
          <w:rFonts w:hint="eastAsia" w:eastAsiaTheme="minorEastAsia"/>
          <w:color w:val="auto"/>
        </w:rPr>
        <w:t>：</w:t>
      </w:r>
      <w:r>
        <w:rPr>
          <w:rFonts w:eastAsiaTheme="minorEastAsia"/>
          <w:color w:val="auto"/>
        </w:rPr>
        <w:t>主要为阔叶箬竹，栽培的有慈竹、刚竹（斑竹）、水竹、粉绿竹、真水竹等。</w:t>
      </w:r>
    </w:p>
    <w:p>
      <w:pPr>
        <w:pStyle w:val="195"/>
        <w:spacing w:line="360" w:lineRule="auto"/>
        <w:rPr>
          <w:rFonts w:eastAsiaTheme="minorEastAsia"/>
          <w:color w:val="auto"/>
        </w:rPr>
      </w:pPr>
      <w:r>
        <w:rPr>
          <w:rFonts w:eastAsiaTheme="minorEastAsia"/>
          <w:color w:val="auto"/>
        </w:rPr>
        <w:t>黄金条、马桑灌丛：主要分布在海拔800m以下的局部地区。伴生灌木有胡枝子、火棘、臭牡丹，黄檀、木姜子、盐肤木、青麸杨等。草本种类有白茅、野古草、芒、宽叶苔草、黄背草等。</w:t>
      </w:r>
    </w:p>
    <w:p>
      <w:pPr>
        <w:pStyle w:val="195"/>
        <w:spacing w:line="360" w:lineRule="auto"/>
        <w:rPr>
          <w:rFonts w:eastAsiaTheme="minorEastAsia"/>
          <w:color w:val="auto"/>
        </w:rPr>
      </w:pPr>
      <w:r>
        <w:rPr>
          <w:rFonts w:eastAsiaTheme="minorEastAsia"/>
          <w:color w:val="auto"/>
        </w:rPr>
        <w:t>农田</w:t>
      </w:r>
      <w:r>
        <w:rPr>
          <w:rFonts w:hint="eastAsia" w:eastAsiaTheme="minorEastAsia"/>
          <w:color w:val="auto"/>
        </w:rPr>
        <w:t>：</w:t>
      </w:r>
      <w:r>
        <w:rPr>
          <w:rFonts w:eastAsiaTheme="minorEastAsia"/>
          <w:color w:val="auto"/>
        </w:rPr>
        <w:t>主要分布在项目区内的地势平坦处，一般成不均匀的块状分布，农作物种类主要有水稻、玉米、豆类、油菜等作物。真正的草地在项目区较少，其和农田有很大相似性。</w:t>
      </w:r>
    </w:p>
    <w:p>
      <w:pPr>
        <w:pStyle w:val="195"/>
        <w:spacing w:line="360" w:lineRule="auto"/>
        <w:rPr>
          <w:rFonts w:eastAsiaTheme="minorEastAsia"/>
          <w:color w:val="auto"/>
        </w:rPr>
      </w:pPr>
      <w:r>
        <w:rPr>
          <w:rFonts w:hint="eastAsia" w:eastAsiaTheme="minorEastAsia"/>
          <w:color w:val="auto"/>
        </w:rPr>
        <w:t>（3）植被覆盖度</w:t>
      </w:r>
    </w:p>
    <w:p>
      <w:pPr>
        <w:pStyle w:val="195"/>
        <w:spacing w:line="360" w:lineRule="auto"/>
        <w:rPr>
          <w:rFonts w:eastAsiaTheme="minorEastAsia"/>
          <w:color w:val="auto"/>
        </w:rPr>
      </w:pPr>
      <w:r>
        <w:rPr>
          <w:rFonts w:hint="eastAsia" w:eastAsiaTheme="minorEastAsia"/>
          <w:color w:val="auto"/>
        </w:rPr>
        <w:t>采用基于</w:t>
      </w:r>
      <w:r>
        <w:rPr>
          <w:rFonts w:eastAsiaTheme="minorEastAsia"/>
          <w:color w:val="auto"/>
        </w:rPr>
        <w:t>NDVI</w:t>
      </w:r>
      <w:r>
        <w:rPr>
          <w:rFonts w:hint="eastAsia" w:eastAsiaTheme="minorEastAsia"/>
          <w:color w:val="auto"/>
        </w:rPr>
        <w:t>的像元二分模型法反演植被覆盖度。根据象元二分模型原理，可以将每个象元的</w:t>
      </w:r>
      <w:r>
        <w:rPr>
          <w:rFonts w:eastAsiaTheme="minorEastAsia"/>
          <w:color w:val="auto"/>
        </w:rPr>
        <w:t>NDVI</w:t>
      </w:r>
      <w:r>
        <w:rPr>
          <w:rFonts w:hint="eastAsia" w:eastAsiaTheme="minorEastAsia"/>
          <w:color w:val="auto"/>
        </w:rPr>
        <w:t>值表示为植被覆盖部分和无植被覆盖部分组成的形式，用公式可表示为：</w:t>
      </w:r>
    </w:p>
    <w:p>
      <w:pPr>
        <w:pStyle w:val="195"/>
        <w:spacing w:line="360" w:lineRule="auto"/>
        <w:ind w:firstLine="1200" w:firstLineChars="500"/>
        <w:rPr>
          <w:rFonts w:eastAsiaTheme="minorEastAsia"/>
          <w:color w:val="auto"/>
        </w:rPr>
      </w:pPr>
      <w:r>
        <w:rPr>
          <w:rFonts w:eastAsiaTheme="minorEastAsia"/>
          <w:color w:val="auto"/>
        </w:rPr>
        <w:t>NDVI=NDVI</w:t>
      </w:r>
      <w:r>
        <w:rPr>
          <w:rFonts w:eastAsiaTheme="minorEastAsia"/>
          <w:color w:val="auto"/>
          <w:vertAlign w:val="subscript"/>
        </w:rPr>
        <w:t>veg</w:t>
      </w:r>
      <w:r>
        <w:rPr>
          <w:rFonts w:hint="eastAsia" w:eastAsiaTheme="minorEastAsia"/>
          <w:color w:val="auto"/>
        </w:rPr>
        <w:t>×</w:t>
      </w:r>
      <w:r>
        <w:rPr>
          <w:rFonts w:eastAsiaTheme="minorEastAsia"/>
          <w:color w:val="auto"/>
        </w:rPr>
        <w:t>f</w:t>
      </w:r>
      <w:r>
        <w:rPr>
          <w:rFonts w:eastAsiaTheme="minorEastAsia"/>
          <w:color w:val="auto"/>
          <w:vertAlign w:val="subscript"/>
        </w:rPr>
        <w:t>c</w:t>
      </w:r>
      <w:r>
        <w:rPr>
          <w:rFonts w:eastAsiaTheme="minorEastAsia"/>
          <w:color w:val="auto"/>
        </w:rPr>
        <w:t>+NDVI</w:t>
      </w:r>
      <w:r>
        <w:rPr>
          <w:rFonts w:eastAsiaTheme="minorEastAsia"/>
          <w:color w:val="auto"/>
          <w:vertAlign w:val="subscript"/>
        </w:rPr>
        <w:t>soil</w:t>
      </w:r>
      <w:r>
        <w:rPr>
          <w:rFonts w:hint="eastAsia" w:eastAsiaTheme="minorEastAsia"/>
          <w:color w:val="auto"/>
        </w:rPr>
        <w:t>×（</w:t>
      </w:r>
      <w:r>
        <w:rPr>
          <w:rFonts w:eastAsiaTheme="minorEastAsia"/>
          <w:color w:val="auto"/>
        </w:rPr>
        <w:t>1-f</w:t>
      </w:r>
      <w:r>
        <w:rPr>
          <w:rFonts w:eastAsiaTheme="minorEastAsia"/>
          <w:color w:val="auto"/>
          <w:vertAlign w:val="subscript"/>
        </w:rPr>
        <w:t>c</w:t>
      </w:r>
      <w:r>
        <w:rPr>
          <w:rFonts w:hint="eastAsia" w:eastAsiaTheme="minorEastAsia"/>
          <w:color w:val="auto"/>
        </w:rPr>
        <w:t>）</w:t>
      </w:r>
      <w:r>
        <w:rPr>
          <w:rFonts w:eastAsiaTheme="minorEastAsia"/>
          <w:color w:val="auto"/>
        </w:rPr>
        <w:t xml:space="preserve">       </w:t>
      </w:r>
      <w:r>
        <w:rPr>
          <w:rFonts w:hint="eastAsia" w:eastAsiaTheme="minorEastAsia"/>
          <w:color w:val="auto"/>
        </w:rPr>
        <w:t>（a）</w:t>
      </w:r>
    </w:p>
    <w:p>
      <w:pPr>
        <w:pStyle w:val="195"/>
        <w:spacing w:line="360" w:lineRule="auto"/>
        <w:rPr>
          <w:rFonts w:eastAsiaTheme="minorEastAsia"/>
          <w:color w:val="auto"/>
        </w:rPr>
      </w:pPr>
      <w:r>
        <w:rPr>
          <w:rFonts w:hint="eastAsia" w:eastAsiaTheme="minorEastAsia"/>
          <w:color w:val="auto"/>
        </w:rPr>
        <w:t>式中：</w:t>
      </w:r>
      <w:r>
        <w:rPr>
          <w:rFonts w:eastAsiaTheme="minorEastAsia"/>
          <w:color w:val="auto"/>
        </w:rPr>
        <w:t>NDVI</w:t>
      </w:r>
      <w:r>
        <w:rPr>
          <w:rFonts w:eastAsiaTheme="minorEastAsia"/>
          <w:color w:val="auto"/>
          <w:vertAlign w:val="subscript"/>
        </w:rPr>
        <w:t>veg</w:t>
      </w:r>
      <w:r>
        <w:rPr>
          <w:rFonts w:hint="eastAsia" w:eastAsiaTheme="minorEastAsia"/>
          <w:color w:val="auto"/>
        </w:rPr>
        <w:t>代表完全由植被覆盖的象元的</w:t>
      </w:r>
      <w:r>
        <w:rPr>
          <w:rFonts w:eastAsiaTheme="minorEastAsia"/>
          <w:color w:val="auto"/>
        </w:rPr>
        <w:t>NDVI</w:t>
      </w:r>
      <w:r>
        <w:rPr>
          <w:rFonts w:hint="eastAsia" w:eastAsiaTheme="minorEastAsia"/>
          <w:color w:val="auto"/>
        </w:rPr>
        <w:t>值；</w:t>
      </w:r>
      <w:r>
        <w:rPr>
          <w:rFonts w:eastAsiaTheme="minorEastAsia"/>
          <w:color w:val="auto"/>
        </w:rPr>
        <w:t>NDVI</w:t>
      </w:r>
      <w:r>
        <w:rPr>
          <w:rFonts w:eastAsiaTheme="minorEastAsia"/>
          <w:color w:val="auto"/>
          <w:vertAlign w:val="subscript"/>
        </w:rPr>
        <w:t>soil</w:t>
      </w:r>
      <w:r>
        <w:rPr>
          <w:rFonts w:hint="eastAsia" w:eastAsiaTheme="minorEastAsia"/>
          <w:color w:val="auto"/>
        </w:rPr>
        <w:t>代表完全无植被覆盖的象元</w:t>
      </w:r>
      <w:r>
        <w:rPr>
          <w:rFonts w:eastAsiaTheme="minorEastAsia"/>
          <w:color w:val="auto"/>
        </w:rPr>
        <w:t>NDVI</w:t>
      </w:r>
      <w:r>
        <w:rPr>
          <w:rFonts w:hint="eastAsia" w:eastAsiaTheme="minorEastAsia"/>
          <w:color w:val="auto"/>
        </w:rPr>
        <w:t>值；</w:t>
      </w:r>
      <w:r>
        <w:rPr>
          <w:rFonts w:eastAsiaTheme="minorEastAsia"/>
          <w:color w:val="auto"/>
        </w:rPr>
        <w:t>f</w:t>
      </w:r>
      <w:r>
        <w:rPr>
          <w:rFonts w:eastAsiaTheme="minorEastAsia"/>
          <w:color w:val="auto"/>
          <w:vertAlign w:val="subscript"/>
        </w:rPr>
        <w:t>c</w:t>
      </w:r>
      <w:r>
        <w:rPr>
          <w:rFonts w:hint="eastAsia" w:eastAsiaTheme="minorEastAsia"/>
          <w:color w:val="auto"/>
        </w:rPr>
        <w:t>代表植被覆盖度。</w:t>
      </w:r>
    </w:p>
    <w:p>
      <w:pPr>
        <w:pStyle w:val="195"/>
        <w:spacing w:line="360" w:lineRule="auto"/>
        <w:rPr>
          <w:rFonts w:eastAsiaTheme="minorEastAsia"/>
          <w:color w:val="auto"/>
        </w:rPr>
      </w:pPr>
      <w:r>
        <w:rPr>
          <w:rFonts w:hint="eastAsia" w:eastAsiaTheme="minorEastAsia"/>
          <w:color w:val="auto"/>
        </w:rPr>
        <w:t>公式（a）经变换即可得到植被覆盖度的计算公式：</w:t>
      </w:r>
    </w:p>
    <w:p>
      <w:pPr>
        <w:pStyle w:val="195"/>
        <w:spacing w:line="360" w:lineRule="auto"/>
        <w:ind w:firstLine="1200" w:firstLineChars="500"/>
        <w:rPr>
          <w:rFonts w:eastAsiaTheme="minorEastAsia"/>
          <w:color w:val="auto"/>
        </w:rPr>
      </w:pPr>
      <w:r>
        <w:rPr>
          <w:rFonts w:eastAsiaTheme="minorEastAsia"/>
          <w:color w:val="auto"/>
        </w:rPr>
        <w:t>f</w:t>
      </w:r>
      <w:r>
        <w:rPr>
          <w:rFonts w:eastAsiaTheme="minorEastAsia"/>
          <w:color w:val="auto"/>
          <w:vertAlign w:val="subscript"/>
        </w:rPr>
        <w:t>c</w:t>
      </w:r>
      <w:r>
        <w:rPr>
          <w:rFonts w:eastAsiaTheme="minorEastAsia"/>
          <w:color w:val="auto"/>
        </w:rPr>
        <w:t>=</w:t>
      </w:r>
      <w:r>
        <w:rPr>
          <w:rFonts w:hint="eastAsia" w:eastAsiaTheme="minorEastAsia"/>
          <w:color w:val="auto"/>
        </w:rPr>
        <w:t>（</w:t>
      </w:r>
      <w:r>
        <w:rPr>
          <w:rFonts w:eastAsiaTheme="minorEastAsia"/>
          <w:color w:val="auto"/>
        </w:rPr>
        <w:t>NDVI-NDVI</w:t>
      </w:r>
      <w:r>
        <w:rPr>
          <w:rFonts w:eastAsiaTheme="minorEastAsia"/>
          <w:color w:val="auto"/>
          <w:vertAlign w:val="subscript"/>
        </w:rPr>
        <w:t>soil</w:t>
      </w:r>
      <w:r>
        <w:rPr>
          <w:rFonts w:hint="eastAsia" w:eastAsiaTheme="minorEastAsia"/>
          <w:color w:val="auto"/>
        </w:rPr>
        <w:t>）</w:t>
      </w:r>
      <w:r>
        <w:rPr>
          <w:rFonts w:eastAsiaTheme="minorEastAsia"/>
          <w:color w:val="auto"/>
        </w:rPr>
        <w:t>/</w:t>
      </w:r>
      <w:r>
        <w:rPr>
          <w:rFonts w:hint="eastAsia" w:eastAsiaTheme="minorEastAsia"/>
          <w:color w:val="auto"/>
        </w:rPr>
        <w:t>（</w:t>
      </w:r>
      <w:r>
        <w:rPr>
          <w:rFonts w:eastAsiaTheme="minorEastAsia"/>
          <w:color w:val="auto"/>
        </w:rPr>
        <w:t>NDVI</w:t>
      </w:r>
      <w:r>
        <w:rPr>
          <w:rFonts w:eastAsiaTheme="minorEastAsia"/>
          <w:color w:val="auto"/>
          <w:vertAlign w:val="subscript"/>
        </w:rPr>
        <w:t>veg</w:t>
      </w:r>
      <w:r>
        <w:rPr>
          <w:rFonts w:eastAsiaTheme="minorEastAsia"/>
          <w:color w:val="auto"/>
        </w:rPr>
        <w:t>-NDVI</w:t>
      </w:r>
      <w:r>
        <w:rPr>
          <w:rFonts w:eastAsiaTheme="minorEastAsia"/>
          <w:color w:val="auto"/>
          <w:vertAlign w:val="subscript"/>
        </w:rPr>
        <w:t>soil</w:t>
      </w:r>
      <w:r>
        <w:rPr>
          <w:rFonts w:hint="eastAsia" w:eastAsiaTheme="minorEastAsia"/>
          <w:color w:val="auto"/>
        </w:rPr>
        <w:t>）</w:t>
      </w:r>
      <w:r>
        <w:rPr>
          <w:rFonts w:eastAsiaTheme="minorEastAsia"/>
          <w:color w:val="auto"/>
        </w:rPr>
        <w:t xml:space="preserve">     </w:t>
      </w:r>
      <w:r>
        <w:rPr>
          <w:rFonts w:hint="eastAsia" w:eastAsiaTheme="minorEastAsia"/>
          <w:color w:val="auto"/>
        </w:rPr>
        <w:t>（b）</w:t>
      </w:r>
    </w:p>
    <w:p>
      <w:pPr>
        <w:pStyle w:val="195"/>
        <w:spacing w:line="360" w:lineRule="auto"/>
        <w:rPr>
          <w:rFonts w:eastAsiaTheme="minorEastAsia"/>
          <w:color w:val="auto"/>
        </w:rPr>
      </w:pPr>
      <w:r>
        <w:rPr>
          <w:rFonts w:hint="eastAsia" w:eastAsiaTheme="minorEastAsia"/>
          <w:color w:val="auto"/>
        </w:rPr>
        <w:t>根据公式（b），利用</w:t>
      </w:r>
      <w:r>
        <w:rPr>
          <w:rFonts w:eastAsiaTheme="minorEastAsia"/>
          <w:color w:val="auto"/>
        </w:rPr>
        <w:t>ERDASIMAGINE</w:t>
      </w:r>
      <w:r>
        <w:rPr>
          <w:rFonts w:hint="eastAsia" w:eastAsiaTheme="minorEastAsia"/>
          <w:color w:val="auto"/>
        </w:rPr>
        <w:t>中的</w:t>
      </w:r>
      <w:r>
        <w:rPr>
          <w:rFonts w:eastAsiaTheme="minorEastAsia"/>
          <w:color w:val="auto"/>
        </w:rPr>
        <w:t>Modeler</w:t>
      </w:r>
      <w:r>
        <w:rPr>
          <w:rFonts w:hint="eastAsia" w:eastAsiaTheme="minorEastAsia"/>
          <w:color w:val="auto"/>
        </w:rPr>
        <w:t>模块建模编写程序来计算覆盖度，得到了评价区的植被覆盖度图。</w:t>
      </w:r>
    </w:p>
    <w:p>
      <w:pPr>
        <w:pStyle w:val="195"/>
        <w:spacing w:line="360" w:lineRule="auto"/>
        <w:rPr>
          <w:rFonts w:eastAsiaTheme="minorEastAsia"/>
          <w:color w:val="auto"/>
        </w:rPr>
      </w:pPr>
      <w:r>
        <w:rPr>
          <w:rFonts w:hint="eastAsia" w:eastAsiaTheme="minorEastAsia"/>
          <w:color w:val="auto"/>
        </w:rPr>
        <w:t>项目评价区植被覆盖度统计见表</w:t>
      </w:r>
      <w:r>
        <w:rPr>
          <w:rFonts w:eastAsiaTheme="minorEastAsia"/>
          <w:color w:val="auto"/>
        </w:rPr>
        <w:t>4.3</w:t>
      </w:r>
      <w:r>
        <w:rPr>
          <w:rFonts w:hint="eastAsia" w:eastAsiaTheme="minorEastAsia"/>
          <w:color w:val="auto"/>
        </w:rPr>
        <w:t>-5所示。</w:t>
      </w:r>
    </w:p>
    <w:p>
      <w:pPr>
        <w:pStyle w:val="195"/>
        <w:spacing w:line="360" w:lineRule="auto"/>
        <w:rPr>
          <w:rFonts w:eastAsiaTheme="minorEastAsia"/>
          <w:color w:val="auto"/>
        </w:rPr>
      </w:pPr>
    </w:p>
    <w:p>
      <w:pPr>
        <w:pStyle w:val="195"/>
        <w:spacing w:line="360" w:lineRule="auto"/>
        <w:rPr>
          <w:rFonts w:eastAsiaTheme="minorEastAsia"/>
          <w:color w:val="auto"/>
        </w:rPr>
      </w:pPr>
    </w:p>
    <w:p>
      <w:pPr>
        <w:pStyle w:val="195"/>
        <w:spacing w:line="360" w:lineRule="auto"/>
        <w:rPr>
          <w:rFonts w:eastAsiaTheme="minorEastAsia"/>
          <w:color w:val="auto"/>
        </w:rPr>
      </w:pPr>
    </w:p>
    <w:p>
      <w:pPr>
        <w:pStyle w:val="195"/>
        <w:spacing w:line="360" w:lineRule="auto"/>
        <w:rPr>
          <w:rFonts w:eastAsiaTheme="minorEastAsia"/>
          <w:color w:val="auto"/>
        </w:rPr>
      </w:pPr>
    </w:p>
    <w:p>
      <w:pPr>
        <w:pStyle w:val="195"/>
        <w:spacing w:line="360" w:lineRule="auto"/>
        <w:rPr>
          <w:rFonts w:eastAsiaTheme="minorEastAsia"/>
          <w:color w:val="auto"/>
        </w:rPr>
      </w:pPr>
    </w:p>
    <w:p>
      <w:pPr>
        <w:pStyle w:val="195"/>
        <w:spacing w:line="360" w:lineRule="auto"/>
        <w:rPr>
          <w:rFonts w:eastAsiaTheme="minorEastAsia"/>
          <w:color w:val="auto"/>
        </w:rPr>
      </w:pPr>
    </w:p>
    <w:p>
      <w:pPr>
        <w:pStyle w:val="195"/>
        <w:spacing w:line="360" w:lineRule="auto"/>
        <w:rPr>
          <w:rFonts w:eastAsiaTheme="minorEastAsia"/>
          <w:color w:val="auto"/>
        </w:rPr>
      </w:pPr>
    </w:p>
    <w:p>
      <w:pPr>
        <w:pStyle w:val="195"/>
        <w:spacing w:line="360" w:lineRule="auto"/>
        <w:rPr>
          <w:rFonts w:eastAsiaTheme="minorEastAsia"/>
          <w:color w:val="auto"/>
        </w:rPr>
        <w:sectPr>
          <w:pgSz w:w="11906" w:h="16838"/>
          <w:pgMar w:top="1418" w:right="1531" w:bottom="1418" w:left="1418" w:header="851" w:footer="851" w:gutter="0"/>
          <w:pgBorders>
            <w:top w:val="none" w:sz="0" w:space="0"/>
            <w:left w:val="none" w:sz="0" w:space="0"/>
            <w:bottom w:val="none" w:sz="0" w:space="0"/>
            <w:right w:val="none" w:sz="0" w:space="0"/>
          </w:pgBorders>
          <w:cols w:space="0" w:num="1"/>
          <w:docGrid w:type="lines" w:linePitch="400" w:charSpace="0"/>
        </w:sectPr>
      </w:pPr>
    </w:p>
    <w:p>
      <w:pPr>
        <w:snapToGrid w:val="0"/>
        <w:spacing w:line="240" w:lineRule="auto"/>
        <w:ind w:firstLine="562"/>
        <w:jc w:val="center"/>
        <w:rPr>
          <w:b/>
          <w:color w:val="auto"/>
          <w:sz w:val="28"/>
          <w:szCs w:val="28"/>
        </w:rPr>
      </w:pPr>
      <w:r>
        <w:rPr>
          <w:rFonts w:hint="eastAsia"/>
          <w:b/>
          <w:color w:val="auto"/>
          <w:sz w:val="28"/>
          <w:szCs w:val="28"/>
        </w:rPr>
        <w:t>表</w:t>
      </w:r>
      <w:r>
        <w:rPr>
          <w:b/>
          <w:color w:val="auto"/>
          <w:sz w:val="28"/>
          <w:szCs w:val="28"/>
        </w:rPr>
        <w:t>4.3</w:t>
      </w:r>
      <w:r>
        <w:rPr>
          <w:rFonts w:hint="eastAsia"/>
          <w:b/>
          <w:color w:val="auto"/>
          <w:sz w:val="28"/>
          <w:szCs w:val="28"/>
        </w:rPr>
        <w:t xml:space="preserve">-5 </w:t>
      </w:r>
      <w:r>
        <w:rPr>
          <w:b/>
          <w:color w:val="auto"/>
          <w:sz w:val="28"/>
          <w:szCs w:val="28"/>
        </w:rPr>
        <w:t xml:space="preserve">  </w:t>
      </w:r>
      <w:r>
        <w:rPr>
          <w:rFonts w:hint="eastAsia"/>
          <w:b/>
          <w:color w:val="auto"/>
          <w:sz w:val="28"/>
          <w:szCs w:val="28"/>
        </w:rPr>
        <w:t>评价范围内植被覆盖度面积统计表</w:t>
      </w:r>
    </w:p>
    <w:tbl>
      <w:tblPr>
        <w:tblStyle w:val="42"/>
        <w:tblW w:w="47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9"/>
        <w:gridCol w:w="2683"/>
        <w:gridCol w:w="2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tcBorders>
              <w:top w:val="single" w:color="auto" w:sz="12" w:space="0"/>
              <w:left w:val="nil"/>
              <w:bottom w:val="single" w:color="auto" w:sz="12"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覆盖度</w:t>
            </w:r>
          </w:p>
        </w:tc>
        <w:tc>
          <w:tcPr>
            <w:tcW w:w="1549" w:type="pct"/>
            <w:tcBorders>
              <w:top w:val="single" w:color="auto" w:sz="12" w:space="0"/>
              <w:left w:val="single" w:color="auto" w:sz="6" w:space="0"/>
              <w:bottom w:val="single" w:color="auto" w:sz="12"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面积（km</w:t>
            </w:r>
            <w:r>
              <w:rPr>
                <w:rFonts w:hint="eastAsia" w:cs="Times New Roman"/>
                <w:color w:val="auto"/>
                <w:sz w:val="21"/>
                <w:szCs w:val="21"/>
                <w:vertAlign w:val="superscript"/>
              </w:rPr>
              <w:t>2</w:t>
            </w:r>
            <w:r>
              <w:rPr>
                <w:rFonts w:hint="eastAsia" w:cs="Times New Roman"/>
                <w:color w:val="auto"/>
                <w:sz w:val="21"/>
                <w:szCs w:val="21"/>
              </w:rPr>
              <w:t>）</w:t>
            </w:r>
          </w:p>
        </w:tc>
        <w:tc>
          <w:tcPr>
            <w:tcW w:w="1661" w:type="pct"/>
            <w:tcBorders>
              <w:top w:val="single" w:color="auto" w:sz="12" w:space="0"/>
              <w:left w:val="single" w:color="auto" w:sz="6" w:space="0"/>
              <w:bottom w:val="single" w:color="auto" w:sz="12"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tcBorders>
              <w:top w:val="single" w:color="auto" w:sz="12"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高覆盖：&gt;80%</w:t>
            </w:r>
          </w:p>
        </w:tc>
        <w:tc>
          <w:tcPr>
            <w:tcW w:w="1549" w:type="pct"/>
            <w:tcBorders>
              <w:top w:val="single" w:color="auto" w:sz="12"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17.5472</w:t>
            </w:r>
          </w:p>
        </w:tc>
        <w:tc>
          <w:tcPr>
            <w:tcW w:w="1661" w:type="pct"/>
            <w:tcBorders>
              <w:top w:val="single" w:color="auto" w:sz="12"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35.77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tcBorders>
              <w:top w:val="single" w:color="auto" w:sz="6"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中高覆盖：60-80%</w:t>
            </w:r>
          </w:p>
        </w:tc>
        <w:tc>
          <w:tcPr>
            <w:tcW w:w="1549"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9.2435</w:t>
            </w:r>
          </w:p>
        </w:tc>
        <w:tc>
          <w:tcPr>
            <w:tcW w:w="1661" w:type="pct"/>
            <w:tcBorders>
              <w:top w:val="single" w:color="auto" w:sz="6"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18.84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tcBorders>
              <w:top w:val="single" w:color="auto" w:sz="6"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中覆盖：40-60%</w:t>
            </w:r>
          </w:p>
        </w:tc>
        <w:tc>
          <w:tcPr>
            <w:tcW w:w="1549"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3.3549</w:t>
            </w:r>
          </w:p>
        </w:tc>
        <w:tc>
          <w:tcPr>
            <w:tcW w:w="1661" w:type="pct"/>
            <w:tcBorders>
              <w:top w:val="single" w:color="auto" w:sz="6"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tcBorders>
              <w:top w:val="single" w:color="auto" w:sz="6"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中低覆盖：20-40%</w:t>
            </w:r>
          </w:p>
        </w:tc>
        <w:tc>
          <w:tcPr>
            <w:tcW w:w="1549"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1.1697</w:t>
            </w:r>
          </w:p>
        </w:tc>
        <w:tc>
          <w:tcPr>
            <w:tcW w:w="1661" w:type="pct"/>
            <w:tcBorders>
              <w:top w:val="single" w:color="auto" w:sz="6"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tcBorders>
              <w:top w:val="single" w:color="auto" w:sz="6"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耕地</w:t>
            </w:r>
          </w:p>
        </w:tc>
        <w:tc>
          <w:tcPr>
            <w:tcW w:w="1549"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10.2617</w:t>
            </w:r>
          </w:p>
        </w:tc>
        <w:tc>
          <w:tcPr>
            <w:tcW w:w="1661" w:type="pct"/>
            <w:tcBorders>
              <w:top w:val="single" w:color="auto" w:sz="6"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20.92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tcBorders>
              <w:top w:val="single" w:color="auto" w:sz="6" w:space="0"/>
              <w:left w:val="nil"/>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非植被区(公路等)</w:t>
            </w:r>
          </w:p>
        </w:tc>
        <w:tc>
          <w:tcPr>
            <w:tcW w:w="1549"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7.4854</w:t>
            </w:r>
          </w:p>
        </w:tc>
        <w:tc>
          <w:tcPr>
            <w:tcW w:w="1661" w:type="pct"/>
            <w:tcBorders>
              <w:top w:val="single" w:color="auto" w:sz="6" w:space="0"/>
              <w:left w:val="single" w:color="auto" w:sz="6" w:space="0"/>
              <w:bottom w:val="single" w:color="auto" w:sz="6"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15.26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tcBorders>
              <w:top w:val="single" w:color="auto" w:sz="6" w:space="0"/>
              <w:left w:val="nil"/>
              <w:bottom w:val="single" w:color="auto" w:sz="12"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合计</w:t>
            </w:r>
          </w:p>
        </w:tc>
        <w:tc>
          <w:tcPr>
            <w:tcW w:w="1549" w:type="pct"/>
            <w:tcBorders>
              <w:top w:val="single" w:color="auto" w:sz="6" w:space="0"/>
              <w:left w:val="single" w:color="auto" w:sz="6" w:space="0"/>
              <w:bottom w:val="single" w:color="auto" w:sz="12" w:space="0"/>
              <w:right w:val="single" w:color="auto" w:sz="6" w:space="0"/>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fldChar w:fldCharType="begin"/>
            </w:r>
            <w:r>
              <w:rPr>
                <w:rFonts w:hint="eastAsia" w:cs="Times New Roman"/>
                <w:color w:val="auto"/>
                <w:sz w:val="21"/>
                <w:szCs w:val="21"/>
              </w:rPr>
              <w:instrText xml:space="preserve"> =SUM(ABOVE) </w:instrText>
            </w:r>
            <w:r>
              <w:rPr>
                <w:rFonts w:hint="eastAsia" w:cs="Times New Roman"/>
                <w:color w:val="auto"/>
                <w:sz w:val="21"/>
                <w:szCs w:val="21"/>
              </w:rPr>
              <w:fldChar w:fldCharType="separate"/>
            </w:r>
            <w:r>
              <w:rPr>
                <w:rFonts w:hint="eastAsia" w:cs="Times New Roman"/>
                <w:color w:val="auto"/>
                <w:sz w:val="21"/>
                <w:szCs w:val="21"/>
              </w:rPr>
              <w:t>49.0624</w:t>
            </w:r>
            <w:r>
              <w:rPr>
                <w:rFonts w:hint="eastAsia" w:cs="Times New Roman"/>
                <w:color w:val="auto"/>
                <w:sz w:val="21"/>
                <w:szCs w:val="21"/>
              </w:rPr>
              <w:fldChar w:fldCharType="end"/>
            </w:r>
          </w:p>
        </w:tc>
        <w:tc>
          <w:tcPr>
            <w:tcW w:w="1661" w:type="pct"/>
            <w:tcBorders>
              <w:top w:val="single" w:color="auto" w:sz="6" w:space="0"/>
              <w:left w:val="single" w:color="auto" w:sz="6" w:space="0"/>
              <w:bottom w:val="single" w:color="auto" w:sz="12" w:space="0"/>
              <w:right w:val="nil"/>
            </w:tcBorders>
            <w:noWrap w:val="0"/>
            <w:vAlign w:val="center"/>
          </w:tcPr>
          <w:p>
            <w:pPr>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fldChar w:fldCharType="begin"/>
            </w:r>
            <w:r>
              <w:rPr>
                <w:rFonts w:hint="eastAsia" w:cs="Times New Roman"/>
                <w:color w:val="auto"/>
                <w:sz w:val="21"/>
                <w:szCs w:val="21"/>
              </w:rPr>
              <w:instrText xml:space="preserve"> =SUM(ABOVE) </w:instrText>
            </w:r>
            <w:r>
              <w:rPr>
                <w:rFonts w:hint="eastAsia" w:cs="Times New Roman"/>
                <w:color w:val="auto"/>
                <w:sz w:val="21"/>
                <w:szCs w:val="21"/>
              </w:rPr>
              <w:fldChar w:fldCharType="separate"/>
            </w:r>
            <w:r>
              <w:rPr>
                <w:rFonts w:hint="eastAsia" w:cs="Times New Roman"/>
                <w:color w:val="auto"/>
                <w:sz w:val="21"/>
                <w:szCs w:val="21"/>
              </w:rPr>
              <w:t>100</w:t>
            </w:r>
            <w:r>
              <w:rPr>
                <w:rFonts w:hint="eastAsia" w:cs="Times New Roman"/>
                <w:color w:val="auto"/>
                <w:sz w:val="21"/>
                <w:szCs w:val="21"/>
              </w:rPr>
              <w:fldChar w:fldCharType="end"/>
            </w:r>
          </w:p>
        </w:tc>
      </w:tr>
    </w:tbl>
    <w:p>
      <w:pPr>
        <w:pStyle w:val="195"/>
        <w:keepNext w:val="0"/>
        <w:keepLines w:val="0"/>
        <w:pageBreakBefore w:val="0"/>
        <w:widowControl w:val="0"/>
        <w:kinsoku/>
        <w:wordWrap/>
        <w:overflowPunct/>
        <w:topLinePunct w:val="0"/>
        <w:autoSpaceDE/>
        <w:autoSpaceDN/>
        <w:bidi w:val="0"/>
        <w:adjustRightInd w:val="0"/>
        <w:snapToGrid w:val="0"/>
        <w:spacing w:before="202" w:beforeLines="50" w:line="360" w:lineRule="auto"/>
        <w:textAlignment w:val="bottom"/>
        <w:outlineLvl w:val="3"/>
        <w:rPr>
          <w:rFonts w:eastAsiaTheme="minorEastAsia"/>
          <w:color w:val="auto"/>
        </w:rPr>
      </w:pPr>
      <w:r>
        <w:rPr>
          <w:rFonts w:hint="eastAsia" w:eastAsiaTheme="minorEastAsia"/>
          <w:color w:val="auto"/>
        </w:rPr>
        <w:t>2</w:t>
      </w:r>
      <w:r>
        <w:rPr>
          <w:rFonts w:eastAsiaTheme="minorEastAsia"/>
          <w:color w:val="auto"/>
        </w:rPr>
        <w:t>.</w:t>
      </w:r>
      <w:r>
        <w:rPr>
          <w:rFonts w:hint="eastAsia" w:eastAsiaTheme="minorEastAsia"/>
          <w:color w:val="auto"/>
        </w:rPr>
        <w:t>陆生动物</w:t>
      </w:r>
    </w:p>
    <w:p>
      <w:pPr>
        <w:snapToGrid w:val="0"/>
        <w:ind w:firstLine="480"/>
        <w:rPr>
          <w:rFonts w:eastAsiaTheme="minorEastAsia"/>
          <w:color w:val="auto"/>
          <w:kern w:val="0"/>
          <w:szCs w:val="20"/>
        </w:rPr>
      </w:pPr>
      <w:r>
        <w:rPr>
          <w:rFonts w:hint="eastAsia" w:eastAsiaTheme="minorEastAsia"/>
          <w:color w:val="auto"/>
          <w:kern w:val="0"/>
          <w:szCs w:val="20"/>
        </w:rPr>
        <w:t>（1）兽类</w:t>
      </w:r>
    </w:p>
    <w:p>
      <w:pPr>
        <w:snapToGrid w:val="0"/>
        <w:ind w:firstLine="480"/>
        <w:rPr>
          <w:rFonts w:eastAsiaTheme="minorEastAsia"/>
          <w:color w:val="auto"/>
          <w:kern w:val="0"/>
          <w:szCs w:val="20"/>
        </w:rPr>
      </w:pPr>
      <w:r>
        <w:rPr>
          <w:rFonts w:hint="eastAsia" w:eastAsiaTheme="minorEastAsia"/>
          <w:color w:val="auto"/>
          <w:kern w:val="0"/>
          <w:szCs w:val="20"/>
        </w:rPr>
        <w:t>主要使用样线法和样点法进行。大型兽类主要用样线法进行调查。根据调查区域的地形、地貌及植被类型，设置不同的样线，覆盖所有的生境类型。观察对象可以是动物实体，也可以是动物的活动痕迹。观察记录兽类的实体、痕迹（如食迹、足迹、粪便、爪痕等）和遗迹（如骨骼、皮毛、毛发等）。本次兽类的调查，采用样线调查法，在鸟类调查过程中同时进行观察。</w:t>
      </w:r>
    </w:p>
    <w:p>
      <w:pPr>
        <w:snapToGrid w:val="0"/>
        <w:ind w:firstLine="480"/>
        <w:rPr>
          <w:rFonts w:eastAsiaTheme="minorEastAsia"/>
          <w:color w:val="auto"/>
          <w:kern w:val="0"/>
          <w:szCs w:val="20"/>
        </w:rPr>
      </w:pPr>
      <w:r>
        <w:rPr>
          <w:rFonts w:hint="eastAsia" w:eastAsiaTheme="minorEastAsia"/>
          <w:color w:val="auto"/>
          <w:kern w:val="0"/>
          <w:szCs w:val="20"/>
        </w:rPr>
        <w:t>根据调查</w:t>
      </w:r>
      <w:r>
        <w:rPr>
          <w:rFonts w:eastAsiaTheme="minorEastAsia"/>
          <w:color w:val="auto"/>
          <w:kern w:val="0"/>
          <w:szCs w:val="20"/>
        </w:rPr>
        <w:t>项目周边地区内有小型兽类</w:t>
      </w:r>
      <w:r>
        <w:rPr>
          <w:rFonts w:hint="eastAsia" w:eastAsiaTheme="minorEastAsia"/>
          <w:color w:val="auto"/>
          <w:kern w:val="0"/>
          <w:szCs w:val="20"/>
          <w:lang w:val="en-US" w:eastAsia="zh-CN"/>
        </w:rPr>
        <w:t>5</w:t>
      </w:r>
      <w:r>
        <w:rPr>
          <w:rFonts w:eastAsiaTheme="minorEastAsia"/>
          <w:color w:val="auto"/>
          <w:kern w:val="0"/>
          <w:szCs w:val="20"/>
        </w:rPr>
        <w:t>目</w:t>
      </w:r>
      <w:r>
        <w:rPr>
          <w:rFonts w:hint="eastAsia" w:eastAsiaTheme="minorEastAsia"/>
          <w:color w:val="auto"/>
          <w:kern w:val="0"/>
          <w:szCs w:val="20"/>
          <w:lang w:val="en-US" w:eastAsia="zh-CN"/>
        </w:rPr>
        <w:t>7</w:t>
      </w:r>
      <w:r>
        <w:rPr>
          <w:rFonts w:eastAsiaTheme="minorEastAsia"/>
          <w:color w:val="auto"/>
          <w:kern w:val="0"/>
          <w:szCs w:val="20"/>
        </w:rPr>
        <w:t>科</w:t>
      </w:r>
      <w:r>
        <w:rPr>
          <w:rFonts w:hint="eastAsia" w:eastAsiaTheme="minorEastAsia"/>
          <w:color w:val="auto"/>
          <w:kern w:val="0"/>
          <w:szCs w:val="20"/>
          <w:lang w:val="en-US" w:eastAsia="zh-CN"/>
        </w:rPr>
        <w:t>13</w:t>
      </w:r>
      <w:r>
        <w:rPr>
          <w:rFonts w:eastAsiaTheme="minorEastAsia"/>
          <w:color w:val="auto"/>
          <w:kern w:val="0"/>
          <w:szCs w:val="20"/>
        </w:rPr>
        <w:t>种。从物种的目级组成上来看，项目周边地区兽类以啮齿目和食肉目种类占优势，其所含物种数占到了项目周边地区目前已知分布的兽类物种总数的</w:t>
      </w:r>
      <w:r>
        <w:rPr>
          <w:rFonts w:hint="eastAsia" w:eastAsiaTheme="minorEastAsia"/>
          <w:color w:val="auto"/>
          <w:kern w:val="0"/>
          <w:szCs w:val="20"/>
          <w:lang w:val="en-US" w:eastAsia="zh-CN"/>
        </w:rPr>
        <w:t>61.5</w:t>
      </w:r>
      <w:r>
        <w:rPr>
          <w:rFonts w:eastAsiaTheme="minorEastAsia"/>
          <w:color w:val="auto"/>
          <w:kern w:val="0"/>
          <w:szCs w:val="20"/>
        </w:rPr>
        <w:t>%。其余3目占到</w:t>
      </w:r>
      <w:r>
        <w:rPr>
          <w:rFonts w:hint="eastAsia" w:eastAsiaTheme="minorEastAsia"/>
          <w:color w:val="auto"/>
          <w:kern w:val="0"/>
          <w:szCs w:val="20"/>
          <w:lang w:val="en-US" w:eastAsia="zh-CN"/>
        </w:rPr>
        <w:t>38.5</w:t>
      </w:r>
      <w:r>
        <w:rPr>
          <w:rFonts w:eastAsiaTheme="minorEastAsia"/>
          <w:color w:val="auto"/>
          <w:kern w:val="0"/>
          <w:szCs w:val="20"/>
        </w:rPr>
        <w:t>%。兽类各目、科所含种数及所占比例见表</w:t>
      </w:r>
      <w:r>
        <w:rPr>
          <w:rFonts w:hint="eastAsia" w:eastAsiaTheme="minorEastAsia"/>
          <w:color w:val="auto"/>
          <w:kern w:val="0"/>
          <w:szCs w:val="20"/>
        </w:rPr>
        <w:t>4.3-</w:t>
      </w:r>
      <w:r>
        <w:rPr>
          <w:rFonts w:eastAsiaTheme="minorEastAsia"/>
          <w:color w:val="auto"/>
          <w:kern w:val="0"/>
          <w:szCs w:val="20"/>
        </w:rPr>
        <w:t>6。</w:t>
      </w:r>
    </w:p>
    <w:p>
      <w:pPr>
        <w:autoSpaceDE w:val="0"/>
        <w:autoSpaceDN w:val="0"/>
        <w:adjustRightInd w:val="0"/>
        <w:spacing w:line="440" w:lineRule="exact"/>
        <w:ind w:firstLine="482"/>
        <w:jc w:val="center"/>
        <w:rPr>
          <w:rFonts w:eastAsiaTheme="minorEastAsia"/>
          <w:b/>
          <w:color w:val="auto"/>
          <w:kern w:val="0"/>
        </w:rPr>
      </w:pPr>
      <w:r>
        <w:rPr>
          <w:rFonts w:eastAsiaTheme="minorEastAsia"/>
          <w:b/>
          <w:color w:val="auto"/>
          <w:kern w:val="0"/>
        </w:rPr>
        <w:t>表</w:t>
      </w:r>
      <w:r>
        <w:rPr>
          <w:rFonts w:hint="eastAsia" w:eastAsiaTheme="minorEastAsia"/>
          <w:b/>
          <w:color w:val="auto"/>
          <w:kern w:val="0"/>
        </w:rPr>
        <w:t>4.3-</w:t>
      </w:r>
      <w:r>
        <w:rPr>
          <w:rFonts w:eastAsiaTheme="minorEastAsia"/>
          <w:b/>
          <w:color w:val="auto"/>
          <w:kern w:val="0"/>
        </w:rPr>
        <w:t>6  项目周边地区主要的兽类种类名录</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12"/>
        <w:gridCol w:w="1413"/>
        <w:gridCol w:w="2119"/>
        <w:gridCol w:w="15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1398" w:type="dxa"/>
            <w:tcBorders>
              <w:top w:val="single" w:color="auto" w:sz="12" w:space="0"/>
              <w:bottom w:val="single" w:color="auto" w:sz="12" w:space="0"/>
            </w:tcBorders>
            <w:vAlign w:val="center"/>
          </w:tcPr>
          <w:p>
            <w:pPr>
              <w:snapToGrid w:val="0"/>
              <w:spacing w:line="240" w:lineRule="exact"/>
              <w:ind w:firstLine="0" w:firstLineChars="0"/>
              <w:jc w:val="center"/>
              <w:rPr>
                <w:rFonts w:eastAsiaTheme="minorEastAsia"/>
                <w:b/>
                <w:bCs/>
                <w:color w:val="auto"/>
                <w:kern w:val="0"/>
                <w:sz w:val="21"/>
                <w:szCs w:val="21"/>
              </w:rPr>
            </w:pPr>
            <w:r>
              <w:rPr>
                <w:rFonts w:eastAsiaTheme="minorEastAsia"/>
                <w:b/>
                <w:bCs/>
                <w:color w:val="auto"/>
                <w:kern w:val="0"/>
                <w:sz w:val="21"/>
                <w:szCs w:val="21"/>
              </w:rPr>
              <w:t>目</w:t>
            </w:r>
          </w:p>
        </w:tc>
        <w:tc>
          <w:tcPr>
            <w:tcW w:w="1412" w:type="dxa"/>
            <w:tcBorders>
              <w:top w:val="single" w:color="auto" w:sz="12" w:space="0"/>
              <w:bottom w:val="single" w:color="auto" w:sz="12" w:space="0"/>
            </w:tcBorders>
            <w:vAlign w:val="center"/>
          </w:tcPr>
          <w:p>
            <w:pPr>
              <w:snapToGrid w:val="0"/>
              <w:spacing w:line="240" w:lineRule="exact"/>
              <w:ind w:firstLine="0" w:firstLineChars="0"/>
              <w:jc w:val="center"/>
              <w:rPr>
                <w:rFonts w:eastAsiaTheme="minorEastAsia"/>
                <w:b/>
                <w:bCs/>
                <w:color w:val="auto"/>
                <w:kern w:val="0"/>
                <w:sz w:val="21"/>
                <w:szCs w:val="21"/>
              </w:rPr>
            </w:pPr>
            <w:r>
              <w:rPr>
                <w:rFonts w:eastAsiaTheme="minorEastAsia"/>
                <w:b/>
                <w:bCs/>
                <w:color w:val="auto"/>
                <w:kern w:val="0"/>
                <w:sz w:val="21"/>
                <w:szCs w:val="21"/>
              </w:rPr>
              <w:t>科</w:t>
            </w:r>
          </w:p>
        </w:tc>
        <w:tc>
          <w:tcPr>
            <w:tcW w:w="1413" w:type="dxa"/>
            <w:tcBorders>
              <w:top w:val="single" w:color="auto" w:sz="12" w:space="0"/>
              <w:bottom w:val="single" w:color="auto" w:sz="12" w:space="0"/>
            </w:tcBorders>
            <w:vAlign w:val="center"/>
          </w:tcPr>
          <w:p>
            <w:pPr>
              <w:snapToGrid w:val="0"/>
              <w:spacing w:line="240" w:lineRule="exact"/>
              <w:ind w:firstLine="0" w:firstLineChars="0"/>
              <w:jc w:val="center"/>
              <w:rPr>
                <w:rFonts w:eastAsiaTheme="minorEastAsia"/>
                <w:b/>
                <w:bCs/>
                <w:color w:val="auto"/>
                <w:kern w:val="0"/>
                <w:sz w:val="21"/>
                <w:szCs w:val="21"/>
              </w:rPr>
            </w:pPr>
            <w:r>
              <w:rPr>
                <w:rFonts w:eastAsiaTheme="minorEastAsia"/>
                <w:b/>
                <w:bCs/>
                <w:color w:val="auto"/>
                <w:kern w:val="0"/>
                <w:sz w:val="21"/>
                <w:szCs w:val="21"/>
              </w:rPr>
              <w:t>种</w:t>
            </w:r>
          </w:p>
        </w:tc>
        <w:tc>
          <w:tcPr>
            <w:tcW w:w="2119" w:type="dxa"/>
            <w:tcBorders>
              <w:top w:val="single" w:color="auto" w:sz="12" w:space="0"/>
              <w:bottom w:val="single" w:color="auto" w:sz="12" w:space="0"/>
            </w:tcBorders>
            <w:vAlign w:val="center"/>
          </w:tcPr>
          <w:p>
            <w:pPr>
              <w:snapToGrid w:val="0"/>
              <w:spacing w:line="240" w:lineRule="exact"/>
              <w:ind w:firstLine="0" w:firstLineChars="0"/>
              <w:jc w:val="center"/>
              <w:rPr>
                <w:rFonts w:eastAsiaTheme="minorEastAsia"/>
                <w:b/>
                <w:bCs/>
                <w:color w:val="auto"/>
                <w:kern w:val="0"/>
                <w:sz w:val="21"/>
                <w:szCs w:val="21"/>
              </w:rPr>
            </w:pPr>
            <w:r>
              <w:rPr>
                <w:rFonts w:eastAsiaTheme="minorEastAsia"/>
                <w:b/>
                <w:bCs/>
                <w:color w:val="auto"/>
                <w:kern w:val="0"/>
                <w:sz w:val="21"/>
                <w:szCs w:val="21"/>
              </w:rPr>
              <w:t>中文名</w:t>
            </w:r>
          </w:p>
        </w:tc>
        <w:tc>
          <w:tcPr>
            <w:tcW w:w="1554" w:type="dxa"/>
            <w:tcBorders>
              <w:top w:val="single" w:color="auto" w:sz="12" w:space="0"/>
              <w:bottom w:val="single" w:color="auto" w:sz="12" w:space="0"/>
            </w:tcBorders>
            <w:vAlign w:val="center"/>
          </w:tcPr>
          <w:p>
            <w:pPr>
              <w:snapToGrid w:val="0"/>
              <w:spacing w:line="240" w:lineRule="exact"/>
              <w:ind w:firstLine="0" w:firstLineChars="0"/>
              <w:jc w:val="center"/>
              <w:rPr>
                <w:rFonts w:eastAsiaTheme="minorEastAsia"/>
                <w:b/>
                <w:bCs/>
                <w:color w:val="auto"/>
                <w:kern w:val="0"/>
                <w:sz w:val="21"/>
                <w:szCs w:val="21"/>
              </w:rPr>
            </w:pPr>
            <w:r>
              <w:rPr>
                <w:rFonts w:eastAsiaTheme="minorEastAsia"/>
                <w:b/>
                <w:bCs/>
                <w:color w:val="auto"/>
                <w:kern w:val="0"/>
                <w:sz w:val="21"/>
                <w:szCs w:val="21"/>
              </w:rPr>
              <w:t>所占比例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1398" w:type="dxa"/>
            <w:vMerge w:val="restart"/>
            <w:tcBorders>
              <w:top w:val="single" w:color="auto" w:sz="12" w:space="0"/>
            </w:tcBorders>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啮齿目</w:t>
            </w:r>
          </w:p>
        </w:tc>
        <w:tc>
          <w:tcPr>
            <w:tcW w:w="1412" w:type="dxa"/>
            <w:vMerge w:val="restart"/>
            <w:tcBorders>
              <w:top w:val="single" w:color="auto" w:sz="12" w:space="0"/>
            </w:tcBorders>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鼠科</w:t>
            </w:r>
          </w:p>
        </w:tc>
        <w:tc>
          <w:tcPr>
            <w:tcW w:w="1413" w:type="dxa"/>
            <w:vMerge w:val="restart"/>
            <w:tcBorders>
              <w:top w:val="single" w:color="auto" w:sz="12" w:space="0"/>
            </w:tcBorders>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4</w:t>
            </w:r>
          </w:p>
        </w:tc>
        <w:tc>
          <w:tcPr>
            <w:tcW w:w="2119" w:type="dxa"/>
            <w:tcBorders>
              <w:top w:val="single" w:color="auto" w:sz="12" w:space="0"/>
            </w:tcBorders>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褐家鼠</w:t>
            </w:r>
          </w:p>
        </w:tc>
        <w:tc>
          <w:tcPr>
            <w:tcW w:w="1554" w:type="dxa"/>
            <w:vMerge w:val="restart"/>
            <w:tcBorders>
              <w:top w:val="single" w:color="auto" w:sz="12" w:space="0"/>
            </w:tcBorders>
            <w:vAlign w:val="center"/>
          </w:tcPr>
          <w:p>
            <w:pPr>
              <w:snapToGrid w:val="0"/>
              <w:spacing w:line="240" w:lineRule="exact"/>
              <w:ind w:firstLine="0" w:firstLineChars="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1398"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c>
          <w:tcPr>
            <w:tcW w:w="1412"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c>
          <w:tcPr>
            <w:tcW w:w="1413"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c>
          <w:tcPr>
            <w:tcW w:w="2119"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黄胸鼠</w:t>
            </w:r>
          </w:p>
        </w:tc>
        <w:tc>
          <w:tcPr>
            <w:tcW w:w="1554"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1398"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c>
          <w:tcPr>
            <w:tcW w:w="1412"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c>
          <w:tcPr>
            <w:tcW w:w="1413"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c>
          <w:tcPr>
            <w:tcW w:w="2119"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小家鼠</w:t>
            </w:r>
          </w:p>
        </w:tc>
        <w:tc>
          <w:tcPr>
            <w:tcW w:w="1554"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1398"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c>
          <w:tcPr>
            <w:tcW w:w="1412"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c>
          <w:tcPr>
            <w:tcW w:w="1413"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c>
          <w:tcPr>
            <w:tcW w:w="2119"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黑线姬鼠</w:t>
            </w:r>
          </w:p>
        </w:tc>
        <w:tc>
          <w:tcPr>
            <w:tcW w:w="1554"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1398"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c>
          <w:tcPr>
            <w:tcW w:w="1412"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豪猪科</w:t>
            </w:r>
          </w:p>
        </w:tc>
        <w:tc>
          <w:tcPr>
            <w:tcW w:w="1413"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1</w:t>
            </w:r>
          </w:p>
        </w:tc>
        <w:tc>
          <w:tcPr>
            <w:tcW w:w="2119"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豪猪</w:t>
            </w:r>
          </w:p>
        </w:tc>
        <w:tc>
          <w:tcPr>
            <w:tcW w:w="1554" w:type="dxa"/>
            <w:vAlign w:val="center"/>
          </w:tcPr>
          <w:p>
            <w:pPr>
              <w:snapToGrid w:val="0"/>
              <w:spacing w:line="240" w:lineRule="exact"/>
              <w:ind w:firstLine="0" w:firstLineChars="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1398" w:type="dxa"/>
            <w:vMerge w:val="continue"/>
            <w:vAlign w:val="center"/>
          </w:tcPr>
          <w:p>
            <w:pPr>
              <w:widowControl/>
              <w:snapToGrid w:val="0"/>
              <w:spacing w:line="240" w:lineRule="exact"/>
              <w:ind w:firstLine="0" w:firstLineChars="0"/>
              <w:jc w:val="center"/>
              <w:rPr>
                <w:rFonts w:eastAsiaTheme="minorEastAsia"/>
                <w:color w:val="auto"/>
                <w:kern w:val="0"/>
                <w:sz w:val="21"/>
                <w:szCs w:val="21"/>
              </w:rPr>
            </w:pPr>
          </w:p>
        </w:tc>
        <w:tc>
          <w:tcPr>
            <w:tcW w:w="1412"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松鼠科</w:t>
            </w:r>
          </w:p>
        </w:tc>
        <w:tc>
          <w:tcPr>
            <w:tcW w:w="1413"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1</w:t>
            </w:r>
          </w:p>
        </w:tc>
        <w:tc>
          <w:tcPr>
            <w:tcW w:w="2119"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岩松鼠</w:t>
            </w:r>
          </w:p>
        </w:tc>
        <w:tc>
          <w:tcPr>
            <w:tcW w:w="1554" w:type="dxa"/>
            <w:vAlign w:val="center"/>
          </w:tcPr>
          <w:p>
            <w:pPr>
              <w:snapToGrid w:val="0"/>
              <w:spacing w:line="240" w:lineRule="exact"/>
              <w:ind w:firstLine="0" w:firstLineChars="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1398"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食虫目</w:t>
            </w:r>
          </w:p>
        </w:tc>
        <w:tc>
          <w:tcPr>
            <w:tcW w:w="1412" w:type="dxa"/>
            <w:vAlign w:val="center"/>
          </w:tcPr>
          <w:p>
            <w:pPr>
              <w:snapToGrid w:val="0"/>
              <w:spacing w:line="240" w:lineRule="exact"/>
              <w:ind w:firstLine="0" w:firstLineChars="0"/>
              <w:jc w:val="center"/>
              <w:rPr>
                <w:rFonts w:eastAsiaTheme="minorEastAsia"/>
                <w:color w:val="auto"/>
                <w:kern w:val="0"/>
                <w:sz w:val="21"/>
                <w:szCs w:val="21"/>
              </w:rPr>
            </w:pPr>
            <w:r>
              <w:rPr>
                <w:rFonts w:hint="eastAsia" w:eastAsiaTheme="minorEastAsia"/>
                <w:color w:val="auto"/>
                <w:kern w:val="0"/>
                <w:sz w:val="21"/>
                <w:szCs w:val="21"/>
              </w:rPr>
              <w:t>猬科</w:t>
            </w:r>
          </w:p>
        </w:tc>
        <w:tc>
          <w:tcPr>
            <w:tcW w:w="1413" w:type="dxa"/>
            <w:vAlign w:val="center"/>
          </w:tcPr>
          <w:p>
            <w:pPr>
              <w:snapToGrid w:val="0"/>
              <w:spacing w:line="240" w:lineRule="exact"/>
              <w:ind w:firstLine="0" w:firstLineChars="0"/>
              <w:jc w:val="center"/>
              <w:rPr>
                <w:rFonts w:hint="eastAsia" w:eastAsiaTheme="minorEastAsia"/>
                <w:color w:val="auto"/>
                <w:kern w:val="0"/>
                <w:sz w:val="21"/>
                <w:szCs w:val="21"/>
                <w:lang w:eastAsia="zh-CN"/>
              </w:rPr>
            </w:pPr>
            <w:r>
              <w:rPr>
                <w:rFonts w:hint="eastAsia" w:eastAsiaTheme="minorEastAsia"/>
                <w:color w:val="auto"/>
                <w:kern w:val="0"/>
                <w:sz w:val="21"/>
                <w:szCs w:val="21"/>
                <w:lang w:val="en-US" w:eastAsia="zh-CN"/>
              </w:rPr>
              <w:t>1</w:t>
            </w:r>
          </w:p>
        </w:tc>
        <w:tc>
          <w:tcPr>
            <w:tcW w:w="2119" w:type="dxa"/>
            <w:vAlign w:val="center"/>
          </w:tcPr>
          <w:p>
            <w:pPr>
              <w:snapToGrid w:val="0"/>
              <w:spacing w:line="240" w:lineRule="exact"/>
              <w:ind w:firstLine="0" w:firstLineChars="0"/>
              <w:jc w:val="center"/>
              <w:rPr>
                <w:rFonts w:eastAsiaTheme="minorEastAsia"/>
                <w:color w:val="auto"/>
                <w:kern w:val="0"/>
                <w:sz w:val="21"/>
                <w:szCs w:val="21"/>
              </w:rPr>
            </w:pPr>
            <w:r>
              <w:rPr>
                <w:rFonts w:hint="eastAsia" w:eastAsiaTheme="minorEastAsia"/>
                <w:color w:val="auto"/>
                <w:kern w:val="0"/>
                <w:sz w:val="21"/>
                <w:szCs w:val="21"/>
              </w:rPr>
              <w:t>林猬</w:t>
            </w:r>
          </w:p>
        </w:tc>
        <w:tc>
          <w:tcPr>
            <w:tcW w:w="1554" w:type="dxa"/>
            <w:vAlign w:val="center"/>
          </w:tcPr>
          <w:p>
            <w:pPr>
              <w:snapToGrid w:val="0"/>
              <w:spacing w:line="240" w:lineRule="exact"/>
              <w:ind w:firstLine="0" w:firstLineChars="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1398"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兔形目</w:t>
            </w:r>
          </w:p>
        </w:tc>
        <w:tc>
          <w:tcPr>
            <w:tcW w:w="1412"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兔科</w:t>
            </w:r>
          </w:p>
        </w:tc>
        <w:tc>
          <w:tcPr>
            <w:tcW w:w="1413"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1</w:t>
            </w:r>
          </w:p>
        </w:tc>
        <w:tc>
          <w:tcPr>
            <w:tcW w:w="2119"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草兔</w:t>
            </w:r>
          </w:p>
        </w:tc>
        <w:tc>
          <w:tcPr>
            <w:tcW w:w="1554" w:type="dxa"/>
            <w:vAlign w:val="center"/>
          </w:tcPr>
          <w:p>
            <w:pPr>
              <w:snapToGrid w:val="0"/>
              <w:spacing w:line="240" w:lineRule="exact"/>
              <w:ind w:firstLine="0" w:firstLineChars="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398" w:type="dxa"/>
            <w:vMerge w:val="restart"/>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食肉目</w:t>
            </w:r>
          </w:p>
        </w:tc>
        <w:tc>
          <w:tcPr>
            <w:tcW w:w="1412" w:type="dxa"/>
            <w:vMerge w:val="restart"/>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鼬科</w:t>
            </w:r>
          </w:p>
        </w:tc>
        <w:tc>
          <w:tcPr>
            <w:tcW w:w="1413" w:type="dxa"/>
            <w:vMerge w:val="restart"/>
            <w:vAlign w:val="center"/>
          </w:tcPr>
          <w:p>
            <w:pPr>
              <w:snapToGrid w:val="0"/>
              <w:spacing w:line="240" w:lineRule="exact"/>
              <w:ind w:firstLine="0" w:firstLineChars="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4</w:t>
            </w:r>
          </w:p>
        </w:tc>
        <w:tc>
          <w:tcPr>
            <w:tcW w:w="2119" w:type="dxa"/>
            <w:vAlign w:val="center"/>
          </w:tcPr>
          <w:p>
            <w:pPr>
              <w:snapToGrid w:val="0"/>
              <w:spacing w:line="240" w:lineRule="exact"/>
              <w:ind w:firstLine="0" w:firstLineChars="0"/>
              <w:jc w:val="center"/>
              <w:rPr>
                <w:rFonts w:eastAsiaTheme="minorEastAsia"/>
                <w:color w:val="auto"/>
                <w:kern w:val="0"/>
                <w:sz w:val="21"/>
                <w:szCs w:val="21"/>
              </w:rPr>
            </w:pPr>
            <w:r>
              <w:rPr>
                <w:rFonts w:eastAsiaTheme="minorEastAsia"/>
                <w:color w:val="auto"/>
                <w:kern w:val="0"/>
                <w:sz w:val="21"/>
                <w:szCs w:val="21"/>
              </w:rPr>
              <w:t>青鼬</w:t>
            </w:r>
          </w:p>
        </w:tc>
        <w:tc>
          <w:tcPr>
            <w:tcW w:w="1554" w:type="dxa"/>
            <w:vMerge w:val="restart"/>
            <w:vAlign w:val="center"/>
          </w:tcPr>
          <w:p>
            <w:pPr>
              <w:snapToGrid w:val="0"/>
              <w:spacing w:line="240" w:lineRule="exact"/>
              <w:ind w:firstLine="0" w:firstLineChars="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398" w:type="dxa"/>
            <w:vMerge w:val="continue"/>
            <w:vAlign w:val="center"/>
          </w:tcPr>
          <w:p>
            <w:pPr>
              <w:snapToGrid w:val="0"/>
              <w:spacing w:line="240" w:lineRule="exact"/>
              <w:ind w:firstLine="0" w:firstLineChars="0"/>
              <w:jc w:val="center"/>
              <w:rPr>
                <w:rFonts w:eastAsiaTheme="minorEastAsia"/>
                <w:color w:val="auto"/>
                <w:kern w:val="0"/>
                <w:sz w:val="21"/>
                <w:szCs w:val="21"/>
              </w:rPr>
            </w:pPr>
          </w:p>
        </w:tc>
        <w:tc>
          <w:tcPr>
            <w:tcW w:w="1412" w:type="dxa"/>
            <w:vMerge w:val="continue"/>
            <w:vAlign w:val="center"/>
          </w:tcPr>
          <w:p>
            <w:pPr>
              <w:snapToGrid w:val="0"/>
              <w:spacing w:line="240" w:lineRule="exact"/>
              <w:ind w:firstLine="0" w:firstLineChars="0"/>
              <w:jc w:val="center"/>
              <w:rPr>
                <w:rFonts w:eastAsiaTheme="minorEastAsia"/>
                <w:color w:val="auto"/>
                <w:kern w:val="0"/>
                <w:sz w:val="21"/>
                <w:szCs w:val="21"/>
              </w:rPr>
            </w:pPr>
          </w:p>
        </w:tc>
        <w:tc>
          <w:tcPr>
            <w:tcW w:w="1413" w:type="dxa"/>
            <w:vMerge w:val="continue"/>
            <w:vAlign w:val="center"/>
          </w:tcPr>
          <w:p>
            <w:pPr>
              <w:snapToGrid w:val="0"/>
              <w:spacing w:line="240" w:lineRule="exact"/>
              <w:ind w:firstLine="0" w:firstLineChars="0"/>
              <w:jc w:val="center"/>
              <w:rPr>
                <w:rFonts w:hint="eastAsia" w:eastAsiaTheme="minorEastAsia"/>
                <w:color w:val="auto"/>
                <w:kern w:val="0"/>
                <w:sz w:val="21"/>
                <w:szCs w:val="21"/>
                <w:lang w:val="en-US" w:eastAsia="zh-CN"/>
              </w:rPr>
            </w:pPr>
          </w:p>
        </w:tc>
        <w:tc>
          <w:tcPr>
            <w:tcW w:w="2119" w:type="dxa"/>
            <w:vAlign w:val="center"/>
          </w:tcPr>
          <w:p>
            <w:pPr>
              <w:snapToGrid w:val="0"/>
              <w:spacing w:line="240" w:lineRule="exact"/>
              <w:ind w:firstLine="0" w:firstLineChars="0"/>
              <w:jc w:val="center"/>
              <w:rPr>
                <w:rFonts w:eastAsiaTheme="minorEastAsia"/>
                <w:color w:val="auto"/>
                <w:kern w:val="0"/>
                <w:sz w:val="21"/>
                <w:szCs w:val="21"/>
              </w:rPr>
            </w:pPr>
            <w:r>
              <w:rPr>
                <w:rFonts w:hint="eastAsia" w:eastAsiaTheme="minorEastAsia"/>
                <w:color w:val="auto"/>
                <w:kern w:val="0"/>
                <w:sz w:val="21"/>
                <w:szCs w:val="21"/>
              </w:rPr>
              <w:t>黄鼬</w:t>
            </w:r>
          </w:p>
        </w:tc>
        <w:tc>
          <w:tcPr>
            <w:tcW w:w="1554" w:type="dxa"/>
            <w:vMerge w:val="continue"/>
            <w:vAlign w:val="center"/>
          </w:tcPr>
          <w:p>
            <w:pPr>
              <w:snapToGrid w:val="0"/>
              <w:spacing w:line="240" w:lineRule="exact"/>
              <w:ind w:firstLine="0" w:firstLineChars="0"/>
              <w:jc w:val="center"/>
              <w:rPr>
                <w:rFonts w:eastAsiaTheme="minorEastAsia"/>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398" w:type="dxa"/>
            <w:vMerge w:val="continue"/>
            <w:vAlign w:val="center"/>
          </w:tcPr>
          <w:p>
            <w:pPr>
              <w:snapToGrid w:val="0"/>
              <w:spacing w:line="240" w:lineRule="exact"/>
              <w:ind w:firstLine="0" w:firstLineChars="0"/>
              <w:jc w:val="center"/>
              <w:rPr>
                <w:rFonts w:eastAsiaTheme="minorEastAsia"/>
                <w:color w:val="auto"/>
                <w:kern w:val="0"/>
                <w:sz w:val="21"/>
                <w:szCs w:val="21"/>
              </w:rPr>
            </w:pPr>
          </w:p>
        </w:tc>
        <w:tc>
          <w:tcPr>
            <w:tcW w:w="1412" w:type="dxa"/>
            <w:vMerge w:val="continue"/>
            <w:vAlign w:val="center"/>
          </w:tcPr>
          <w:p>
            <w:pPr>
              <w:snapToGrid w:val="0"/>
              <w:spacing w:line="240" w:lineRule="exact"/>
              <w:ind w:firstLine="0" w:firstLineChars="0"/>
              <w:jc w:val="center"/>
              <w:rPr>
                <w:rFonts w:eastAsiaTheme="minorEastAsia"/>
                <w:color w:val="auto"/>
                <w:kern w:val="0"/>
                <w:sz w:val="21"/>
                <w:szCs w:val="21"/>
              </w:rPr>
            </w:pPr>
          </w:p>
        </w:tc>
        <w:tc>
          <w:tcPr>
            <w:tcW w:w="1413" w:type="dxa"/>
            <w:vMerge w:val="continue"/>
            <w:vAlign w:val="center"/>
          </w:tcPr>
          <w:p>
            <w:pPr>
              <w:snapToGrid w:val="0"/>
              <w:spacing w:line="240" w:lineRule="exact"/>
              <w:ind w:firstLine="0" w:firstLineChars="0"/>
              <w:jc w:val="center"/>
              <w:rPr>
                <w:rFonts w:hint="eastAsia" w:eastAsiaTheme="minorEastAsia"/>
                <w:color w:val="auto"/>
                <w:kern w:val="0"/>
                <w:sz w:val="21"/>
                <w:szCs w:val="21"/>
                <w:lang w:val="en-US" w:eastAsia="zh-CN"/>
              </w:rPr>
            </w:pPr>
          </w:p>
        </w:tc>
        <w:tc>
          <w:tcPr>
            <w:tcW w:w="2119" w:type="dxa"/>
            <w:vAlign w:val="center"/>
          </w:tcPr>
          <w:p>
            <w:pPr>
              <w:snapToGrid w:val="0"/>
              <w:spacing w:line="240" w:lineRule="exact"/>
              <w:ind w:firstLine="0" w:firstLineChars="0"/>
              <w:jc w:val="center"/>
              <w:rPr>
                <w:rFonts w:hint="eastAsia" w:eastAsiaTheme="minorEastAsia"/>
                <w:color w:val="auto"/>
                <w:kern w:val="0"/>
                <w:sz w:val="21"/>
                <w:szCs w:val="21"/>
              </w:rPr>
            </w:pPr>
            <w:r>
              <w:rPr>
                <w:rFonts w:hint="eastAsia" w:eastAsiaTheme="minorEastAsia"/>
                <w:color w:val="auto"/>
                <w:kern w:val="0"/>
                <w:sz w:val="21"/>
                <w:szCs w:val="21"/>
              </w:rPr>
              <w:t>獾</w:t>
            </w:r>
          </w:p>
        </w:tc>
        <w:tc>
          <w:tcPr>
            <w:tcW w:w="1554" w:type="dxa"/>
            <w:vMerge w:val="continue"/>
            <w:vAlign w:val="center"/>
          </w:tcPr>
          <w:p>
            <w:pPr>
              <w:snapToGrid w:val="0"/>
              <w:spacing w:line="240" w:lineRule="exact"/>
              <w:ind w:firstLine="0" w:firstLineChars="0"/>
              <w:jc w:val="center"/>
              <w:rPr>
                <w:rFonts w:eastAsiaTheme="minorEastAsia"/>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398" w:type="dxa"/>
            <w:vMerge w:val="continue"/>
            <w:vAlign w:val="center"/>
          </w:tcPr>
          <w:p>
            <w:pPr>
              <w:snapToGrid w:val="0"/>
              <w:spacing w:line="240" w:lineRule="exact"/>
              <w:ind w:firstLine="0" w:firstLineChars="0"/>
              <w:jc w:val="center"/>
              <w:rPr>
                <w:rFonts w:eastAsiaTheme="minorEastAsia"/>
                <w:color w:val="auto"/>
                <w:kern w:val="0"/>
                <w:sz w:val="21"/>
                <w:szCs w:val="21"/>
              </w:rPr>
            </w:pPr>
          </w:p>
        </w:tc>
        <w:tc>
          <w:tcPr>
            <w:tcW w:w="1412" w:type="dxa"/>
            <w:vMerge w:val="continue"/>
            <w:vAlign w:val="center"/>
          </w:tcPr>
          <w:p>
            <w:pPr>
              <w:snapToGrid w:val="0"/>
              <w:spacing w:line="240" w:lineRule="exact"/>
              <w:ind w:firstLine="0" w:firstLineChars="0"/>
              <w:jc w:val="center"/>
              <w:rPr>
                <w:rFonts w:eastAsiaTheme="minorEastAsia"/>
                <w:color w:val="auto"/>
                <w:kern w:val="0"/>
                <w:sz w:val="21"/>
                <w:szCs w:val="21"/>
              </w:rPr>
            </w:pPr>
          </w:p>
        </w:tc>
        <w:tc>
          <w:tcPr>
            <w:tcW w:w="1413" w:type="dxa"/>
            <w:vMerge w:val="continue"/>
            <w:vAlign w:val="center"/>
          </w:tcPr>
          <w:p>
            <w:pPr>
              <w:snapToGrid w:val="0"/>
              <w:spacing w:line="240" w:lineRule="exact"/>
              <w:ind w:firstLine="0" w:firstLineChars="0"/>
              <w:jc w:val="center"/>
              <w:rPr>
                <w:rFonts w:hint="eastAsia" w:eastAsiaTheme="minorEastAsia"/>
                <w:color w:val="auto"/>
                <w:kern w:val="0"/>
                <w:sz w:val="21"/>
                <w:szCs w:val="21"/>
                <w:lang w:val="en-US" w:eastAsia="zh-CN"/>
              </w:rPr>
            </w:pPr>
          </w:p>
        </w:tc>
        <w:tc>
          <w:tcPr>
            <w:tcW w:w="2119" w:type="dxa"/>
            <w:vAlign w:val="center"/>
          </w:tcPr>
          <w:p>
            <w:pPr>
              <w:snapToGrid w:val="0"/>
              <w:spacing w:line="240" w:lineRule="exact"/>
              <w:ind w:firstLine="0" w:firstLineChars="0"/>
              <w:jc w:val="center"/>
              <w:rPr>
                <w:rFonts w:hint="eastAsia" w:eastAsiaTheme="minorEastAsia"/>
                <w:color w:val="auto"/>
                <w:kern w:val="0"/>
                <w:sz w:val="21"/>
                <w:szCs w:val="21"/>
              </w:rPr>
            </w:pPr>
            <w:r>
              <w:rPr>
                <w:rFonts w:hint="eastAsia" w:eastAsiaTheme="minorEastAsia"/>
                <w:color w:val="auto"/>
                <w:kern w:val="0"/>
                <w:sz w:val="21"/>
                <w:szCs w:val="21"/>
              </w:rPr>
              <w:t>水獭</w:t>
            </w:r>
          </w:p>
        </w:tc>
        <w:tc>
          <w:tcPr>
            <w:tcW w:w="1554" w:type="dxa"/>
            <w:vMerge w:val="continue"/>
            <w:vAlign w:val="center"/>
          </w:tcPr>
          <w:p>
            <w:pPr>
              <w:snapToGrid w:val="0"/>
              <w:spacing w:line="240" w:lineRule="exact"/>
              <w:ind w:firstLine="0" w:firstLineChars="0"/>
              <w:jc w:val="center"/>
              <w:rPr>
                <w:rFonts w:eastAsiaTheme="minorEastAsia"/>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398" w:type="dxa"/>
            <w:vAlign w:val="center"/>
          </w:tcPr>
          <w:p>
            <w:pPr>
              <w:snapToGrid w:val="0"/>
              <w:spacing w:line="240" w:lineRule="exact"/>
              <w:ind w:firstLine="0" w:firstLineChars="0"/>
              <w:jc w:val="center"/>
              <w:rPr>
                <w:rFonts w:eastAsiaTheme="minorEastAsia"/>
                <w:color w:val="auto"/>
                <w:kern w:val="0"/>
                <w:sz w:val="21"/>
                <w:szCs w:val="21"/>
              </w:rPr>
            </w:pPr>
            <w:r>
              <w:rPr>
                <w:rFonts w:hint="eastAsia" w:eastAsiaTheme="minorEastAsia"/>
                <w:color w:val="auto"/>
                <w:kern w:val="0"/>
                <w:sz w:val="21"/>
                <w:szCs w:val="21"/>
              </w:rPr>
              <w:t>偶蹄目</w:t>
            </w:r>
          </w:p>
        </w:tc>
        <w:tc>
          <w:tcPr>
            <w:tcW w:w="1412" w:type="dxa"/>
            <w:vAlign w:val="center"/>
          </w:tcPr>
          <w:p>
            <w:pPr>
              <w:snapToGrid w:val="0"/>
              <w:spacing w:line="240" w:lineRule="exact"/>
              <w:ind w:firstLine="0" w:firstLineChars="0"/>
              <w:jc w:val="center"/>
              <w:rPr>
                <w:rFonts w:eastAsiaTheme="minorEastAsia"/>
                <w:color w:val="auto"/>
                <w:kern w:val="0"/>
                <w:sz w:val="21"/>
                <w:szCs w:val="21"/>
              </w:rPr>
            </w:pPr>
            <w:r>
              <w:rPr>
                <w:rFonts w:hint="eastAsia" w:eastAsiaTheme="minorEastAsia"/>
                <w:color w:val="auto"/>
                <w:kern w:val="0"/>
                <w:sz w:val="21"/>
                <w:szCs w:val="21"/>
              </w:rPr>
              <w:t>猪科</w:t>
            </w:r>
          </w:p>
        </w:tc>
        <w:tc>
          <w:tcPr>
            <w:tcW w:w="1413" w:type="dxa"/>
            <w:vAlign w:val="center"/>
          </w:tcPr>
          <w:p>
            <w:pPr>
              <w:snapToGrid w:val="0"/>
              <w:spacing w:line="240" w:lineRule="exact"/>
              <w:ind w:firstLine="0" w:firstLineChars="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1</w:t>
            </w:r>
          </w:p>
        </w:tc>
        <w:tc>
          <w:tcPr>
            <w:tcW w:w="2119" w:type="dxa"/>
            <w:vAlign w:val="center"/>
          </w:tcPr>
          <w:p>
            <w:pPr>
              <w:snapToGrid w:val="0"/>
              <w:spacing w:line="240" w:lineRule="exact"/>
              <w:ind w:firstLine="0" w:firstLineChars="0"/>
              <w:jc w:val="center"/>
              <w:rPr>
                <w:rFonts w:hint="eastAsia" w:eastAsiaTheme="minorEastAsia"/>
                <w:color w:val="auto"/>
                <w:kern w:val="0"/>
                <w:sz w:val="21"/>
                <w:szCs w:val="21"/>
              </w:rPr>
            </w:pPr>
            <w:r>
              <w:rPr>
                <w:rFonts w:hint="eastAsia" w:eastAsiaTheme="minorEastAsia"/>
                <w:color w:val="auto"/>
                <w:kern w:val="0"/>
                <w:sz w:val="21"/>
                <w:szCs w:val="21"/>
              </w:rPr>
              <w:t>野猪</w:t>
            </w:r>
          </w:p>
        </w:tc>
        <w:tc>
          <w:tcPr>
            <w:tcW w:w="1554" w:type="dxa"/>
            <w:vAlign w:val="center"/>
          </w:tcPr>
          <w:p>
            <w:pPr>
              <w:snapToGrid w:val="0"/>
              <w:spacing w:line="240" w:lineRule="exact"/>
              <w:ind w:firstLine="0" w:firstLineChars="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7.6</w:t>
            </w:r>
          </w:p>
        </w:tc>
      </w:tr>
    </w:tbl>
    <w:p>
      <w:pPr>
        <w:adjustRightInd w:val="0"/>
        <w:snapToGrid w:val="0"/>
        <w:spacing w:before="200" w:beforeLines="50"/>
        <w:ind w:firstLine="480"/>
        <w:rPr>
          <w:rFonts w:eastAsiaTheme="minorEastAsia"/>
          <w:color w:val="auto"/>
          <w:kern w:val="0"/>
          <w:szCs w:val="20"/>
        </w:rPr>
      </w:pPr>
      <w:r>
        <w:rPr>
          <w:rFonts w:hint="eastAsia" w:ascii="宋体" w:hAnsi="宋体" w:cs="宋体"/>
          <w:color w:val="auto"/>
          <w:kern w:val="0"/>
          <w:szCs w:val="20"/>
        </w:rPr>
        <w:t>②</w:t>
      </w:r>
      <w:r>
        <w:rPr>
          <w:rFonts w:eastAsiaTheme="minorEastAsia"/>
          <w:color w:val="auto"/>
          <w:kern w:val="0"/>
          <w:szCs w:val="20"/>
        </w:rPr>
        <w:t>生态分布</w:t>
      </w:r>
    </w:p>
    <w:p>
      <w:pPr>
        <w:adjustRightInd w:val="0"/>
        <w:snapToGrid w:val="0"/>
        <w:ind w:firstLine="480"/>
        <w:rPr>
          <w:rFonts w:eastAsiaTheme="minorEastAsia"/>
          <w:color w:val="auto"/>
          <w:kern w:val="0"/>
          <w:szCs w:val="20"/>
        </w:rPr>
      </w:pPr>
      <w:r>
        <w:rPr>
          <w:rFonts w:eastAsiaTheme="minorEastAsia"/>
          <w:color w:val="auto"/>
          <w:kern w:val="0"/>
          <w:szCs w:val="20"/>
        </w:rPr>
        <w:t>根据项目周边地区域内生境特点及兽类的生活习性，项目周边地区域的兽类可以划分为以下几种类型：</w:t>
      </w:r>
    </w:p>
    <w:p>
      <w:pPr>
        <w:adjustRightInd w:val="0"/>
        <w:snapToGrid w:val="0"/>
        <w:ind w:firstLine="480"/>
        <w:rPr>
          <w:rFonts w:eastAsiaTheme="minorEastAsia"/>
          <w:color w:val="auto"/>
          <w:kern w:val="0"/>
          <w:szCs w:val="20"/>
        </w:rPr>
      </w:pPr>
      <w:r>
        <w:rPr>
          <w:rFonts w:eastAsiaTheme="minorEastAsia"/>
          <w:color w:val="auto"/>
          <w:kern w:val="0"/>
          <w:szCs w:val="20"/>
        </w:rPr>
        <w:t>农田、村落类型：生活在项目周边地区农田、村落环境中的兽类。如小家鼠、褐家鼠、黑线姬鼠、黄胸鼠等。</w:t>
      </w:r>
    </w:p>
    <w:p>
      <w:pPr>
        <w:widowControl/>
        <w:shd w:val="clear" w:color="auto" w:fill="FFFFFF"/>
        <w:adjustRightInd w:val="0"/>
        <w:snapToGrid w:val="0"/>
        <w:ind w:firstLine="480"/>
        <w:jc w:val="left"/>
        <w:rPr>
          <w:rFonts w:eastAsiaTheme="minorEastAsia"/>
          <w:color w:val="auto"/>
          <w:kern w:val="0"/>
          <w:szCs w:val="20"/>
        </w:rPr>
      </w:pPr>
      <w:r>
        <w:rPr>
          <w:rFonts w:eastAsiaTheme="minorEastAsia"/>
          <w:color w:val="auto"/>
          <w:kern w:val="0"/>
          <w:szCs w:val="20"/>
        </w:rPr>
        <w:t>灌丛及草地类型：生活在项目周边地区灌丛及草地生境中的兽类。如草兔和黄鼬等。</w:t>
      </w:r>
    </w:p>
    <w:p>
      <w:pPr>
        <w:adjustRightInd w:val="0"/>
        <w:snapToGrid w:val="0"/>
        <w:ind w:firstLine="480"/>
        <w:rPr>
          <w:rFonts w:eastAsiaTheme="minorEastAsia"/>
          <w:color w:val="auto"/>
          <w:kern w:val="0"/>
          <w:szCs w:val="20"/>
        </w:rPr>
      </w:pPr>
      <w:r>
        <w:rPr>
          <w:rFonts w:eastAsiaTheme="minorEastAsia"/>
          <w:color w:val="auto"/>
          <w:kern w:val="0"/>
          <w:szCs w:val="20"/>
        </w:rPr>
        <w:t>森林类型：生活在项目周边地区森林生境中的兽类。如岩松鼠</w:t>
      </w:r>
      <w:r>
        <w:rPr>
          <w:rFonts w:hint="eastAsia" w:eastAsiaTheme="minorEastAsia"/>
          <w:color w:val="auto"/>
          <w:kern w:val="0"/>
          <w:szCs w:val="20"/>
          <w:lang w:eastAsia="zh-CN"/>
        </w:rPr>
        <w:t>、</w:t>
      </w:r>
      <w:r>
        <w:rPr>
          <w:rFonts w:hint="eastAsia" w:eastAsiaTheme="minorEastAsia"/>
          <w:color w:val="auto"/>
          <w:kern w:val="0"/>
          <w:szCs w:val="20"/>
          <w:lang w:val="en-US" w:eastAsia="zh-CN"/>
        </w:rPr>
        <w:t>野猪</w:t>
      </w:r>
      <w:r>
        <w:rPr>
          <w:rFonts w:eastAsiaTheme="minorEastAsia"/>
          <w:color w:val="auto"/>
          <w:kern w:val="0"/>
          <w:szCs w:val="20"/>
        </w:rPr>
        <w:t>等。</w:t>
      </w:r>
    </w:p>
    <w:p>
      <w:pPr>
        <w:adjustRightInd w:val="0"/>
        <w:snapToGrid w:val="0"/>
        <w:ind w:left="480" w:leftChars="200" w:firstLine="0" w:firstLineChars="0"/>
        <w:rPr>
          <w:rFonts w:eastAsiaTheme="minorEastAsia"/>
          <w:color w:val="auto"/>
          <w:kern w:val="0"/>
          <w:szCs w:val="20"/>
        </w:rPr>
      </w:pPr>
      <w:r>
        <w:rPr>
          <w:rFonts w:hint="eastAsia" w:eastAsiaTheme="minorEastAsia"/>
          <w:color w:val="auto"/>
          <w:kern w:val="0"/>
          <w:szCs w:val="20"/>
        </w:rPr>
        <w:t>（2）</w:t>
      </w:r>
      <w:r>
        <w:rPr>
          <w:rFonts w:eastAsiaTheme="minorEastAsia"/>
          <w:color w:val="auto"/>
          <w:kern w:val="0"/>
          <w:szCs w:val="20"/>
        </w:rPr>
        <w:t>鸟类</w:t>
      </w:r>
    </w:p>
    <w:p>
      <w:pPr>
        <w:snapToGrid w:val="0"/>
        <w:ind w:firstLine="480"/>
        <w:rPr>
          <w:rFonts w:eastAsiaTheme="minorEastAsia"/>
          <w:color w:val="auto"/>
          <w:kern w:val="0"/>
          <w:szCs w:val="20"/>
        </w:rPr>
      </w:pPr>
      <w:r>
        <w:rPr>
          <w:rFonts w:hint="eastAsia" w:eastAsiaTheme="minorEastAsia"/>
          <w:color w:val="auto"/>
          <w:kern w:val="0"/>
          <w:szCs w:val="20"/>
        </w:rPr>
        <w:t>①调查方法</w:t>
      </w:r>
    </w:p>
    <w:p>
      <w:pPr>
        <w:snapToGrid w:val="0"/>
        <w:ind w:firstLine="480"/>
        <w:rPr>
          <w:color w:val="auto"/>
        </w:rPr>
      </w:pPr>
      <w:r>
        <w:rPr>
          <w:rFonts w:hint="eastAsia" w:eastAsiaTheme="minorEastAsia"/>
          <w:color w:val="auto"/>
          <w:kern w:val="0"/>
          <w:szCs w:val="20"/>
        </w:rPr>
        <w:t>一般采用样带法进行调查统计，在样带中徒步进行调查统计。按照《生物物种监测技术指南鸟类》中的相关要求，所选择的监测样线和样点能代表监测区域的不同生境特点。具有多种生境特点的区域可根据需要在不同的生境类型中分别设置足够数量的监测样线和样点。</w:t>
      </w:r>
    </w:p>
    <w:p>
      <w:pPr>
        <w:snapToGrid w:val="0"/>
        <w:ind w:firstLine="480"/>
        <w:rPr>
          <w:rFonts w:eastAsiaTheme="minorEastAsia"/>
          <w:color w:val="auto"/>
          <w:kern w:val="0"/>
          <w:szCs w:val="20"/>
        </w:rPr>
      </w:pPr>
      <w:r>
        <w:rPr>
          <w:rFonts w:hint="eastAsia" w:eastAsiaTheme="minorEastAsia"/>
          <w:color w:val="auto"/>
          <w:kern w:val="0"/>
          <w:szCs w:val="20"/>
        </w:rPr>
        <w:t>沿线路走向，两侧各设置一条样带，每条样带长度1km，宽度为50m。调查时间一般为清晨或傍晚；最佳步行速度一般每小时0.5km-1km。每条样带重复两次记录。调查时只记录位于前方及两侧的鸟类，包括向后飞越过样带的个体，向前飞越过样带的个体则不记录。繁殖期调查时听到或看到一只成体雄鸟应记做一对；在没有见到雄鸟的情况下，见到一只成体雌鸟或一窝卵或雏也应视为一对。</w:t>
      </w:r>
    </w:p>
    <w:p>
      <w:pPr>
        <w:adjustRightInd w:val="0"/>
        <w:snapToGrid w:val="0"/>
        <w:ind w:firstLine="480"/>
        <w:rPr>
          <w:rFonts w:eastAsiaTheme="minorEastAsia"/>
          <w:color w:val="auto"/>
          <w:kern w:val="0"/>
          <w:szCs w:val="20"/>
        </w:rPr>
      </w:pPr>
      <w:r>
        <w:rPr>
          <w:rFonts w:eastAsiaTheme="minorEastAsia"/>
          <w:color w:val="auto"/>
          <w:kern w:val="0"/>
          <w:szCs w:val="20"/>
        </w:rPr>
        <w:t>根据</w:t>
      </w:r>
      <w:r>
        <w:rPr>
          <w:rFonts w:hint="eastAsia" w:eastAsiaTheme="minorEastAsia"/>
          <w:color w:val="auto"/>
          <w:kern w:val="0"/>
          <w:szCs w:val="20"/>
        </w:rPr>
        <w:t>调查，</w:t>
      </w:r>
      <w:r>
        <w:rPr>
          <w:rFonts w:eastAsiaTheme="minorEastAsia"/>
          <w:color w:val="auto"/>
          <w:kern w:val="0"/>
          <w:szCs w:val="20"/>
        </w:rPr>
        <w:t>项目周边地区内有鸟类</w:t>
      </w:r>
      <w:r>
        <w:rPr>
          <w:rFonts w:hint="eastAsia" w:eastAsiaTheme="minorEastAsia"/>
          <w:color w:val="auto"/>
          <w:kern w:val="0"/>
          <w:szCs w:val="20"/>
          <w:lang w:val="en-US" w:eastAsia="zh-CN"/>
        </w:rPr>
        <w:t>4</w:t>
      </w:r>
      <w:r>
        <w:rPr>
          <w:rFonts w:eastAsiaTheme="minorEastAsia"/>
          <w:color w:val="auto"/>
          <w:kern w:val="0"/>
          <w:szCs w:val="20"/>
        </w:rPr>
        <w:t>目</w:t>
      </w:r>
      <w:r>
        <w:rPr>
          <w:rFonts w:hint="eastAsia" w:eastAsiaTheme="minorEastAsia"/>
          <w:color w:val="auto"/>
          <w:kern w:val="0"/>
          <w:szCs w:val="20"/>
          <w:lang w:val="en-US" w:eastAsia="zh-CN"/>
        </w:rPr>
        <w:t>7</w:t>
      </w:r>
      <w:r>
        <w:rPr>
          <w:rFonts w:eastAsiaTheme="minorEastAsia"/>
          <w:color w:val="auto"/>
          <w:kern w:val="0"/>
          <w:szCs w:val="20"/>
        </w:rPr>
        <w:t>科18种。从物种的目级组成上来看，项目周边地区鸟类以雀形目为优势种类，其所含物种数占到了项目周边地区目前已知分布的鸟类物种总数的</w:t>
      </w:r>
      <w:r>
        <w:rPr>
          <w:rFonts w:hint="eastAsia" w:eastAsiaTheme="minorEastAsia"/>
          <w:color w:val="auto"/>
          <w:kern w:val="0"/>
          <w:szCs w:val="20"/>
          <w:lang w:val="en-US" w:eastAsia="zh-CN"/>
        </w:rPr>
        <w:t>55.2</w:t>
      </w:r>
      <w:r>
        <w:rPr>
          <w:rFonts w:eastAsiaTheme="minorEastAsia"/>
          <w:color w:val="auto"/>
          <w:kern w:val="0"/>
          <w:szCs w:val="20"/>
        </w:rPr>
        <w:t>%。其余</w:t>
      </w:r>
      <w:r>
        <w:rPr>
          <w:rFonts w:hint="eastAsia" w:eastAsiaTheme="minorEastAsia"/>
          <w:color w:val="auto"/>
          <w:kern w:val="0"/>
          <w:szCs w:val="20"/>
          <w:lang w:val="en-US" w:eastAsia="zh-CN"/>
        </w:rPr>
        <w:t>3</w:t>
      </w:r>
      <w:r>
        <w:rPr>
          <w:rFonts w:eastAsiaTheme="minorEastAsia"/>
          <w:color w:val="auto"/>
          <w:kern w:val="0"/>
          <w:szCs w:val="20"/>
        </w:rPr>
        <w:t>目占到</w:t>
      </w:r>
      <w:r>
        <w:rPr>
          <w:rFonts w:hint="eastAsia" w:eastAsiaTheme="minorEastAsia"/>
          <w:color w:val="auto"/>
          <w:kern w:val="0"/>
          <w:szCs w:val="20"/>
          <w:lang w:val="en-US" w:eastAsia="zh-CN"/>
        </w:rPr>
        <w:t>44.8</w:t>
      </w:r>
      <w:r>
        <w:rPr>
          <w:rFonts w:eastAsiaTheme="minorEastAsia"/>
          <w:color w:val="auto"/>
          <w:kern w:val="0"/>
          <w:szCs w:val="20"/>
        </w:rPr>
        <w:t>%。项目周边地区鸟类各目、科所含种数及所占比例见表</w:t>
      </w:r>
      <w:r>
        <w:rPr>
          <w:rFonts w:hint="eastAsia" w:eastAsiaTheme="minorEastAsia"/>
          <w:color w:val="auto"/>
          <w:kern w:val="0"/>
          <w:szCs w:val="20"/>
        </w:rPr>
        <w:t>4</w:t>
      </w:r>
      <w:r>
        <w:rPr>
          <w:rFonts w:eastAsiaTheme="minorEastAsia"/>
          <w:color w:val="auto"/>
          <w:kern w:val="0"/>
          <w:szCs w:val="20"/>
        </w:rPr>
        <w:t>.3</w:t>
      </w:r>
      <w:r>
        <w:rPr>
          <w:rFonts w:hint="eastAsia" w:eastAsiaTheme="minorEastAsia"/>
          <w:color w:val="auto"/>
          <w:kern w:val="0"/>
          <w:szCs w:val="20"/>
        </w:rPr>
        <w:t>-</w:t>
      </w:r>
      <w:r>
        <w:rPr>
          <w:rFonts w:eastAsiaTheme="minorEastAsia"/>
          <w:color w:val="auto"/>
          <w:kern w:val="0"/>
          <w:szCs w:val="20"/>
        </w:rPr>
        <w:t>7。</w:t>
      </w:r>
    </w:p>
    <w:p>
      <w:pPr>
        <w:autoSpaceDE w:val="0"/>
        <w:autoSpaceDN w:val="0"/>
        <w:adjustRightInd w:val="0"/>
        <w:snapToGrid w:val="0"/>
        <w:spacing w:line="240" w:lineRule="auto"/>
        <w:ind w:firstLine="0" w:firstLineChars="0"/>
        <w:jc w:val="center"/>
        <w:rPr>
          <w:rFonts w:eastAsiaTheme="minorEastAsia"/>
          <w:b/>
          <w:color w:val="auto"/>
          <w:kern w:val="0"/>
        </w:rPr>
      </w:pPr>
      <w:r>
        <w:rPr>
          <w:rFonts w:eastAsiaTheme="minorEastAsia"/>
          <w:b/>
          <w:color w:val="auto"/>
          <w:kern w:val="0"/>
        </w:rPr>
        <w:t>表</w:t>
      </w:r>
      <w:r>
        <w:rPr>
          <w:rFonts w:hint="eastAsia" w:eastAsiaTheme="minorEastAsia"/>
          <w:b/>
          <w:color w:val="auto"/>
          <w:kern w:val="0"/>
        </w:rPr>
        <w:t>4</w:t>
      </w:r>
      <w:r>
        <w:rPr>
          <w:rFonts w:eastAsiaTheme="minorEastAsia"/>
          <w:b/>
          <w:color w:val="auto"/>
          <w:kern w:val="0"/>
        </w:rPr>
        <w:t>.3</w:t>
      </w:r>
      <w:r>
        <w:rPr>
          <w:rFonts w:hint="eastAsia" w:eastAsiaTheme="minorEastAsia"/>
          <w:b/>
          <w:color w:val="auto"/>
          <w:kern w:val="0"/>
        </w:rPr>
        <w:t>-</w:t>
      </w:r>
      <w:r>
        <w:rPr>
          <w:rFonts w:eastAsiaTheme="minorEastAsia"/>
          <w:b/>
          <w:color w:val="auto"/>
          <w:kern w:val="0"/>
        </w:rPr>
        <w:t xml:space="preserve">7 </w:t>
      </w:r>
      <w:r>
        <w:rPr>
          <w:rFonts w:eastAsiaTheme="minorEastAsia"/>
          <w:color w:val="auto"/>
          <w:kern w:val="0"/>
        </w:rPr>
        <w:t xml:space="preserve"> </w:t>
      </w:r>
      <w:r>
        <w:rPr>
          <w:rFonts w:eastAsiaTheme="minorEastAsia"/>
          <w:b/>
          <w:color w:val="auto"/>
          <w:kern w:val="0"/>
        </w:rPr>
        <w:t>项目周边地区主要的鸟类种类名录</w:t>
      </w:r>
    </w:p>
    <w:tbl>
      <w:tblPr>
        <w:tblStyle w:val="42"/>
        <w:tblW w:w="83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1677"/>
        <w:gridCol w:w="1533"/>
        <w:gridCol w:w="1992"/>
        <w:gridCol w:w="1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tblHeader/>
          <w:jc w:val="center"/>
        </w:trPr>
        <w:tc>
          <w:tcPr>
            <w:tcW w:w="1427" w:type="dxa"/>
            <w:tcBorders>
              <w:top w:val="single" w:color="auto" w:sz="12" w:space="0"/>
              <w:bottom w:val="single" w:color="auto" w:sz="12" w:space="0"/>
            </w:tcBorders>
            <w:vAlign w:val="center"/>
          </w:tcPr>
          <w:p>
            <w:pPr>
              <w:widowControl/>
              <w:snapToGrid w:val="0"/>
              <w:spacing w:line="240" w:lineRule="auto"/>
              <w:ind w:firstLine="0" w:firstLineChars="0"/>
              <w:jc w:val="center"/>
              <w:textAlignment w:val="center"/>
              <w:rPr>
                <w:rFonts w:cs="Times New Roman" w:eastAsiaTheme="minorEastAsia"/>
                <w:b/>
                <w:bCs/>
                <w:color w:val="auto"/>
                <w:kern w:val="0"/>
                <w:sz w:val="21"/>
                <w:szCs w:val="21"/>
              </w:rPr>
            </w:pPr>
            <w:r>
              <w:rPr>
                <w:rFonts w:cs="Times New Roman" w:eastAsiaTheme="minorEastAsia"/>
                <w:b/>
                <w:bCs/>
                <w:color w:val="auto"/>
                <w:kern w:val="0"/>
                <w:sz w:val="21"/>
                <w:szCs w:val="21"/>
                <w:lang w:bidi="ar"/>
              </w:rPr>
              <w:t>目</w:t>
            </w:r>
          </w:p>
        </w:tc>
        <w:tc>
          <w:tcPr>
            <w:tcW w:w="1677" w:type="dxa"/>
            <w:tcBorders>
              <w:top w:val="single" w:color="auto" w:sz="12" w:space="0"/>
              <w:bottom w:val="single" w:color="auto" w:sz="12" w:space="0"/>
            </w:tcBorders>
            <w:vAlign w:val="center"/>
          </w:tcPr>
          <w:p>
            <w:pPr>
              <w:widowControl/>
              <w:snapToGrid w:val="0"/>
              <w:spacing w:line="240" w:lineRule="auto"/>
              <w:ind w:firstLine="0" w:firstLineChars="0"/>
              <w:jc w:val="center"/>
              <w:textAlignment w:val="center"/>
              <w:rPr>
                <w:rFonts w:cs="Times New Roman" w:eastAsiaTheme="minorEastAsia"/>
                <w:b/>
                <w:bCs/>
                <w:color w:val="auto"/>
                <w:kern w:val="0"/>
                <w:sz w:val="21"/>
                <w:szCs w:val="21"/>
              </w:rPr>
            </w:pPr>
            <w:r>
              <w:rPr>
                <w:rFonts w:cs="Times New Roman" w:eastAsiaTheme="minorEastAsia"/>
                <w:b/>
                <w:bCs/>
                <w:color w:val="auto"/>
                <w:kern w:val="0"/>
                <w:sz w:val="21"/>
                <w:szCs w:val="21"/>
                <w:lang w:bidi="ar"/>
              </w:rPr>
              <w:t>科</w:t>
            </w:r>
          </w:p>
        </w:tc>
        <w:tc>
          <w:tcPr>
            <w:tcW w:w="1533" w:type="dxa"/>
            <w:tcBorders>
              <w:top w:val="single" w:color="auto" w:sz="12" w:space="0"/>
              <w:bottom w:val="single" w:color="auto" w:sz="12" w:space="0"/>
            </w:tcBorders>
            <w:vAlign w:val="center"/>
          </w:tcPr>
          <w:p>
            <w:pPr>
              <w:widowControl/>
              <w:snapToGrid w:val="0"/>
              <w:spacing w:line="240" w:lineRule="auto"/>
              <w:ind w:firstLine="0" w:firstLineChars="0"/>
              <w:jc w:val="center"/>
              <w:textAlignment w:val="center"/>
              <w:rPr>
                <w:rFonts w:cs="Times New Roman" w:eastAsiaTheme="minorEastAsia"/>
                <w:b/>
                <w:bCs/>
                <w:color w:val="auto"/>
                <w:kern w:val="0"/>
                <w:sz w:val="21"/>
                <w:szCs w:val="21"/>
              </w:rPr>
            </w:pPr>
            <w:r>
              <w:rPr>
                <w:rFonts w:cs="Times New Roman" w:eastAsiaTheme="minorEastAsia"/>
                <w:b/>
                <w:bCs/>
                <w:color w:val="auto"/>
                <w:kern w:val="0"/>
                <w:sz w:val="21"/>
                <w:szCs w:val="21"/>
                <w:lang w:bidi="ar"/>
              </w:rPr>
              <w:t>种</w:t>
            </w:r>
          </w:p>
        </w:tc>
        <w:tc>
          <w:tcPr>
            <w:tcW w:w="1992" w:type="dxa"/>
            <w:tcBorders>
              <w:top w:val="single" w:color="auto" w:sz="12" w:space="0"/>
              <w:bottom w:val="single" w:color="auto" w:sz="12" w:space="0"/>
            </w:tcBorders>
            <w:vAlign w:val="center"/>
          </w:tcPr>
          <w:p>
            <w:pPr>
              <w:widowControl/>
              <w:snapToGrid w:val="0"/>
              <w:spacing w:line="240" w:lineRule="auto"/>
              <w:ind w:firstLine="0" w:firstLineChars="0"/>
              <w:jc w:val="center"/>
              <w:textAlignment w:val="center"/>
              <w:rPr>
                <w:rFonts w:cs="Times New Roman" w:eastAsiaTheme="minorEastAsia"/>
                <w:b/>
                <w:bCs/>
                <w:color w:val="auto"/>
                <w:kern w:val="0"/>
                <w:sz w:val="21"/>
                <w:szCs w:val="21"/>
              </w:rPr>
            </w:pPr>
            <w:r>
              <w:rPr>
                <w:rFonts w:cs="Times New Roman" w:eastAsiaTheme="minorEastAsia"/>
                <w:b/>
                <w:bCs/>
                <w:color w:val="auto"/>
                <w:kern w:val="0"/>
                <w:sz w:val="21"/>
                <w:szCs w:val="21"/>
                <w:lang w:bidi="ar"/>
              </w:rPr>
              <w:t>中文名</w:t>
            </w:r>
          </w:p>
        </w:tc>
        <w:tc>
          <w:tcPr>
            <w:tcW w:w="1687" w:type="dxa"/>
            <w:tcBorders>
              <w:top w:val="single" w:color="auto" w:sz="12" w:space="0"/>
              <w:bottom w:val="single" w:color="auto" w:sz="12" w:space="0"/>
            </w:tcBorders>
            <w:vAlign w:val="center"/>
          </w:tcPr>
          <w:p>
            <w:pPr>
              <w:widowControl/>
              <w:snapToGrid w:val="0"/>
              <w:spacing w:line="240" w:lineRule="auto"/>
              <w:ind w:firstLine="0" w:firstLineChars="0"/>
              <w:jc w:val="center"/>
              <w:textAlignment w:val="center"/>
              <w:rPr>
                <w:rFonts w:cs="Times New Roman" w:eastAsiaTheme="minorEastAsia"/>
                <w:b/>
                <w:bCs/>
                <w:color w:val="auto"/>
                <w:kern w:val="0"/>
                <w:sz w:val="21"/>
                <w:szCs w:val="21"/>
              </w:rPr>
            </w:pPr>
            <w:r>
              <w:rPr>
                <w:rFonts w:cs="Times New Roman" w:eastAsiaTheme="minorEastAsia"/>
                <w:b/>
                <w:bCs/>
                <w:color w:val="auto"/>
                <w:kern w:val="0"/>
                <w:sz w:val="21"/>
                <w:szCs w:val="21"/>
                <w:lang w:bidi="ar"/>
              </w:rPr>
              <w:t>所占比例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restart"/>
            <w:tcBorders>
              <w:top w:val="single" w:color="auto" w:sz="12" w:space="0"/>
            </w:tcBorders>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lang w:bidi="ar"/>
              </w:rPr>
              <w:t>雀形目</w:t>
            </w:r>
          </w:p>
        </w:tc>
        <w:tc>
          <w:tcPr>
            <w:tcW w:w="1677" w:type="dxa"/>
            <w:tcBorders>
              <w:top w:val="single" w:color="auto" w:sz="12" w:space="0"/>
            </w:tcBorders>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百灵科</w:t>
            </w:r>
          </w:p>
        </w:tc>
        <w:tc>
          <w:tcPr>
            <w:tcW w:w="1533" w:type="dxa"/>
            <w:tcBorders>
              <w:top w:val="single" w:color="auto" w:sz="12" w:space="0"/>
            </w:tcBorders>
            <w:vAlign w:val="center"/>
          </w:tcPr>
          <w:p>
            <w:pPr>
              <w:widowControl/>
              <w:snapToGrid w:val="0"/>
              <w:spacing w:line="240" w:lineRule="auto"/>
              <w:ind w:firstLine="0" w:firstLineChars="0"/>
              <w:jc w:val="center"/>
              <w:textAlignment w:val="center"/>
              <w:rPr>
                <w:rFonts w:hint="eastAsia" w:cs="Times New Roman" w:eastAsiaTheme="minorEastAsia"/>
                <w:color w:val="auto"/>
                <w:kern w:val="0"/>
                <w:sz w:val="21"/>
                <w:szCs w:val="21"/>
                <w:lang w:eastAsia="zh-CN"/>
              </w:rPr>
            </w:pPr>
            <w:r>
              <w:rPr>
                <w:rFonts w:hint="eastAsia" w:cs="Times New Roman" w:eastAsiaTheme="minorEastAsia"/>
                <w:color w:val="auto"/>
                <w:kern w:val="0"/>
                <w:sz w:val="21"/>
                <w:szCs w:val="21"/>
                <w:lang w:val="en-US" w:eastAsia="zh-CN" w:bidi="ar"/>
              </w:rPr>
              <w:t>1</w:t>
            </w:r>
          </w:p>
        </w:tc>
        <w:tc>
          <w:tcPr>
            <w:tcW w:w="1992" w:type="dxa"/>
            <w:tcBorders>
              <w:top w:val="single" w:color="auto" w:sz="12" w:space="0"/>
            </w:tcBorders>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小云雀</w:t>
            </w:r>
          </w:p>
        </w:tc>
        <w:tc>
          <w:tcPr>
            <w:tcW w:w="1687" w:type="dxa"/>
            <w:tcBorders>
              <w:top w:val="single" w:color="auto" w:sz="12" w:space="0"/>
            </w:tcBorders>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hint="eastAsia" w:cs="Times New Roman" w:eastAsiaTheme="minorEastAsia"/>
                <w:color w:val="auto"/>
                <w:kern w:val="0"/>
                <w:sz w:val="21"/>
                <w:szCs w:val="21"/>
                <w:lang w:val="en-US" w:eastAsia="zh-CN" w:bidi="ar"/>
              </w:rPr>
              <w:t>5.5</w:t>
            </w:r>
            <w:r>
              <w:rPr>
                <w:rFonts w:cs="Times New Roman" w:eastAsiaTheme="minorEastAsia"/>
                <w:color w:val="auto"/>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家燕科</w:t>
            </w:r>
          </w:p>
        </w:tc>
        <w:tc>
          <w:tcPr>
            <w:tcW w:w="1533"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lang w:bidi="ar"/>
              </w:rPr>
              <w:t>2</w:t>
            </w:r>
          </w:p>
        </w:tc>
        <w:tc>
          <w:tcPr>
            <w:tcW w:w="1992"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家燕</w:t>
            </w:r>
          </w:p>
        </w:tc>
        <w:tc>
          <w:tcPr>
            <w:tcW w:w="1687" w:type="dxa"/>
            <w:vMerge w:val="restart"/>
            <w:vAlign w:val="center"/>
          </w:tcPr>
          <w:p>
            <w:pPr>
              <w:widowControl/>
              <w:snapToGrid w:val="0"/>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533"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992"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金腰燕</w:t>
            </w:r>
          </w:p>
        </w:tc>
        <w:tc>
          <w:tcPr>
            <w:tcW w:w="168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鸦科</w:t>
            </w:r>
          </w:p>
        </w:tc>
        <w:tc>
          <w:tcPr>
            <w:tcW w:w="1533"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lang w:bidi="ar"/>
              </w:rPr>
              <w:t>1</w:t>
            </w:r>
          </w:p>
        </w:tc>
        <w:tc>
          <w:tcPr>
            <w:tcW w:w="1992"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松鸦</w:t>
            </w:r>
          </w:p>
        </w:tc>
        <w:tc>
          <w:tcPr>
            <w:tcW w:w="1687" w:type="dxa"/>
            <w:vAlign w:val="center"/>
          </w:tcPr>
          <w:p>
            <w:pPr>
              <w:widowControl/>
              <w:snapToGrid w:val="0"/>
              <w:spacing w:line="240" w:lineRule="auto"/>
              <w:ind w:firstLine="0" w:firstLineChars="0"/>
              <w:jc w:val="center"/>
              <w:textAlignment w:val="center"/>
              <w:rPr>
                <w:rFonts w:hint="eastAsia"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continue"/>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p>
        </w:tc>
        <w:tc>
          <w:tcPr>
            <w:tcW w:w="1533"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lang w:bidi="ar"/>
              </w:rPr>
              <w:t>1</w:t>
            </w:r>
          </w:p>
        </w:tc>
        <w:tc>
          <w:tcPr>
            <w:tcW w:w="1992"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lang w:bidi="ar"/>
              </w:rPr>
              <w:t>灰椋鸟</w:t>
            </w:r>
          </w:p>
        </w:tc>
        <w:tc>
          <w:tcPr>
            <w:tcW w:w="1687" w:type="dxa"/>
            <w:vAlign w:val="center"/>
          </w:tcPr>
          <w:p>
            <w:pPr>
              <w:widowControl/>
              <w:snapToGrid w:val="0"/>
              <w:spacing w:line="240" w:lineRule="auto"/>
              <w:ind w:firstLine="0" w:firstLineChars="0"/>
              <w:jc w:val="center"/>
              <w:textAlignment w:val="center"/>
              <w:rPr>
                <w:rFonts w:hint="eastAsia"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continue"/>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lang w:bidi="ar"/>
              </w:rPr>
            </w:pPr>
          </w:p>
        </w:tc>
        <w:tc>
          <w:tcPr>
            <w:tcW w:w="1533" w:type="dxa"/>
            <w:vAlign w:val="center"/>
          </w:tcPr>
          <w:p>
            <w:pPr>
              <w:widowControl/>
              <w:snapToGrid w:val="0"/>
              <w:spacing w:line="240" w:lineRule="auto"/>
              <w:ind w:firstLine="0" w:firstLineChars="0"/>
              <w:jc w:val="center"/>
              <w:textAlignment w:val="center"/>
              <w:rPr>
                <w:rFonts w:hint="eastAsia"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1</w:t>
            </w:r>
          </w:p>
        </w:tc>
        <w:tc>
          <w:tcPr>
            <w:tcW w:w="1992"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lang w:bidi="ar"/>
              </w:rPr>
            </w:pPr>
            <w:r>
              <w:rPr>
                <w:rFonts w:cs="Times New Roman" w:eastAsiaTheme="minorEastAsia"/>
                <w:color w:val="auto"/>
                <w:kern w:val="0"/>
                <w:sz w:val="21"/>
                <w:szCs w:val="21"/>
                <w:lang w:bidi="ar"/>
              </w:rPr>
              <w:t>红嘴蓝鹊</w:t>
            </w:r>
          </w:p>
        </w:tc>
        <w:tc>
          <w:tcPr>
            <w:tcW w:w="1687" w:type="dxa"/>
            <w:vAlign w:val="center"/>
          </w:tcPr>
          <w:p>
            <w:pPr>
              <w:widowControl/>
              <w:snapToGrid w:val="0"/>
              <w:spacing w:line="240" w:lineRule="auto"/>
              <w:ind w:firstLine="0" w:firstLineChars="0"/>
              <w:jc w:val="center"/>
              <w:textAlignment w:val="center"/>
              <w:rPr>
                <w:rFonts w:hint="eastAsia"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continue"/>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lang w:bidi="ar"/>
              </w:rPr>
            </w:pPr>
          </w:p>
        </w:tc>
        <w:tc>
          <w:tcPr>
            <w:tcW w:w="1533" w:type="dxa"/>
            <w:vAlign w:val="center"/>
          </w:tcPr>
          <w:p>
            <w:pPr>
              <w:widowControl/>
              <w:snapToGrid w:val="0"/>
              <w:spacing w:line="240" w:lineRule="auto"/>
              <w:ind w:firstLine="0" w:firstLineChars="0"/>
              <w:jc w:val="center"/>
              <w:textAlignment w:val="center"/>
              <w:rPr>
                <w:rFonts w:hint="default"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1</w:t>
            </w:r>
          </w:p>
        </w:tc>
        <w:tc>
          <w:tcPr>
            <w:tcW w:w="1992"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lang w:bidi="ar"/>
              </w:rPr>
            </w:pPr>
            <w:r>
              <w:rPr>
                <w:rFonts w:cs="Times New Roman" w:eastAsiaTheme="minorEastAsia"/>
                <w:color w:val="auto"/>
                <w:kern w:val="0"/>
                <w:sz w:val="21"/>
                <w:szCs w:val="21"/>
                <w:lang w:bidi="ar"/>
              </w:rPr>
              <w:t>喜鹊</w:t>
            </w:r>
          </w:p>
        </w:tc>
        <w:tc>
          <w:tcPr>
            <w:tcW w:w="1687" w:type="dxa"/>
            <w:vAlign w:val="center"/>
          </w:tcPr>
          <w:p>
            <w:pPr>
              <w:widowControl/>
              <w:snapToGrid w:val="0"/>
              <w:spacing w:line="240" w:lineRule="auto"/>
              <w:ind w:firstLine="0" w:firstLineChars="0"/>
              <w:jc w:val="center"/>
              <w:textAlignment w:val="center"/>
              <w:rPr>
                <w:rFonts w:hint="eastAsia"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continue"/>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lang w:bidi="ar"/>
              </w:rPr>
            </w:pPr>
          </w:p>
        </w:tc>
        <w:tc>
          <w:tcPr>
            <w:tcW w:w="1533" w:type="dxa"/>
            <w:vAlign w:val="center"/>
          </w:tcPr>
          <w:p>
            <w:pPr>
              <w:widowControl/>
              <w:snapToGrid w:val="0"/>
              <w:spacing w:line="240" w:lineRule="auto"/>
              <w:ind w:firstLine="0" w:firstLineChars="0"/>
              <w:jc w:val="center"/>
              <w:textAlignment w:val="center"/>
              <w:rPr>
                <w:rFonts w:hint="default"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1</w:t>
            </w:r>
          </w:p>
        </w:tc>
        <w:tc>
          <w:tcPr>
            <w:tcW w:w="1992" w:type="dxa"/>
            <w:vAlign w:val="center"/>
          </w:tcPr>
          <w:p>
            <w:pPr>
              <w:widowControl/>
              <w:snapToGrid w:val="0"/>
              <w:spacing w:line="240" w:lineRule="auto"/>
              <w:ind w:firstLine="0" w:firstLineChars="0"/>
              <w:jc w:val="center"/>
              <w:textAlignment w:val="center"/>
              <w:rPr>
                <w:rFonts w:hint="default"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乌鸦</w:t>
            </w:r>
          </w:p>
        </w:tc>
        <w:tc>
          <w:tcPr>
            <w:tcW w:w="1687" w:type="dxa"/>
            <w:vAlign w:val="center"/>
          </w:tcPr>
          <w:p>
            <w:pPr>
              <w:widowControl/>
              <w:snapToGrid w:val="0"/>
              <w:spacing w:line="240" w:lineRule="auto"/>
              <w:ind w:firstLine="0" w:firstLineChars="0"/>
              <w:jc w:val="center"/>
              <w:textAlignment w:val="center"/>
              <w:rPr>
                <w:rFonts w:hint="eastAsia"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lang w:bidi="ar"/>
              </w:rPr>
            </w:pPr>
            <w:r>
              <w:rPr>
                <w:rFonts w:hint="eastAsia" w:cs="Times New Roman" w:eastAsiaTheme="minorEastAsia"/>
                <w:color w:val="auto"/>
                <w:kern w:val="0"/>
                <w:sz w:val="21"/>
                <w:szCs w:val="21"/>
              </w:rPr>
              <w:t>山雀科</w:t>
            </w:r>
          </w:p>
        </w:tc>
        <w:tc>
          <w:tcPr>
            <w:tcW w:w="1533" w:type="dxa"/>
            <w:vAlign w:val="center"/>
          </w:tcPr>
          <w:p>
            <w:pPr>
              <w:widowControl/>
              <w:snapToGrid w:val="0"/>
              <w:spacing w:line="240" w:lineRule="auto"/>
              <w:ind w:firstLine="0" w:firstLineChars="0"/>
              <w:jc w:val="center"/>
              <w:textAlignment w:val="center"/>
              <w:rPr>
                <w:rFonts w:hint="eastAsia" w:ascii="Times New Roman" w:hAnsi="Times New Roman" w:cs="Times New Roman" w:eastAsiaTheme="minorEastAsia"/>
                <w:color w:val="auto"/>
                <w:kern w:val="0"/>
                <w:sz w:val="21"/>
                <w:szCs w:val="21"/>
                <w:lang w:val="en-US" w:eastAsia="zh-CN" w:bidi="ar-SA"/>
              </w:rPr>
            </w:pPr>
            <w:r>
              <w:rPr>
                <w:rFonts w:cs="Times New Roman" w:eastAsiaTheme="minorEastAsia"/>
                <w:color w:val="auto"/>
                <w:kern w:val="0"/>
                <w:sz w:val="21"/>
                <w:szCs w:val="21"/>
                <w:lang w:bidi="ar"/>
              </w:rPr>
              <w:t>1</w:t>
            </w:r>
          </w:p>
        </w:tc>
        <w:tc>
          <w:tcPr>
            <w:tcW w:w="1992" w:type="dxa"/>
            <w:vAlign w:val="center"/>
          </w:tcPr>
          <w:p>
            <w:pPr>
              <w:widowControl/>
              <w:snapToGrid w:val="0"/>
              <w:spacing w:line="240" w:lineRule="auto"/>
              <w:ind w:firstLine="0" w:firstLineChars="0"/>
              <w:jc w:val="center"/>
              <w:textAlignment w:val="center"/>
              <w:rPr>
                <w:rFonts w:hint="eastAsia" w:ascii="Times New Roman" w:hAnsi="Times New Roman" w:cs="Times New Roman" w:eastAsiaTheme="minorEastAsia"/>
                <w:color w:val="auto"/>
                <w:kern w:val="0"/>
                <w:sz w:val="21"/>
                <w:szCs w:val="21"/>
                <w:lang w:val="en-US" w:eastAsia="zh-CN" w:bidi="ar-SA"/>
              </w:rPr>
            </w:pPr>
            <w:r>
              <w:rPr>
                <w:rFonts w:cs="Times New Roman" w:eastAsiaTheme="minorEastAsia"/>
                <w:color w:val="auto"/>
                <w:kern w:val="0"/>
                <w:sz w:val="21"/>
                <w:szCs w:val="21"/>
              </w:rPr>
              <w:t>大山雀</w:t>
            </w:r>
          </w:p>
        </w:tc>
        <w:tc>
          <w:tcPr>
            <w:tcW w:w="1687" w:type="dxa"/>
            <w:vAlign w:val="center"/>
          </w:tcPr>
          <w:p>
            <w:pPr>
              <w:widowControl/>
              <w:snapToGrid w:val="0"/>
              <w:spacing w:line="240" w:lineRule="auto"/>
              <w:ind w:firstLine="0" w:firstLineChars="0"/>
              <w:jc w:val="center"/>
              <w:textAlignment w:val="center"/>
              <w:rPr>
                <w:rFonts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
              </w:rPr>
              <w:t>5.5</w:t>
            </w:r>
            <w:r>
              <w:rPr>
                <w:rFonts w:cs="Times New Roman" w:eastAsiaTheme="minorEastAsia"/>
                <w:color w:val="auto"/>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restart"/>
            <w:vAlign w:val="center"/>
          </w:tcPr>
          <w:p>
            <w:pPr>
              <w:widowControl/>
              <w:snapToGrid w:val="0"/>
              <w:spacing w:line="240" w:lineRule="auto"/>
              <w:ind w:firstLine="0" w:firstLineChars="0"/>
              <w:jc w:val="center"/>
              <w:textAlignment w:val="center"/>
              <w:rPr>
                <w:rFonts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
              </w:rPr>
              <w:t>文鸟</w:t>
            </w:r>
            <w:r>
              <w:rPr>
                <w:rFonts w:cs="Times New Roman" w:eastAsiaTheme="minorEastAsia"/>
                <w:color w:val="auto"/>
                <w:kern w:val="0"/>
                <w:sz w:val="21"/>
                <w:szCs w:val="21"/>
                <w:lang w:bidi="ar"/>
              </w:rPr>
              <w:t>科</w:t>
            </w:r>
          </w:p>
        </w:tc>
        <w:tc>
          <w:tcPr>
            <w:tcW w:w="1533" w:type="dxa"/>
            <w:vAlign w:val="center"/>
          </w:tcPr>
          <w:p>
            <w:pPr>
              <w:widowControl/>
              <w:snapToGrid w:val="0"/>
              <w:spacing w:line="240" w:lineRule="auto"/>
              <w:ind w:firstLine="0" w:firstLineChars="0"/>
              <w:jc w:val="center"/>
              <w:textAlignment w:val="center"/>
              <w:rPr>
                <w:rFonts w:ascii="Times New Roman" w:hAnsi="Times New Roman" w:cs="Times New Roman" w:eastAsiaTheme="minorEastAsia"/>
                <w:color w:val="auto"/>
                <w:kern w:val="0"/>
                <w:sz w:val="21"/>
                <w:szCs w:val="21"/>
                <w:lang w:val="en-US" w:eastAsia="zh-CN" w:bidi="ar-SA"/>
              </w:rPr>
            </w:pPr>
            <w:r>
              <w:rPr>
                <w:rFonts w:cs="Times New Roman" w:eastAsiaTheme="minorEastAsia"/>
                <w:color w:val="auto"/>
                <w:kern w:val="0"/>
                <w:sz w:val="21"/>
                <w:szCs w:val="21"/>
                <w:lang w:bidi="ar"/>
              </w:rPr>
              <w:t>1</w:t>
            </w:r>
          </w:p>
        </w:tc>
        <w:tc>
          <w:tcPr>
            <w:tcW w:w="1992" w:type="dxa"/>
            <w:vAlign w:val="center"/>
          </w:tcPr>
          <w:p>
            <w:pPr>
              <w:widowControl/>
              <w:snapToGrid w:val="0"/>
              <w:spacing w:line="240" w:lineRule="auto"/>
              <w:ind w:firstLine="0" w:firstLineChars="0"/>
              <w:jc w:val="center"/>
              <w:textAlignment w:val="center"/>
              <w:rPr>
                <w:rFonts w:ascii="Times New Roman" w:hAnsi="Times New Roman" w:cs="Times New Roman" w:eastAsiaTheme="minorEastAsia"/>
                <w:color w:val="auto"/>
                <w:kern w:val="0"/>
                <w:sz w:val="21"/>
                <w:szCs w:val="21"/>
                <w:lang w:val="en-US" w:eastAsia="zh-CN" w:bidi="ar-SA"/>
              </w:rPr>
            </w:pPr>
            <w:r>
              <w:rPr>
                <w:rFonts w:ascii="Times New Roman" w:hAnsi="Times New Roman" w:cs="Times New Roman" w:eastAsiaTheme="minorEastAsia"/>
                <w:color w:val="auto"/>
                <w:kern w:val="0"/>
                <w:sz w:val="21"/>
                <w:szCs w:val="21"/>
                <w:lang w:val="en-US" w:eastAsia="zh-CN" w:bidi="ar-SA"/>
              </w:rPr>
              <w:t>麻雀</w:t>
            </w:r>
          </w:p>
        </w:tc>
        <w:tc>
          <w:tcPr>
            <w:tcW w:w="1687" w:type="dxa"/>
            <w:vMerge w:val="restart"/>
            <w:vAlign w:val="center"/>
          </w:tcPr>
          <w:p>
            <w:pPr>
              <w:widowControl/>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continue"/>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p>
        </w:tc>
        <w:tc>
          <w:tcPr>
            <w:tcW w:w="1533" w:type="dxa"/>
            <w:vAlign w:val="center"/>
          </w:tcPr>
          <w:p>
            <w:pPr>
              <w:widowControl/>
              <w:snapToGrid w:val="0"/>
              <w:spacing w:line="240" w:lineRule="auto"/>
              <w:ind w:firstLine="0" w:firstLineChars="0"/>
              <w:jc w:val="center"/>
              <w:textAlignment w:val="center"/>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w:t>
            </w:r>
          </w:p>
        </w:tc>
        <w:tc>
          <w:tcPr>
            <w:tcW w:w="1992"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hint="eastAsia" w:cs="Times New Roman" w:eastAsiaTheme="minorEastAsia"/>
                <w:color w:val="auto"/>
                <w:kern w:val="0"/>
                <w:sz w:val="21"/>
                <w:szCs w:val="21"/>
                <w:lang w:val="en-US" w:eastAsia="zh-CN" w:bidi="ar-SA"/>
              </w:rPr>
              <w:t>山</w:t>
            </w:r>
            <w:r>
              <w:rPr>
                <w:rFonts w:ascii="Times New Roman" w:hAnsi="Times New Roman" w:cs="Times New Roman" w:eastAsiaTheme="minorEastAsia"/>
                <w:color w:val="auto"/>
                <w:kern w:val="0"/>
                <w:sz w:val="21"/>
                <w:szCs w:val="21"/>
                <w:lang w:val="en-US" w:eastAsia="zh-CN" w:bidi="ar-SA"/>
              </w:rPr>
              <w:t>麻雀</w:t>
            </w:r>
          </w:p>
        </w:tc>
        <w:tc>
          <w:tcPr>
            <w:tcW w:w="1687" w:type="dxa"/>
            <w:vMerge w:val="continue"/>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鸡形目</w:t>
            </w:r>
          </w:p>
        </w:tc>
        <w:tc>
          <w:tcPr>
            <w:tcW w:w="1677"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雉科</w:t>
            </w:r>
          </w:p>
        </w:tc>
        <w:tc>
          <w:tcPr>
            <w:tcW w:w="1533" w:type="dxa"/>
            <w:vMerge w:val="restart"/>
            <w:vAlign w:val="center"/>
          </w:tcPr>
          <w:p>
            <w:pPr>
              <w:widowControl/>
              <w:snapToGrid w:val="0"/>
              <w:spacing w:line="240" w:lineRule="auto"/>
              <w:ind w:firstLine="0" w:firstLineChars="0"/>
              <w:jc w:val="center"/>
              <w:textAlignment w:val="center"/>
              <w:rPr>
                <w:rFonts w:hint="eastAsia" w:cs="Times New Roman" w:eastAsiaTheme="minorEastAsia"/>
                <w:color w:val="auto"/>
                <w:kern w:val="0"/>
                <w:sz w:val="21"/>
                <w:szCs w:val="21"/>
                <w:lang w:eastAsia="zh-CN"/>
              </w:rPr>
            </w:pPr>
            <w:r>
              <w:rPr>
                <w:rFonts w:hint="eastAsia" w:cs="Times New Roman" w:eastAsiaTheme="minorEastAsia"/>
                <w:color w:val="auto"/>
                <w:kern w:val="0"/>
                <w:sz w:val="21"/>
                <w:szCs w:val="21"/>
                <w:lang w:val="en-US" w:eastAsia="zh-CN" w:bidi="ar"/>
              </w:rPr>
              <w:t>3</w:t>
            </w:r>
          </w:p>
        </w:tc>
        <w:tc>
          <w:tcPr>
            <w:tcW w:w="1992"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竹鸡</w:t>
            </w:r>
          </w:p>
        </w:tc>
        <w:tc>
          <w:tcPr>
            <w:tcW w:w="1687" w:type="dxa"/>
            <w:vMerge w:val="restart"/>
            <w:vAlign w:val="center"/>
          </w:tcPr>
          <w:p>
            <w:pPr>
              <w:widowControl/>
              <w:snapToGrid w:val="0"/>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533"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992" w:type="dxa"/>
            <w:vAlign w:val="center"/>
          </w:tcPr>
          <w:p>
            <w:pPr>
              <w:widowControl/>
              <w:snapToGrid w:val="0"/>
              <w:spacing w:line="240" w:lineRule="auto"/>
              <w:ind w:firstLine="0" w:firstLineChars="0"/>
              <w:jc w:val="center"/>
              <w:textAlignment w:val="center"/>
              <w:rPr>
                <w:rFonts w:hint="eastAsia" w:cs="Times New Roman" w:eastAsiaTheme="minorEastAsia"/>
                <w:color w:val="auto"/>
                <w:kern w:val="0"/>
                <w:sz w:val="21"/>
                <w:szCs w:val="21"/>
                <w:lang w:eastAsia="zh-CN"/>
              </w:rPr>
            </w:pPr>
            <w:r>
              <w:rPr>
                <w:rFonts w:hint="eastAsia" w:cs="Times New Roman" w:eastAsiaTheme="minorEastAsia"/>
                <w:color w:val="auto"/>
                <w:kern w:val="0"/>
                <w:sz w:val="21"/>
                <w:szCs w:val="21"/>
                <w:lang w:val="en-US" w:eastAsia="zh-CN" w:bidi="ar"/>
              </w:rPr>
              <w:t>松花鸡</w:t>
            </w:r>
          </w:p>
        </w:tc>
        <w:tc>
          <w:tcPr>
            <w:tcW w:w="168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533"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992" w:type="dxa"/>
            <w:vAlign w:val="center"/>
          </w:tcPr>
          <w:p>
            <w:pPr>
              <w:widowControl/>
              <w:snapToGrid w:val="0"/>
              <w:spacing w:line="240" w:lineRule="auto"/>
              <w:ind w:firstLine="0" w:firstLineChars="0"/>
              <w:jc w:val="center"/>
              <w:textAlignment w:val="center"/>
              <w:rPr>
                <w:rFonts w:hint="eastAsia"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野鸡</w:t>
            </w:r>
          </w:p>
        </w:tc>
        <w:tc>
          <w:tcPr>
            <w:tcW w:w="168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鸽形目</w:t>
            </w:r>
          </w:p>
        </w:tc>
        <w:tc>
          <w:tcPr>
            <w:tcW w:w="1677"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鸠鸽科</w:t>
            </w:r>
          </w:p>
        </w:tc>
        <w:tc>
          <w:tcPr>
            <w:tcW w:w="1533"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lang w:bidi="ar"/>
              </w:rPr>
              <w:t>2</w:t>
            </w:r>
          </w:p>
        </w:tc>
        <w:tc>
          <w:tcPr>
            <w:tcW w:w="1992"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山斑鸠</w:t>
            </w:r>
          </w:p>
        </w:tc>
        <w:tc>
          <w:tcPr>
            <w:tcW w:w="1687"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hint="eastAsia" w:cs="Times New Roman" w:eastAsiaTheme="minorEastAsia"/>
                <w:color w:val="auto"/>
                <w:kern w:val="0"/>
                <w:sz w:val="21"/>
                <w:szCs w:val="21"/>
                <w:lang w:val="en-US" w:eastAsia="zh-CN"/>
              </w:rPr>
              <w:t>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533"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992"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灰斑鸠</w:t>
            </w:r>
          </w:p>
        </w:tc>
        <w:tc>
          <w:tcPr>
            <w:tcW w:w="168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鹃形目</w:t>
            </w:r>
          </w:p>
        </w:tc>
        <w:tc>
          <w:tcPr>
            <w:tcW w:w="1677"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hint="eastAsia" w:cs="Times New Roman" w:eastAsiaTheme="minorEastAsia"/>
                <w:color w:val="auto"/>
                <w:kern w:val="0"/>
                <w:sz w:val="21"/>
                <w:szCs w:val="21"/>
              </w:rPr>
              <w:t>杜鹃科</w:t>
            </w:r>
          </w:p>
        </w:tc>
        <w:tc>
          <w:tcPr>
            <w:tcW w:w="1533"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lang w:bidi="ar"/>
              </w:rPr>
              <w:t>2</w:t>
            </w:r>
          </w:p>
        </w:tc>
        <w:tc>
          <w:tcPr>
            <w:tcW w:w="1992"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四声杜鹃</w:t>
            </w:r>
          </w:p>
        </w:tc>
        <w:tc>
          <w:tcPr>
            <w:tcW w:w="1687" w:type="dxa"/>
            <w:vMerge w:val="restart"/>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hint="eastAsia" w:cs="Times New Roman" w:eastAsiaTheme="minorEastAsia"/>
                <w:color w:val="auto"/>
                <w:kern w:val="0"/>
                <w:sz w:val="21"/>
                <w:szCs w:val="21"/>
                <w:lang w:val="en-US" w:eastAsia="zh-CN"/>
              </w:rPr>
              <w:t>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42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67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533"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c>
          <w:tcPr>
            <w:tcW w:w="1992" w:type="dxa"/>
            <w:vAlign w:val="center"/>
          </w:tcPr>
          <w:p>
            <w:pPr>
              <w:widowControl/>
              <w:snapToGrid w:val="0"/>
              <w:spacing w:line="240" w:lineRule="auto"/>
              <w:ind w:firstLine="0" w:firstLineChars="0"/>
              <w:jc w:val="center"/>
              <w:textAlignment w:val="center"/>
              <w:rPr>
                <w:rFonts w:cs="Times New Roman" w:eastAsiaTheme="minorEastAsia"/>
                <w:color w:val="auto"/>
                <w:kern w:val="0"/>
                <w:sz w:val="21"/>
                <w:szCs w:val="21"/>
              </w:rPr>
            </w:pPr>
            <w:r>
              <w:rPr>
                <w:rFonts w:cs="Times New Roman" w:eastAsiaTheme="minorEastAsia"/>
                <w:color w:val="auto"/>
                <w:kern w:val="0"/>
                <w:sz w:val="21"/>
                <w:szCs w:val="21"/>
              </w:rPr>
              <w:t>大杜鹃</w:t>
            </w:r>
          </w:p>
        </w:tc>
        <w:tc>
          <w:tcPr>
            <w:tcW w:w="1687" w:type="dxa"/>
            <w:vMerge w:val="continue"/>
            <w:vAlign w:val="center"/>
          </w:tcPr>
          <w:p>
            <w:pPr>
              <w:snapToGrid w:val="0"/>
              <w:spacing w:line="240" w:lineRule="auto"/>
              <w:ind w:firstLine="0" w:firstLineChars="0"/>
              <w:jc w:val="center"/>
              <w:rPr>
                <w:rFonts w:cs="Times New Roman" w:eastAsiaTheme="minorEastAsia"/>
                <w:color w:val="auto"/>
                <w:kern w:val="0"/>
                <w:sz w:val="21"/>
                <w:szCs w:val="21"/>
              </w:rPr>
            </w:pPr>
          </w:p>
        </w:tc>
      </w:tr>
    </w:tbl>
    <w:p>
      <w:pPr>
        <w:adjustRightInd w:val="0"/>
        <w:snapToGrid w:val="0"/>
        <w:spacing w:before="200" w:beforeLines="50"/>
        <w:ind w:firstLine="480"/>
        <w:rPr>
          <w:rFonts w:eastAsiaTheme="minorEastAsia"/>
          <w:color w:val="auto"/>
          <w:kern w:val="0"/>
          <w:szCs w:val="20"/>
        </w:rPr>
      </w:pPr>
      <w:r>
        <w:rPr>
          <w:rFonts w:hint="eastAsia" w:ascii="宋体" w:hAnsi="宋体" w:cs="宋体"/>
          <w:color w:val="auto"/>
          <w:kern w:val="0"/>
          <w:szCs w:val="20"/>
        </w:rPr>
        <w:t>②</w:t>
      </w:r>
      <w:r>
        <w:rPr>
          <w:rFonts w:eastAsiaTheme="minorEastAsia"/>
          <w:color w:val="auto"/>
          <w:kern w:val="0"/>
          <w:szCs w:val="20"/>
        </w:rPr>
        <w:t>生态分布</w:t>
      </w:r>
    </w:p>
    <w:p>
      <w:pPr>
        <w:adjustRightInd w:val="0"/>
        <w:snapToGrid w:val="0"/>
        <w:ind w:firstLine="480"/>
        <w:rPr>
          <w:rFonts w:eastAsiaTheme="minorEastAsia"/>
          <w:color w:val="auto"/>
          <w:kern w:val="0"/>
          <w:szCs w:val="20"/>
        </w:rPr>
      </w:pPr>
      <w:r>
        <w:rPr>
          <w:rFonts w:eastAsiaTheme="minorEastAsia"/>
          <w:color w:val="auto"/>
          <w:kern w:val="0"/>
          <w:szCs w:val="20"/>
        </w:rPr>
        <w:t>根据项目周边地区域内生境特点及鸟类的生活习性，项目周边地区域的鸟类可以划分为以下三种类型：</w:t>
      </w:r>
    </w:p>
    <w:p>
      <w:pPr>
        <w:adjustRightInd w:val="0"/>
        <w:snapToGrid w:val="0"/>
        <w:ind w:firstLine="480"/>
        <w:rPr>
          <w:rFonts w:eastAsiaTheme="minorEastAsia"/>
          <w:color w:val="auto"/>
          <w:kern w:val="0"/>
          <w:szCs w:val="20"/>
        </w:rPr>
      </w:pPr>
      <w:r>
        <w:rPr>
          <w:rFonts w:eastAsiaTheme="minorEastAsia"/>
          <w:color w:val="auto"/>
          <w:kern w:val="0"/>
          <w:szCs w:val="20"/>
        </w:rPr>
        <w:t>农田、民居类型：生活在项目周边地区农田、民居环境中的鸟类。如家燕、麻雀、</w:t>
      </w:r>
      <w:r>
        <w:rPr>
          <w:rFonts w:hint="eastAsia" w:eastAsiaTheme="minorEastAsia"/>
          <w:color w:val="auto"/>
          <w:kern w:val="0"/>
          <w:szCs w:val="20"/>
          <w:lang w:val="en-US" w:eastAsia="zh-CN"/>
        </w:rPr>
        <w:t>大山雀</w:t>
      </w:r>
      <w:r>
        <w:rPr>
          <w:rFonts w:eastAsiaTheme="minorEastAsia"/>
          <w:color w:val="auto"/>
          <w:kern w:val="0"/>
          <w:szCs w:val="20"/>
        </w:rPr>
        <w:t>等。</w:t>
      </w:r>
    </w:p>
    <w:p>
      <w:pPr>
        <w:adjustRightInd w:val="0"/>
        <w:snapToGrid w:val="0"/>
        <w:ind w:firstLine="480"/>
        <w:rPr>
          <w:rFonts w:eastAsiaTheme="minorEastAsia"/>
          <w:color w:val="auto"/>
          <w:kern w:val="0"/>
          <w:szCs w:val="20"/>
        </w:rPr>
      </w:pPr>
      <w:r>
        <w:rPr>
          <w:rFonts w:eastAsiaTheme="minorEastAsia"/>
          <w:color w:val="auto"/>
          <w:kern w:val="0"/>
          <w:szCs w:val="20"/>
        </w:rPr>
        <w:t>灌丛及森林类型：生活在项目周边地区灌丛及森林生境中的鸟类。主要有山麻雀、喜鹊等。</w:t>
      </w:r>
    </w:p>
    <w:p>
      <w:pPr>
        <w:adjustRightInd w:val="0"/>
        <w:snapToGrid w:val="0"/>
        <w:ind w:firstLine="480"/>
        <w:rPr>
          <w:rFonts w:eastAsiaTheme="minorEastAsia"/>
          <w:color w:val="auto"/>
          <w:kern w:val="0"/>
          <w:szCs w:val="20"/>
        </w:rPr>
      </w:pPr>
      <w:r>
        <w:rPr>
          <w:rFonts w:eastAsiaTheme="minorEastAsia"/>
          <w:color w:val="auto"/>
          <w:kern w:val="0"/>
          <w:szCs w:val="20"/>
        </w:rPr>
        <w:t>水域类型：生活在项目周边地区溪流、水塘和水田等水域生境中的鸟类。如</w:t>
      </w:r>
      <w:r>
        <w:rPr>
          <w:rFonts w:hint="eastAsia" w:eastAsiaTheme="minorEastAsia"/>
          <w:color w:val="auto"/>
          <w:kern w:val="0"/>
          <w:szCs w:val="20"/>
          <w:lang w:val="en-US" w:eastAsia="zh-CN"/>
        </w:rPr>
        <w:t>乌鸦、杜鹃</w:t>
      </w:r>
      <w:r>
        <w:rPr>
          <w:rFonts w:eastAsiaTheme="minorEastAsia"/>
          <w:color w:val="auto"/>
          <w:kern w:val="0"/>
          <w:szCs w:val="20"/>
        </w:rPr>
        <w:t>等。</w:t>
      </w:r>
    </w:p>
    <w:p>
      <w:pPr>
        <w:adjustRightInd w:val="0"/>
        <w:snapToGrid w:val="0"/>
        <w:ind w:left="480" w:leftChars="200" w:firstLine="0" w:firstLineChars="0"/>
        <w:rPr>
          <w:rFonts w:eastAsiaTheme="minorEastAsia"/>
          <w:color w:val="auto"/>
          <w:kern w:val="0"/>
          <w:szCs w:val="20"/>
        </w:rPr>
      </w:pPr>
      <w:r>
        <w:rPr>
          <w:rFonts w:hint="eastAsia" w:eastAsiaTheme="minorEastAsia"/>
          <w:color w:val="auto"/>
          <w:kern w:val="0"/>
          <w:szCs w:val="20"/>
        </w:rPr>
        <w:t>（3）</w:t>
      </w:r>
      <w:r>
        <w:rPr>
          <w:rFonts w:eastAsiaTheme="minorEastAsia"/>
          <w:color w:val="auto"/>
          <w:kern w:val="0"/>
          <w:szCs w:val="20"/>
        </w:rPr>
        <w:t>两栖</w:t>
      </w:r>
      <w:r>
        <w:rPr>
          <w:rFonts w:hint="eastAsia" w:eastAsiaTheme="minorEastAsia"/>
          <w:color w:val="auto"/>
          <w:kern w:val="0"/>
          <w:szCs w:val="20"/>
        </w:rPr>
        <w:t>爬行</w:t>
      </w:r>
      <w:r>
        <w:rPr>
          <w:rFonts w:eastAsiaTheme="minorEastAsia"/>
          <w:color w:val="auto"/>
          <w:kern w:val="0"/>
          <w:szCs w:val="20"/>
        </w:rPr>
        <w:t>类</w:t>
      </w:r>
    </w:p>
    <w:p>
      <w:pPr>
        <w:adjustRightInd w:val="0"/>
        <w:snapToGrid w:val="0"/>
        <w:ind w:firstLine="480"/>
        <w:rPr>
          <w:rFonts w:eastAsiaTheme="minorEastAsia"/>
          <w:color w:val="auto"/>
          <w:kern w:val="0"/>
          <w:szCs w:val="20"/>
        </w:rPr>
      </w:pPr>
      <w:r>
        <w:rPr>
          <w:rFonts w:hint="eastAsia" w:eastAsiaTheme="minorEastAsia"/>
          <w:color w:val="auto"/>
          <w:kern w:val="0"/>
          <w:szCs w:val="20"/>
        </w:rPr>
        <w:t>①调查方法</w:t>
      </w:r>
    </w:p>
    <w:p>
      <w:pPr>
        <w:adjustRightInd w:val="0"/>
        <w:snapToGrid w:val="0"/>
        <w:ind w:firstLine="480"/>
        <w:rPr>
          <w:rFonts w:eastAsiaTheme="minorEastAsia"/>
          <w:color w:val="auto"/>
          <w:kern w:val="0"/>
          <w:szCs w:val="20"/>
        </w:rPr>
      </w:pPr>
      <w:r>
        <w:rPr>
          <w:rFonts w:hint="eastAsia" w:eastAsiaTheme="minorEastAsia"/>
          <w:color w:val="auto"/>
          <w:kern w:val="0"/>
          <w:szCs w:val="20"/>
        </w:rPr>
        <w:t>主要使用样带法调查。按照《生物物种监测技术指南两栖动物》和《生物物种监测技术指南爬行动物》中的相关规定和要求，采用分层随机抽样方法，选择监测样地。可按生境类型、气候、海拔、土地利用类型或物种丰富度等因素进行分层，使层内变异尽量小。所选样地应涵盖主要生态系统类型。本次调查根据不同的生境类型，选择有代表性的生境进行样带调查。样线的长度确定为100米。沿样线观察时，每次巡视的速度保持一致，以观察、采集动物个体确定物种为主要目的，发现动物个体后，立即记录动物名称、数量。观察时动作应尽量不惊扰动物。对白天不易发现的两栖动物，在夜间进行调查，统计动物物种和个体数。</w:t>
      </w:r>
    </w:p>
    <w:p>
      <w:pPr>
        <w:adjustRightInd w:val="0"/>
        <w:snapToGrid w:val="0"/>
        <w:ind w:firstLine="480"/>
        <w:rPr>
          <w:rFonts w:eastAsiaTheme="minorEastAsia"/>
          <w:color w:val="auto"/>
          <w:kern w:val="0"/>
          <w:szCs w:val="20"/>
        </w:rPr>
      </w:pPr>
      <w:r>
        <w:rPr>
          <w:rFonts w:hint="eastAsia" w:eastAsiaTheme="minorEastAsia"/>
          <w:color w:val="auto"/>
          <w:kern w:val="0"/>
          <w:szCs w:val="20"/>
        </w:rPr>
        <w:t>在调查的同时结合对当地居民的访问，并利用当地的一些相关资料及相关的科研报告等，对调查区域两栖爬行动物多样性及其区系组成进行总结。</w:t>
      </w:r>
    </w:p>
    <w:p>
      <w:pPr>
        <w:adjustRightInd w:val="0"/>
        <w:snapToGrid w:val="0"/>
        <w:ind w:firstLine="480"/>
        <w:rPr>
          <w:rFonts w:eastAsiaTheme="minorEastAsia"/>
          <w:color w:val="auto"/>
          <w:kern w:val="0"/>
          <w:szCs w:val="20"/>
        </w:rPr>
      </w:pPr>
      <w:r>
        <w:rPr>
          <w:rFonts w:eastAsiaTheme="minorEastAsia"/>
          <w:color w:val="auto"/>
          <w:kern w:val="0"/>
          <w:szCs w:val="20"/>
        </w:rPr>
        <w:t>根据收集资料分析，项目周边地区域内有两栖纲动物1目4科4种。从物种的目级组成看，项目周边地区域两栖类均为无尾目种类，各科种类分布比较均匀。两栖类各科所含种数及所占比例见表</w:t>
      </w:r>
      <w:r>
        <w:rPr>
          <w:rFonts w:hint="eastAsia" w:eastAsiaTheme="minorEastAsia"/>
          <w:color w:val="auto"/>
          <w:kern w:val="0"/>
          <w:szCs w:val="20"/>
        </w:rPr>
        <w:t>4</w:t>
      </w:r>
      <w:r>
        <w:rPr>
          <w:rFonts w:eastAsiaTheme="minorEastAsia"/>
          <w:color w:val="auto"/>
          <w:kern w:val="0"/>
          <w:szCs w:val="20"/>
        </w:rPr>
        <w:t>.</w:t>
      </w:r>
      <w:r>
        <w:rPr>
          <w:rFonts w:hint="eastAsia" w:eastAsiaTheme="minorEastAsia"/>
          <w:color w:val="auto"/>
          <w:kern w:val="0"/>
          <w:szCs w:val="20"/>
        </w:rPr>
        <w:t>3</w:t>
      </w:r>
      <w:r>
        <w:rPr>
          <w:rFonts w:eastAsiaTheme="minorEastAsia"/>
          <w:color w:val="auto"/>
          <w:kern w:val="0"/>
          <w:szCs w:val="20"/>
        </w:rPr>
        <w:t>-8。</w:t>
      </w:r>
    </w:p>
    <w:p>
      <w:pPr>
        <w:autoSpaceDE w:val="0"/>
        <w:autoSpaceDN w:val="0"/>
        <w:adjustRightInd w:val="0"/>
        <w:snapToGrid w:val="0"/>
        <w:spacing w:line="240" w:lineRule="auto"/>
        <w:ind w:firstLine="482"/>
        <w:jc w:val="center"/>
        <w:rPr>
          <w:rFonts w:eastAsiaTheme="minorEastAsia"/>
          <w:b/>
          <w:color w:val="auto"/>
          <w:kern w:val="0"/>
        </w:rPr>
      </w:pPr>
      <w:r>
        <w:rPr>
          <w:rFonts w:eastAsiaTheme="minorEastAsia"/>
          <w:b/>
          <w:color w:val="auto"/>
          <w:kern w:val="0"/>
        </w:rPr>
        <w:t>表</w:t>
      </w:r>
      <w:r>
        <w:rPr>
          <w:rFonts w:hint="eastAsia" w:eastAsiaTheme="minorEastAsia"/>
          <w:b/>
          <w:color w:val="auto"/>
          <w:kern w:val="0"/>
        </w:rPr>
        <w:t>4.3-</w:t>
      </w:r>
      <w:r>
        <w:rPr>
          <w:rFonts w:eastAsiaTheme="minorEastAsia"/>
          <w:b/>
          <w:color w:val="auto"/>
          <w:kern w:val="0"/>
        </w:rPr>
        <w:t>8 项目周边地区主要的两栖类种类名录</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784"/>
        <w:gridCol w:w="1641"/>
        <w:gridCol w:w="1804"/>
        <w:gridCol w:w="1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1479" w:type="dxa"/>
            <w:tcBorders>
              <w:top w:val="single" w:color="auto" w:sz="12" w:space="0"/>
              <w:bottom w:val="single" w:color="auto" w:sz="12" w:space="0"/>
            </w:tcBorders>
            <w:vAlign w:val="center"/>
          </w:tcPr>
          <w:p>
            <w:pPr>
              <w:snapToGrid w:val="0"/>
              <w:spacing w:line="240" w:lineRule="auto"/>
              <w:ind w:firstLine="0" w:firstLineChars="0"/>
              <w:jc w:val="center"/>
              <w:rPr>
                <w:rFonts w:eastAsiaTheme="minorEastAsia"/>
                <w:b/>
                <w:bCs/>
                <w:color w:val="auto"/>
                <w:kern w:val="0"/>
                <w:sz w:val="21"/>
                <w:szCs w:val="21"/>
              </w:rPr>
            </w:pPr>
            <w:r>
              <w:rPr>
                <w:rFonts w:eastAsiaTheme="minorEastAsia"/>
                <w:b/>
                <w:bCs/>
                <w:color w:val="auto"/>
                <w:kern w:val="0"/>
                <w:sz w:val="21"/>
                <w:szCs w:val="21"/>
              </w:rPr>
              <w:t>目</w:t>
            </w:r>
          </w:p>
        </w:tc>
        <w:tc>
          <w:tcPr>
            <w:tcW w:w="1784" w:type="dxa"/>
            <w:tcBorders>
              <w:top w:val="single" w:color="auto" w:sz="12" w:space="0"/>
              <w:bottom w:val="single" w:color="auto" w:sz="12" w:space="0"/>
            </w:tcBorders>
            <w:vAlign w:val="center"/>
          </w:tcPr>
          <w:p>
            <w:pPr>
              <w:snapToGrid w:val="0"/>
              <w:spacing w:line="240" w:lineRule="auto"/>
              <w:ind w:firstLine="0" w:firstLineChars="0"/>
              <w:jc w:val="center"/>
              <w:rPr>
                <w:rFonts w:eastAsiaTheme="minorEastAsia"/>
                <w:b/>
                <w:bCs/>
                <w:color w:val="auto"/>
                <w:kern w:val="0"/>
                <w:sz w:val="21"/>
                <w:szCs w:val="21"/>
              </w:rPr>
            </w:pPr>
            <w:r>
              <w:rPr>
                <w:rFonts w:eastAsiaTheme="minorEastAsia"/>
                <w:b/>
                <w:bCs/>
                <w:color w:val="auto"/>
                <w:kern w:val="0"/>
                <w:sz w:val="21"/>
                <w:szCs w:val="21"/>
              </w:rPr>
              <w:t>科</w:t>
            </w:r>
          </w:p>
        </w:tc>
        <w:tc>
          <w:tcPr>
            <w:tcW w:w="1641" w:type="dxa"/>
            <w:tcBorders>
              <w:top w:val="single" w:color="auto" w:sz="12" w:space="0"/>
              <w:bottom w:val="single" w:color="auto" w:sz="12" w:space="0"/>
            </w:tcBorders>
            <w:vAlign w:val="center"/>
          </w:tcPr>
          <w:p>
            <w:pPr>
              <w:snapToGrid w:val="0"/>
              <w:spacing w:line="240" w:lineRule="auto"/>
              <w:ind w:firstLine="0" w:firstLineChars="0"/>
              <w:jc w:val="center"/>
              <w:rPr>
                <w:rFonts w:eastAsiaTheme="minorEastAsia"/>
                <w:b/>
                <w:bCs/>
                <w:color w:val="auto"/>
                <w:kern w:val="0"/>
                <w:sz w:val="21"/>
                <w:szCs w:val="21"/>
              </w:rPr>
            </w:pPr>
            <w:r>
              <w:rPr>
                <w:rFonts w:eastAsiaTheme="minorEastAsia"/>
                <w:b/>
                <w:bCs/>
                <w:color w:val="auto"/>
                <w:kern w:val="0"/>
                <w:sz w:val="21"/>
                <w:szCs w:val="21"/>
              </w:rPr>
              <w:t>种</w:t>
            </w:r>
          </w:p>
        </w:tc>
        <w:tc>
          <w:tcPr>
            <w:tcW w:w="1804" w:type="dxa"/>
            <w:tcBorders>
              <w:top w:val="single" w:color="auto" w:sz="12" w:space="0"/>
              <w:bottom w:val="single" w:color="auto" w:sz="12" w:space="0"/>
            </w:tcBorders>
            <w:vAlign w:val="center"/>
          </w:tcPr>
          <w:p>
            <w:pPr>
              <w:snapToGrid w:val="0"/>
              <w:spacing w:line="240" w:lineRule="auto"/>
              <w:ind w:firstLine="0" w:firstLineChars="0"/>
              <w:jc w:val="center"/>
              <w:rPr>
                <w:rFonts w:eastAsiaTheme="minorEastAsia"/>
                <w:b/>
                <w:bCs/>
                <w:color w:val="auto"/>
                <w:kern w:val="0"/>
                <w:sz w:val="21"/>
                <w:szCs w:val="21"/>
              </w:rPr>
            </w:pPr>
            <w:r>
              <w:rPr>
                <w:rFonts w:eastAsiaTheme="minorEastAsia"/>
                <w:b/>
                <w:bCs/>
                <w:color w:val="auto"/>
                <w:kern w:val="0"/>
                <w:sz w:val="21"/>
                <w:szCs w:val="21"/>
              </w:rPr>
              <w:t>中文名</w:t>
            </w:r>
          </w:p>
        </w:tc>
        <w:tc>
          <w:tcPr>
            <w:tcW w:w="1476" w:type="dxa"/>
            <w:tcBorders>
              <w:top w:val="single" w:color="auto" w:sz="12" w:space="0"/>
              <w:bottom w:val="single" w:color="auto" w:sz="12" w:space="0"/>
            </w:tcBorders>
            <w:vAlign w:val="center"/>
          </w:tcPr>
          <w:p>
            <w:pPr>
              <w:snapToGrid w:val="0"/>
              <w:spacing w:line="240" w:lineRule="auto"/>
              <w:ind w:firstLine="0" w:firstLineChars="0"/>
              <w:jc w:val="center"/>
              <w:rPr>
                <w:rFonts w:eastAsiaTheme="minorEastAsia"/>
                <w:b/>
                <w:bCs/>
                <w:color w:val="auto"/>
                <w:kern w:val="0"/>
                <w:sz w:val="21"/>
                <w:szCs w:val="21"/>
              </w:rPr>
            </w:pPr>
            <w:r>
              <w:rPr>
                <w:rFonts w:eastAsiaTheme="minorEastAsia"/>
                <w:b/>
                <w:bCs/>
                <w:color w:val="auto"/>
                <w:kern w:val="0"/>
                <w:sz w:val="21"/>
                <w:szCs w:val="21"/>
              </w:rPr>
              <w:t>所占比例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1479" w:type="dxa"/>
            <w:vMerge w:val="restart"/>
            <w:tcBorders>
              <w:top w:val="single" w:color="auto" w:sz="12" w:space="0"/>
            </w:tcBorders>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无尾目</w:t>
            </w:r>
          </w:p>
        </w:tc>
        <w:tc>
          <w:tcPr>
            <w:tcW w:w="1784" w:type="dxa"/>
            <w:tcBorders>
              <w:top w:val="single" w:color="auto" w:sz="12" w:space="0"/>
            </w:tcBorders>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雨蛙科</w:t>
            </w:r>
          </w:p>
        </w:tc>
        <w:tc>
          <w:tcPr>
            <w:tcW w:w="1641" w:type="dxa"/>
            <w:tcBorders>
              <w:top w:val="single" w:color="auto" w:sz="12" w:space="0"/>
            </w:tcBorders>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1</w:t>
            </w:r>
          </w:p>
        </w:tc>
        <w:tc>
          <w:tcPr>
            <w:tcW w:w="1804" w:type="dxa"/>
            <w:tcBorders>
              <w:top w:val="single" w:color="auto" w:sz="12" w:space="0"/>
            </w:tcBorders>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秦岭雨蛙</w:t>
            </w:r>
          </w:p>
        </w:tc>
        <w:tc>
          <w:tcPr>
            <w:tcW w:w="1476" w:type="dxa"/>
            <w:tcBorders>
              <w:top w:val="single" w:color="auto" w:sz="12" w:space="0"/>
            </w:tcBorders>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1479" w:type="dxa"/>
            <w:vMerge w:val="continue"/>
            <w:vAlign w:val="center"/>
          </w:tcPr>
          <w:p>
            <w:pPr>
              <w:widowControl/>
              <w:snapToGrid w:val="0"/>
              <w:spacing w:line="240" w:lineRule="auto"/>
              <w:ind w:firstLine="0" w:firstLineChars="0"/>
              <w:jc w:val="center"/>
              <w:rPr>
                <w:rFonts w:eastAsiaTheme="minorEastAsia"/>
                <w:color w:val="auto"/>
                <w:kern w:val="0"/>
                <w:sz w:val="21"/>
                <w:szCs w:val="21"/>
              </w:rPr>
            </w:pPr>
          </w:p>
        </w:tc>
        <w:tc>
          <w:tcPr>
            <w:tcW w:w="1784" w:type="dxa"/>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姬蛙科</w:t>
            </w:r>
          </w:p>
        </w:tc>
        <w:tc>
          <w:tcPr>
            <w:tcW w:w="1641" w:type="dxa"/>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1</w:t>
            </w:r>
          </w:p>
        </w:tc>
        <w:tc>
          <w:tcPr>
            <w:tcW w:w="1804" w:type="dxa"/>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合征姬蛙</w:t>
            </w:r>
          </w:p>
        </w:tc>
        <w:tc>
          <w:tcPr>
            <w:tcW w:w="1476" w:type="dxa"/>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1479" w:type="dxa"/>
            <w:vMerge w:val="continue"/>
            <w:vAlign w:val="center"/>
          </w:tcPr>
          <w:p>
            <w:pPr>
              <w:widowControl/>
              <w:snapToGrid w:val="0"/>
              <w:spacing w:line="240" w:lineRule="auto"/>
              <w:ind w:firstLine="0" w:firstLineChars="0"/>
              <w:jc w:val="center"/>
              <w:rPr>
                <w:rFonts w:eastAsiaTheme="minorEastAsia"/>
                <w:color w:val="auto"/>
                <w:kern w:val="0"/>
                <w:sz w:val="21"/>
                <w:szCs w:val="21"/>
              </w:rPr>
            </w:pPr>
          </w:p>
        </w:tc>
        <w:tc>
          <w:tcPr>
            <w:tcW w:w="1784" w:type="dxa"/>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蛙科</w:t>
            </w:r>
          </w:p>
        </w:tc>
        <w:tc>
          <w:tcPr>
            <w:tcW w:w="1641" w:type="dxa"/>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1</w:t>
            </w:r>
          </w:p>
        </w:tc>
        <w:tc>
          <w:tcPr>
            <w:tcW w:w="1804" w:type="dxa"/>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青蛙</w:t>
            </w:r>
          </w:p>
        </w:tc>
        <w:tc>
          <w:tcPr>
            <w:tcW w:w="1476" w:type="dxa"/>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1479" w:type="dxa"/>
            <w:vMerge w:val="continue"/>
            <w:vAlign w:val="center"/>
          </w:tcPr>
          <w:p>
            <w:pPr>
              <w:widowControl/>
              <w:snapToGrid w:val="0"/>
              <w:spacing w:line="240" w:lineRule="auto"/>
              <w:ind w:firstLine="0" w:firstLineChars="0"/>
              <w:jc w:val="center"/>
              <w:rPr>
                <w:rFonts w:eastAsiaTheme="minorEastAsia"/>
                <w:color w:val="auto"/>
                <w:kern w:val="0"/>
                <w:sz w:val="21"/>
                <w:szCs w:val="21"/>
              </w:rPr>
            </w:pPr>
          </w:p>
        </w:tc>
        <w:tc>
          <w:tcPr>
            <w:tcW w:w="1784" w:type="dxa"/>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蟾蜍科</w:t>
            </w:r>
          </w:p>
        </w:tc>
        <w:tc>
          <w:tcPr>
            <w:tcW w:w="1641" w:type="dxa"/>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1</w:t>
            </w:r>
          </w:p>
        </w:tc>
        <w:tc>
          <w:tcPr>
            <w:tcW w:w="1804" w:type="dxa"/>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蟾蜍</w:t>
            </w:r>
          </w:p>
        </w:tc>
        <w:tc>
          <w:tcPr>
            <w:tcW w:w="1476" w:type="dxa"/>
            <w:vAlign w:val="center"/>
          </w:tcPr>
          <w:p>
            <w:pPr>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25%</w:t>
            </w:r>
          </w:p>
        </w:tc>
      </w:tr>
    </w:tbl>
    <w:p>
      <w:pPr>
        <w:snapToGrid w:val="0"/>
        <w:ind w:firstLine="480"/>
        <w:rPr>
          <w:rFonts w:eastAsiaTheme="minorEastAsia"/>
          <w:color w:val="auto"/>
          <w:kern w:val="0"/>
          <w:szCs w:val="20"/>
        </w:rPr>
      </w:pPr>
      <w:r>
        <w:rPr>
          <w:rFonts w:eastAsiaTheme="minorEastAsia"/>
          <w:color w:val="auto"/>
          <w:kern w:val="0"/>
          <w:szCs w:val="20"/>
        </w:rPr>
        <w:t>项目周边地区内爬行动物主要以蛇类为主，栖息于山野森林灌草丛，宅旁、农田耕地、荒坡灌草丛中。</w:t>
      </w:r>
    </w:p>
    <w:p>
      <w:pPr>
        <w:snapToGrid w:val="0"/>
        <w:ind w:firstLine="480"/>
        <w:rPr>
          <w:rFonts w:eastAsiaTheme="minorEastAsia"/>
          <w:color w:val="auto"/>
          <w:kern w:val="0"/>
          <w:szCs w:val="20"/>
        </w:rPr>
      </w:pPr>
      <w:r>
        <w:rPr>
          <w:rFonts w:hint="eastAsia" w:ascii="宋体" w:hAnsi="宋体" w:cs="宋体"/>
          <w:color w:val="auto"/>
          <w:kern w:val="0"/>
          <w:szCs w:val="20"/>
        </w:rPr>
        <w:t>②</w:t>
      </w:r>
      <w:r>
        <w:rPr>
          <w:rFonts w:eastAsiaTheme="minorEastAsia"/>
          <w:color w:val="auto"/>
          <w:kern w:val="0"/>
          <w:szCs w:val="20"/>
        </w:rPr>
        <w:t>生态分布</w:t>
      </w:r>
    </w:p>
    <w:p>
      <w:pPr>
        <w:snapToGrid w:val="0"/>
        <w:ind w:firstLine="480"/>
        <w:rPr>
          <w:rFonts w:eastAsiaTheme="minorEastAsia"/>
          <w:color w:val="auto"/>
          <w:kern w:val="0"/>
          <w:szCs w:val="20"/>
        </w:rPr>
      </w:pPr>
      <w:r>
        <w:rPr>
          <w:rFonts w:eastAsiaTheme="minorEastAsia"/>
          <w:color w:val="auto"/>
          <w:kern w:val="0"/>
          <w:szCs w:val="20"/>
        </w:rPr>
        <w:t>两栖动物在进化的历程中，经过长期自然选择适应了多种多样的生态环境，包括不同的陆地、水域、植被以及多样的气候因子，因此在不同的生态环境中生活着不同类型的两栖动物。两栖动物的生态类型可分为水栖类型、陆栖类型、树栖类型，其中水栖类型又可分为静水类型和流溪类型，陆栖类型又可分为林栖静水繁殖型、穴居静水繁殖型和林栖流溪繁殖型。按项目周边地区域内生境特点及两栖类的生活习性，项目周边地区域的两栖类可以划分为以下类型：</w:t>
      </w:r>
    </w:p>
    <w:p>
      <w:pPr>
        <w:snapToGrid w:val="0"/>
        <w:ind w:firstLine="480"/>
        <w:rPr>
          <w:rFonts w:eastAsiaTheme="minorEastAsia"/>
          <w:color w:val="auto"/>
          <w:kern w:val="0"/>
          <w:szCs w:val="20"/>
        </w:rPr>
      </w:pPr>
      <w:r>
        <w:rPr>
          <w:rFonts w:eastAsiaTheme="minorEastAsia"/>
          <w:color w:val="auto"/>
          <w:kern w:val="0"/>
          <w:szCs w:val="20"/>
        </w:rPr>
        <w:t>树栖类型：多栖于项目周边地区内杂草和低矮灌草丛中，秦岭雨蛙。</w:t>
      </w:r>
    </w:p>
    <w:p>
      <w:pPr>
        <w:snapToGrid w:val="0"/>
        <w:ind w:firstLine="480"/>
        <w:rPr>
          <w:rFonts w:eastAsiaTheme="minorEastAsia"/>
          <w:color w:val="auto"/>
          <w:kern w:val="0"/>
          <w:szCs w:val="20"/>
        </w:rPr>
      </w:pPr>
      <w:r>
        <w:rPr>
          <w:rFonts w:eastAsiaTheme="minorEastAsia"/>
          <w:color w:val="auto"/>
          <w:kern w:val="0"/>
          <w:szCs w:val="20"/>
        </w:rPr>
        <w:t>穴栖静水繁殖类型：多栖于项目周边地区内土洞、潮石下等环境中，蟾蜍和合征姬蛙。</w:t>
      </w:r>
    </w:p>
    <w:p>
      <w:pPr>
        <w:snapToGrid w:val="0"/>
        <w:ind w:firstLine="480"/>
        <w:rPr>
          <w:rFonts w:eastAsiaTheme="minorEastAsia"/>
          <w:color w:val="auto"/>
          <w:kern w:val="0"/>
          <w:szCs w:val="20"/>
        </w:rPr>
      </w:pPr>
      <w:r>
        <w:rPr>
          <w:rFonts w:eastAsiaTheme="minorEastAsia"/>
          <w:color w:val="auto"/>
          <w:kern w:val="0"/>
          <w:szCs w:val="20"/>
        </w:rPr>
        <w:t>水栖静水类型：常栖息于河流、池塘和稻田等处，水边的草丛中活动，青蛙。</w:t>
      </w:r>
    </w:p>
    <w:p>
      <w:pPr>
        <w:pStyle w:val="195"/>
        <w:spacing w:line="360" w:lineRule="auto"/>
        <w:rPr>
          <w:rFonts w:eastAsiaTheme="minorEastAsia"/>
          <w:color w:val="auto"/>
        </w:rPr>
      </w:pPr>
      <w:r>
        <w:rPr>
          <w:rFonts w:eastAsiaTheme="minorEastAsia"/>
          <w:color w:val="auto"/>
          <w:szCs w:val="20"/>
        </w:rPr>
        <w:t>根据收集资料分析</w:t>
      </w:r>
      <w:r>
        <w:rPr>
          <w:rFonts w:hint="eastAsia" w:eastAsiaTheme="minorEastAsia"/>
          <w:color w:val="auto"/>
          <w:szCs w:val="20"/>
        </w:rPr>
        <w:t>、</w:t>
      </w:r>
      <w:r>
        <w:rPr>
          <w:rFonts w:eastAsiaTheme="minorEastAsia"/>
          <w:color w:val="auto"/>
          <w:szCs w:val="20"/>
        </w:rPr>
        <w:t>走访群众</w:t>
      </w:r>
      <w:r>
        <w:rPr>
          <w:rFonts w:hint="eastAsia" w:eastAsiaTheme="minorEastAsia"/>
          <w:color w:val="auto"/>
          <w:szCs w:val="20"/>
        </w:rPr>
        <w:t>和现场调查</w:t>
      </w:r>
      <w:r>
        <w:rPr>
          <w:rFonts w:eastAsiaTheme="minorEastAsia"/>
          <w:color w:val="auto"/>
          <w:szCs w:val="20"/>
        </w:rPr>
        <w:t>，工程区未发现属于《国家重点保护野生动物名录》（2021年2月）、《</w:t>
      </w:r>
      <w:r>
        <w:rPr>
          <w:rFonts w:eastAsiaTheme="minorEastAsia"/>
          <w:color w:val="auto"/>
          <w:lang w:val="zh-CN"/>
        </w:rPr>
        <w:t>陕西省重点保护野生动物名录</w:t>
      </w:r>
      <w:r>
        <w:rPr>
          <w:rFonts w:eastAsiaTheme="minorEastAsia"/>
          <w:color w:val="auto"/>
          <w:szCs w:val="20"/>
        </w:rPr>
        <w:t>》以及</w:t>
      </w:r>
      <w:r>
        <w:rPr>
          <w:rFonts w:eastAsiaTheme="minorEastAsia"/>
          <w:color w:val="auto"/>
          <w:lang w:val="zh-CN"/>
        </w:rPr>
        <w:t>《中国生物多样性红色名录》</w:t>
      </w:r>
      <w:r>
        <w:rPr>
          <w:rFonts w:eastAsiaTheme="minorEastAsia"/>
          <w:color w:val="auto"/>
        </w:rPr>
        <w:t>中包含的</w:t>
      </w:r>
      <w:r>
        <w:rPr>
          <w:rFonts w:eastAsiaTheme="minorEastAsia"/>
          <w:color w:val="auto"/>
          <w:szCs w:val="20"/>
        </w:rPr>
        <w:t>国家级和省级珍稀保护野生动物的分布。</w:t>
      </w:r>
    </w:p>
    <w:p>
      <w:pPr>
        <w:pStyle w:val="195"/>
        <w:spacing w:line="360" w:lineRule="auto"/>
        <w:outlineLvl w:val="3"/>
        <w:rPr>
          <w:rFonts w:eastAsiaTheme="minorEastAsia"/>
          <w:color w:val="auto"/>
        </w:rPr>
      </w:pPr>
      <w:r>
        <w:rPr>
          <w:rFonts w:hint="eastAsia" w:eastAsiaTheme="minorEastAsia"/>
          <w:color w:val="auto"/>
        </w:rPr>
        <w:t>3</w:t>
      </w:r>
      <w:r>
        <w:rPr>
          <w:rFonts w:eastAsiaTheme="minorEastAsia"/>
          <w:color w:val="auto"/>
        </w:rPr>
        <w:t>.</w:t>
      </w:r>
      <w:r>
        <w:rPr>
          <w:rFonts w:hint="eastAsia" w:eastAsiaTheme="minorEastAsia"/>
          <w:color w:val="auto"/>
        </w:rPr>
        <w:t>水生生物</w:t>
      </w:r>
    </w:p>
    <w:p>
      <w:pPr>
        <w:adjustRightInd w:val="0"/>
        <w:snapToGrid w:val="0"/>
        <w:ind w:firstLine="480"/>
        <w:rPr>
          <w:rFonts w:eastAsiaTheme="minorEastAsia"/>
          <w:color w:val="auto"/>
          <w:kern w:val="0"/>
          <w:szCs w:val="20"/>
        </w:rPr>
      </w:pPr>
      <w:r>
        <w:rPr>
          <w:rFonts w:eastAsiaTheme="minorEastAsia"/>
          <w:color w:val="auto"/>
          <w:kern w:val="0"/>
          <w:szCs w:val="20"/>
        </w:rPr>
        <w:t>（1）调查方法</w:t>
      </w:r>
    </w:p>
    <w:p>
      <w:pPr>
        <w:adjustRightInd w:val="0"/>
        <w:snapToGrid w:val="0"/>
        <w:ind w:firstLine="480"/>
        <w:rPr>
          <w:rFonts w:eastAsiaTheme="minorEastAsia"/>
          <w:color w:val="auto"/>
          <w:kern w:val="0"/>
          <w:szCs w:val="20"/>
        </w:rPr>
      </w:pPr>
      <w:r>
        <w:rPr>
          <w:rFonts w:eastAsiaTheme="minorEastAsia"/>
          <w:color w:val="auto"/>
          <w:kern w:val="0"/>
          <w:szCs w:val="20"/>
        </w:rPr>
        <w:t>主要采用资料收集、专家和公众咨询法进行调查。依据《水库渔业资源调查规范》（SL167-2014），并参照《内陆水域渔业自然资源调查手册》《水环境监测规范》（SL219-2013）进行。</w:t>
      </w:r>
    </w:p>
    <w:p>
      <w:pPr>
        <w:adjustRightInd w:val="0"/>
        <w:snapToGrid w:val="0"/>
        <w:ind w:firstLine="480"/>
        <w:rPr>
          <w:rFonts w:eastAsiaTheme="minorEastAsia"/>
          <w:color w:val="auto"/>
          <w:kern w:val="0"/>
          <w:szCs w:val="20"/>
        </w:rPr>
      </w:pPr>
      <w:r>
        <w:rPr>
          <w:rFonts w:eastAsiaTheme="minorEastAsia"/>
          <w:color w:val="auto"/>
          <w:kern w:val="0"/>
          <w:szCs w:val="20"/>
        </w:rPr>
        <w:t>（2）调查时间及范围</w:t>
      </w:r>
    </w:p>
    <w:p>
      <w:pPr>
        <w:adjustRightInd w:val="0"/>
        <w:snapToGrid w:val="0"/>
        <w:ind w:firstLine="480"/>
        <w:rPr>
          <w:rFonts w:eastAsiaTheme="minorEastAsia"/>
          <w:color w:val="auto"/>
          <w:kern w:val="0"/>
          <w:szCs w:val="20"/>
        </w:rPr>
      </w:pPr>
      <w:r>
        <w:rPr>
          <w:rFonts w:eastAsiaTheme="minorEastAsia"/>
          <w:color w:val="auto"/>
          <w:kern w:val="0"/>
          <w:szCs w:val="20"/>
        </w:rPr>
        <w:t>本次评价收集</w:t>
      </w:r>
      <w:r>
        <w:rPr>
          <w:rFonts w:hint="eastAsia" w:eastAsiaTheme="minorEastAsia"/>
          <w:color w:val="auto"/>
          <w:kern w:val="0"/>
          <w:szCs w:val="20"/>
        </w:rPr>
        <w:t>了</w:t>
      </w:r>
      <w:r>
        <w:rPr>
          <w:rFonts w:eastAsiaTheme="minorEastAsia"/>
          <w:color w:val="auto"/>
          <w:kern w:val="0"/>
          <w:szCs w:val="20"/>
        </w:rPr>
        <w:t>202</w:t>
      </w:r>
      <w:r>
        <w:rPr>
          <w:rFonts w:hint="eastAsia" w:eastAsiaTheme="minorEastAsia"/>
          <w:color w:val="auto"/>
          <w:kern w:val="0"/>
          <w:szCs w:val="20"/>
        </w:rPr>
        <w:t>3</w:t>
      </w:r>
      <w:r>
        <w:rPr>
          <w:rFonts w:eastAsiaTheme="minorEastAsia"/>
          <w:color w:val="auto"/>
          <w:kern w:val="0"/>
          <w:szCs w:val="20"/>
        </w:rPr>
        <w:t>年</w:t>
      </w:r>
      <w:r>
        <w:rPr>
          <w:rFonts w:hint="eastAsia" w:eastAsiaTheme="minorEastAsia"/>
          <w:color w:val="auto"/>
          <w:kern w:val="0"/>
          <w:szCs w:val="20"/>
          <w:lang w:val="en-US" w:eastAsia="zh-CN"/>
        </w:rPr>
        <w:t>11</w:t>
      </w:r>
      <w:r>
        <w:rPr>
          <w:rFonts w:eastAsiaTheme="minorEastAsia"/>
          <w:color w:val="auto"/>
          <w:kern w:val="0"/>
          <w:szCs w:val="20"/>
        </w:rPr>
        <w:t>月（</w:t>
      </w:r>
      <w:r>
        <w:rPr>
          <w:rFonts w:hint="eastAsia" w:eastAsiaTheme="minorEastAsia"/>
          <w:color w:val="auto"/>
          <w:kern w:val="0"/>
          <w:szCs w:val="20"/>
          <w:lang w:val="en-US" w:eastAsia="zh-CN"/>
        </w:rPr>
        <w:t>枯</w:t>
      </w:r>
      <w:r>
        <w:rPr>
          <w:rFonts w:eastAsiaTheme="minorEastAsia"/>
          <w:color w:val="auto"/>
          <w:kern w:val="0"/>
          <w:szCs w:val="20"/>
        </w:rPr>
        <w:t>水期）</w:t>
      </w:r>
      <w:r>
        <w:rPr>
          <w:rFonts w:hint="eastAsia" w:eastAsiaTheme="minorEastAsia"/>
          <w:color w:val="auto"/>
          <w:kern w:val="0"/>
          <w:szCs w:val="20"/>
        </w:rPr>
        <w:t>项目区</w:t>
      </w:r>
      <w:r>
        <w:rPr>
          <w:rFonts w:eastAsiaTheme="minorEastAsia"/>
          <w:color w:val="auto"/>
          <w:kern w:val="0"/>
          <w:szCs w:val="20"/>
        </w:rPr>
        <w:t>鱼类相关调查资料。</w:t>
      </w:r>
    </w:p>
    <w:p>
      <w:pPr>
        <w:adjustRightInd w:val="0"/>
        <w:snapToGrid w:val="0"/>
        <w:ind w:firstLine="480"/>
        <w:rPr>
          <w:rFonts w:eastAsiaTheme="minorEastAsia"/>
          <w:color w:val="auto"/>
          <w:kern w:val="0"/>
          <w:szCs w:val="20"/>
        </w:rPr>
      </w:pPr>
      <w:r>
        <w:rPr>
          <w:rFonts w:eastAsiaTheme="minorEastAsia"/>
          <w:color w:val="auto"/>
          <w:kern w:val="0"/>
          <w:szCs w:val="20"/>
        </w:rPr>
        <w:t>（3）浮游动物</w:t>
      </w:r>
    </w:p>
    <w:p>
      <w:pPr>
        <w:adjustRightInd w:val="0"/>
        <w:snapToGrid w:val="0"/>
        <w:ind w:firstLine="480"/>
        <w:rPr>
          <w:rFonts w:eastAsiaTheme="minorEastAsia"/>
          <w:color w:val="auto"/>
          <w:kern w:val="0"/>
          <w:szCs w:val="20"/>
        </w:rPr>
      </w:pPr>
      <w:r>
        <w:rPr>
          <w:rFonts w:eastAsiaTheme="minorEastAsia"/>
          <w:color w:val="auto"/>
          <w:kern w:val="0"/>
          <w:szCs w:val="20"/>
        </w:rPr>
        <w:t>通过收集资料的分析，</w:t>
      </w:r>
      <w:r>
        <w:rPr>
          <w:rFonts w:hint="eastAsia" w:eastAsiaTheme="minorEastAsia"/>
          <w:color w:val="auto"/>
          <w:kern w:val="0"/>
          <w:szCs w:val="20"/>
        </w:rPr>
        <w:t>项目区</w:t>
      </w:r>
      <w:r>
        <w:rPr>
          <w:rFonts w:eastAsiaTheme="minorEastAsia"/>
          <w:color w:val="auto"/>
          <w:kern w:val="0"/>
          <w:szCs w:val="20"/>
        </w:rPr>
        <w:t>浮游动物共有6科13种，其中臀尾轮科最多有8种，占种类总数的61.5%，其它科各有1种，各占种类总数的7.7%。主要的浮游动物种类名录详见表</w:t>
      </w:r>
      <w:r>
        <w:rPr>
          <w:rFonts w:hint="eastAsia" w:eastAsiaTheme="minorEastAsia"/>
          <w:color w:val="auto"/>
          <w:kern w:val="0"/>
          <w:szCs w:val="20"/>
        </w:rPr>
        <w:t>4.3-</w:t>
      </w:r>
      <w:r>
        <w:rPr>
          <w:rFonts w:eastAsiaTheme="minorEastAsia"/>
          <w:color w:val="auto"/>
          <w:kern w:val="0"/>
          <w:szCs w:val="20"/>
        </w:rPr>
        <w:t>9。</w:t>
      </w:r>
    </w:p>
    <w:p>
      <w:pPr>
        <w:adjustRightInd w:val="0"/>
        <w:snapToGrid w:val="0"/>
        <w:spacing w:line="240" w:lineRule="auto"/>
        <w:ind w:firstLine="482"/>
        <w:jc w:val="center"/>
        <w:rPr>
          <w:rFonts w:eastAsiaTheme="minorEastAsia"/>
          <w:b/>
          <w:color w:val="auto"/>
          <w:kern w:val="0"/>
        </w:rPr>
      </w:pPr>
      <w:r>
        <w:rPr>
          <w:rFonts w:eastAsiaTheme="minorEastAsia"/>
          <w:b/>
          <w:color w:val="auto"/>
          <w:kern w:val="0"/>
        </w:rPr>
        <w:t>表</w:t>
      </w:r>
      <w:r>
        <w:rPr>
          <w:rFonts w:hint="eastAsia" w:eastAsiaTheme="minorEastAsia"/>
          <w:b/>
          <w:color w:val="auto"/>
          <w:kern w:val="0"/>
        </w:rPr>
        <w:t>4.3-</w:t>
      </w:r>
      <w:r>
        <w:rPr>
          <w:rFonts w:eastAsiaTheme="minorEastAsia"/>
          <w:b/>
          <w:color w:val="auto"/>
          <w:kern w:val="0"/>
        </w:rPr>
        <w:t>9 评价河段主要的浮游动物种类名录</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30" w:type="dxa"/>
          <w:bottom w:w="0" w:type="dxa"/>
          <w:right w:w="30" w:type="dxa"/>
        </w:tblCellMar>
      </w:tblPr>
      <w:tblGrid>
        <w:gridCol w:w="1764"/>
        <w:gridCol w:w="2452"/>
        <w:gridCol w:w="32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tblHeader/>
          <w:jc w:val="center"/>
        </w:trPr>
        <w:tc>
          <w:tcPr>
            <w:tcW w:w="1764" w:type="dxa"/>
            <w:tcBorders>
              <w:top w:val="single" w:color="auto" w:sz="12" w:space="0"/>
              <w:bottom w:val="single" w:color="auto" w:sz="12" w:space="0"/>
            </w:tcBorders>
            <w:vAlign w:val="center"/>
          </w:tcPr>
          <w:p>
            <w:pPr>
              <w:snapToGrid w:val="0"/>
              <w:spacing w:line="240" w:lineRule="auto"/>
              <w:ind w:firstLine="422"/>
              <w:jc w:val="center"/>
              <w:rPr>
                <w:rFonts w:eastAsiaTheme="minorEastAsia"/>
                <w:b/>
                <w:color w:val="auto"/>
                <w:kern w:val="0"/>
                <w:sz w:val="21"/>
                <w:szCs w:val="21"/>
              </w:rPr>
            </w:pPr>
            <w:r>
              <w:rPr>
                <w:rFonts w:eastAsiaTheme="minorEastAsia"/>
                <w:b/>
                <w:color w:val="auto"/>
                <w:kern w:val="0"/>
                <w:sz w:val="21"/>
                <w:szCs w:val="21"/>
              </w:rPr>
              <w:t>序号</w:t>
            </w:r>
          </w:p>
        </w:tc>
        <w:tc>
          <w:tcPr>
            <w:tcW w:w="2452" w:type="dxa"/>
            <w:tcBorders>
              <w:top w:val="single" w:color="auto" w:sz="12" w:space="0"/>
              <w:bottom w:val="single" w:color="auto" w:sz="12" w:space="0"/>
            </w:tcBorders>
            <w:vAlign w:val="center"/>
          </w:tcPr>
          <w:p>
            <w:pPr>
              <w:snapToGrid w:val="0"/>
              <w:spacing w:line="240" w:lineRule="auto"/>
              <w:ind w:firstLine="422"/>
              <w:jc w:val="center"/>
              <w:rPr>
                <w:rFonts w:eastAsiaTheme="minorEastAsia"/>
                <w:b/>
                <w:color w:val="auto"/>
                <w:kern w:val="0"/>
                <w:sz w:val="21"/>
                <w:szCs w:val="21"/>
              </w:rPr>
            </w:pPr>
            <w:r>
              <w:rPr>
                <w:rFonts w:eastAsiaTheme="minorEastAsia"/>
                <w:b/>
                <w:color w:val="auto"/>
                <w:kern w:val="0"/>
                <w:sz w:val="21"/>
                <w:szCs w:val="21"/>
              </w:rPr>
              <w:t>中文名</w:t>
            </w:r>
          </w:p>
        </w:tc>
        <w:tc>
          <w:tcPr>
            <w:tcW w:w="3282" w:type="dxa"/>
            <w:tcBorders>
              <w:top w:val="single" w:color="auto" w:sz="12" w:space="0"/>
              <w:bottom w:val="single" w:color="auto" w:sz="12" w:space="0"/>
            </w:tcBorders>
            <w:vAlign w:val="center"/>
          </w:tcPr>
          <w:p>
            <w:pPr>
              <w:snapToGrid w:val="0"/>
              <w:spacing w:line="240" w:lineRule="auto"/>
              <w:ind w:firstLine="422"/>
              <w:jc w:val="center"/>
              <w:rPr>
                <w:rFonts w:eastAsiaTheme="minorEastAsia"/>
                <w:b/>
                <w:color w:val="auto"/>
                <w:kern w:val="0"/>
                <w:sz w:val="21"/>
                <w:szCs w:val="21"/>
              </w:rPr>
            </w:pPr>
            <w:r>
              <w:rPr>
                <w:rFonts w:eastAsiaTheme="minorEastAsia"/>
                <w:b/>
                <w:color w:val="auto"/>
                <w:kern w:val="0"/>
                <w:sz w:val="21"/>
                <w:szCs w:val="21"/>
              </w:rPr>
              <w:t>拉丁文名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tcBorders>
              <w:top w:val="single" w:color="auto" w:sz="12" w:space="0"/>
            </w:tcBorders>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Ⅰ</w:t>
            </w:r>
          </w:p>
        </w:tc>
        <w:tc>
          <w:tcPr>
            <w:tcW w:w="2452" w:type="dxa"/>
            <w:tcBorders>
              <w:top w:val="single" w:color="auto" w:sz="12" w:space="0"/>
            </w:tcBorders>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剑水蚤科</w:t>
            </w:r>
          </w:p>
        </w:tc>
        <w:tc>
          <w:tcPr>
            <w:tcW w:w="3282" w:type="dxa"/>
            <w:tcBorders>
              <w:top w:val="single" w:color="auto" w:sz="12" w:space="0"/>
            </w:tcBorders>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cyclopidae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1</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绿色近剑水蚤</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tropocyclops prasinus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Ⅱ</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象鼻蚤科</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ciliophora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2</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长额象鼻蚤</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diplostraca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Ⅲ</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臂尾轮科</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brachionidae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3</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钝角狭甲轮虫</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colurella obtuse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4</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角突臂尾轮虫</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brachionus angularis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5</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唇形叶轮虫</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notholca labis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6</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花箧臀围轮虫</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brachionus capsuliflorus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7</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萼花臀围轮虫</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brachionus calyciflorus Pallas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8</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壶状臀围轮虫</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brachionus urceus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9</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镰状臀围轮虫</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B.falcatus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10</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裂足轮虫</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brachionus diversicornis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Ⅳ</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晶囊轮科</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asplanchnidae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11</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前节晶囊轮虫</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Asplachna priodonta Gosse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Ⅴ</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疣毛轮科</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synchaetidae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12</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针簇多肢轮虫</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Polyarthra trigla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Ⅵ</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镜轮科</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testudinellidae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exact"/>
          <w:jc w:val="center"/>
        </w:trPr>
        <w:tc>
          <w:tcPr>
            <w:tcW w:w="1764"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13</w:t>
            </w:r>
          </w:p>
        </w:tc>
        <w:tc>
          <w:tcPr>
            <w:tcW w:w="245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长三肢轮虫</w:t>
            </w:r>
          </w:p>
        </w:tc>
        <w:tc>
          <w:tcPr>
            <w:tcW w:w="3282" w:type="dxa"/>
            <w:vAlign w:val="center"/>
          </w:tcPr>
          <w:p>
            <w:pPr>
              <w:snapToGrid w:val="0"/>
              <w:spacing w:line="240" w:lineRule="auto"/>
              <w:ind w:firstLine="420"/>
              <w:jc w:val="center"/>
              <w:rPr>
                <w:rFonts w:eastAsiaTheme="minorEastAsia"/>
                <w:color w:val="auto"/>
                <w:sz w:val="21"/>
                <w:szCs w:val="21"/>
              </w:rPr>
            </w:pPr>
            <w:r>
              <w:rPr>
                <w:rFonts w:eastAsiaTheme="minorEastAsia"/>
                <w:color w:val="auto"/>
                <w:sz w:val="21"/>
                <w:szCs w:val="21"/>
              </w:rPr>
              <w:t>Filinia longisela</w:t>
            </w:r>
          </w:p>
        </w:tc>
      </w:tr>
    </w:tbl>
    <w:p>
      <w:pPr>
        <w:adjustRightInd w:val="0"/>
        <w:snapToGrid w:val="0"/>
        <w:spacing w:before="200" w:beforeLines="50"/>
        <w:ind w:firstLine="480"/>
        <w:rPr>
          <w:rFonts w:eastAsiaTheme="minorEastAsia"/>
          <w:color w:val="auto"/>
          <w:kern w:val="0"/>
          <w:szCs w:val="20"/>
        </w:rPr>
      </w:pPr>
      <w:r>
        <w:rPr>
          <w:rFonts w:eastAsiaTheme="minorEastAsia"/>
          <w:color w:val="auto"/>
          <w:kern w:val="0"/>
          <w:szCs w:val="20"/>
        </w:rPr>
        <w:t>（</w:t>
      </w:r>
      <w:r>
        <w:rPr>
          <w:rFonts w:hint="eastAsia" w:eastAsiaTheme="minorEastAsia"/>
          <w:color w:val="auto"/>
          <w:kern w:val="0"/>
          <w:szCs w:val="20"/>
        </w:rPr>
        <w:t>4</w:t>
      </w:r>
      <w:r>
        <w:rPr>
          <w:rFonts w:eastAsiaTheme="minorEastAsia"/>
          <w:color w:val="auto"/>
          <w:kern w:val="0"/>
          <w:szCs w:val="20"/>
        </w:rPr>
        <w:t>）水生植物</w:t>
      </w:r>
    </w:p>
    <w:p>
      <w:pPr>
        <w:adjustRightInd w:val="0"/>
        <w:snapToGrid w:val="0"/>
        <w:ind w:firstLine="480"/>
        <w:rPr>
          <w:rFonts w:eastAsiaTheme="minorEastAsia"/>
          <w:color w:val="auto"/>
          <w:kern w:val="0"/>
          <w:szCs w:val="20"/>
        </w:rPr>
      </w:pPr>
      <w:r>
        <w:rPr>
          <w:rFonts w:eastAsiaTheme="minorEastAsia"/>
          <w:color w:val="auto"/>
          <w:kern w:val="0"/>
          <w:szCs w:val="20"/>
        </w:rPr>
        <w:t>经收集资料分析和咨询专家，</w:t>
      </w:r>
      <w:r>
        <w:rPr>
          <w:rFonts w:hint="eastAsia" w:eastAsiaTheme="minorEastAsia"/>
          <w:color w:val="auto"/>
          <w:kern w:val="0"/>
          <w:szCs w:val="20"/>
        </w:rPr>
        <w:t>项目区</w:t>
      </w:r>
      <w:r>
        <w:rPr>
          <w:rFonts w:eastAsiaTheme="minorEastAsia"/>
          <w:color w:val="auto"/>
          <w:kern w:val="0"/>
          <w:szCs w:val="20"/>
        </w:rPr>
        <w:t>河段共有26科49种水生植物，其中眼子菜科5种，禾本科6种，分别占植物种类总数的10.2%和12.2%，为水生植物中的优势类群。其余多为单科单属1~2种。</w:t>
      </w:r>
    </w:p>
    <w:p>
      <w:pPr>
        <w:adjustRightInd w:val="0"/>
        <w:snapToGrid w:val="0"/>
        <w:ind w:firstLine="480"/>
        <w:rPr>
          <w:rFonts w:eastAsiaTheme="minorEastAsia"/>
          <w:color w:val="auto"/>
          <w:kern w:val="0"/>
          <w:szCs w:val="20"/>
        </w:rPr>
      </w:pPr>
      <w:r>
        <w:rPr>
          <w:rFonts w:eastAsiaTheme="minorEastAsia"/>
          <w:color w:val="auto"/>
          <w:kern w:val="0"/>
          <w:szCs w:val="20"/>
        </w:rPr>
        <w:t>评价河段基底多为砾石及沙质基底，河床两岸湿生型植物以喜旱莲子草、水蓼及漂浮植物如浮萍、无根萍等在局部可见，而沉水植物则少有分布。</w:t>
      </w:r>
    </w:p>
    <w:p>
      <w:pPr>
        <w:adjustRightInd w:val="0"/>
        <w:snapToGrid w:val="0"/>
        <w:ind w:firstLine="480"/>
        <w:rPr>
          <w:rFonts w:eastAsiaTheme="minorEastAsia"/>
          <w:color w:val="auto"/>
          <w:kern w:val="0"/>
          <w:szCs w:val="20"/>
        </w:rPr>
      </w:pPr>
      <w:r>
        <w:rPr>
          <w:rFonts w:eastAsiaTheme="minorEastAsia"/>
          <w:color w:val="auto"/>
          <w:kern w:val="0"/>
          <w:szCs w:val="20"/>
        </w:rPr>
        <w:t>（</w:t>
      </w:r>
      <w:r>
        <w:rPr>
          <w:rFonts w:hint="eastAsia" w:eastAsiaTheme="minorEastAsia"/>
          <w:color w:val="auto"/>
          <w:kern w:val="0"/>
          <w:szCs w:val="20"/>
        </w:rPr>
        <w:t>5</w:t>
      </w:r>
      <w:r>
        <w:rPr>
          <w:rFonts w:eastAsiaTheme="minorEastAsia"/>
          <w:color w:val="auto"/>
          <w:kern w:val="0"/>
          <w:szCs w:val="20"/>
        </w:rPr>
        <w:t>）鱼类</w:t>
      </w:r>
    </w:p>
    <w:p>
      <w:pPr>
        <w:adjustRightInd w:val="0"/>
        <w:snapToGrid w:val="0"/>
        <w:ind w:firstLine="480"/>
        <w:rPr>
          <w:rFonts w:eastAsiaTheme="minorEastAsia"/>
          <w:color w:val="auto"/>
          <w:kern w:val="0"/>
          <w:szCs w:val="20"/>
        </w:rPr>
      </w:pPr>
      <w:r>
        <w:rPr>
          <w:rFonts w:eastAsiaTheme="minorEastAsia"/>
          <w:color w:val="auto"/>
          <w:kern w:val="0"/>
          <w:szCs w:val="20"/>
        </w:rPr>
        <w:t>1）鱼类区系组成</w:t>
      </w:r>
    </w:p>
    <w:p>
      <w:pPr>
        <w:adjustRightInd w:val="0"/>
        <w:snapToGrid w:val="0"/>
        <w:ind w:firstLine="480"/>
        <w:rPr>
          <w:rFonts w:eastAsiaTheme="minorEastAsia"/>
          <w:color w:val="auto"/>
          <w:kern w:val="0"/>
          <w:szCs w:val="20"/>
        </w:rPr>
      </w:pPr>
      <w:r>
        <w:rPr>
          <w:rFonts w:eastAsiaTheme="minorEastAsia"/>
          <w:color w:val="auto"/>
          <w:kern w:val="0"/>
          <w:szCs w:val="20"/>
        </w:rPr>
        <w:t>根据调查分析，项目周边区域</w:t>
      </w:r>
      <w:r>
        <w:rPr>
          <w:rFonts w:hint="eastAsia" w:eastAsiaTheme="minorEastAsia"/>
          <w:color w:val="auto"/>
          <w:kern w:val="0"/>
          <w:szCs w:val="20"/>
          <w:lang w:val="en-US" w:eastAsia="zh-CN"/>
        </w:rPr>
        <w:t>岚河</w:t>
      </w:r>
      <w:r>
        <w:rPr>
          <w:rFonts w:eastAsiaTheme="minorEastAsia"/>
          <w:color w:val="auto"/>
          <w:kern w:val="0"/>
          <w:szCs w:val="20"/>
        </w:rPr>
        <w:t>流域鱼类区系组成中，鲤科鱼类为优势类群，与秦岭鲤科鱼类分布的特点相类似。</w:t>
      </w:r>
    </w:p>
    <w:p>
      <w:pPr>
        <w:adjustRightInd w:val="0"/>
        <w:snapToGrid w:val="0"/>
        <w:ind w:firstLine="480"/>
        <w:rPr>
          <w:rFonts w:eastAsiaTheme="minorEastAsia"/>
          <w:color w:val="auto"/>
          <w:kern w:val="0"/>
          <w:szCs w:val="20"/>
        </w:rPr>
      </w:pPr>
      <w:r>
        <w:rPr>
          <w:rFonts w:eastAsiaTheme="minorEastAsia"/>
          <w:color w:val="auto"/>
          <w:kern w:val="0"/>
          <w:szCs w:val="20"/>
        </w:rPr>
        <w:t>2）调查区鱼类分布</w:t>
      </w:r>
    </w:p>
    <w:p>
      <w:pPr>
        <w:adjustRightInd w:val="0"/>
        <w:snapToGrid w:val="0"/>
        <w:ind w:firstLine="480"/>
        <w:rPr>
          <w:rFonts w:eastAsiaTheme="minorEastAsia"/>
          <w:color w:val="auto"/>
          <w:kern w:val="0"/>
          <w:szCs w:val="20"/>
        </w:rPr>
      </w:pPr>
      <w:r>
        <w:rPr>
          <w:rFonts w:eastAsiaTheme="minorEastAsia"/>
          <w:color w:val="auto"/>
          <w:kern w:val="0"/>
          <w:szCs w:val="20"/>
        </w:rPr>
        <w:t>经资料收集整理和咨询专家，对项目周边地区</w:t>
      </w:r>
      <w:r>
        <w:rPr>
          <w:rFonts w:hint="eastAsia" w:eastAsiaTheme="minorEastAsia"/>
          <w:color w:val="auto"/>
          <w:kern w:val="0"/>
          <w:szCs w:val="20"/>
          <w:lang w:val="en-US" w:eastAsia="zh-CN"/>
        </w:rPr>
        <w:t>岚河</w:t>
      </w:r>
      <w:r>
        <w:rPr>
          <w:rFonts w:eastAsiaTheme="minorEastAsia"/>
          <w:color w:val="auto"/>
          <w:kern w:val="0"/>
          <w:szCs w:val="20"/>
        </w:rPr>
        <w:t>流域鱼类分析，</w:t>
      </w:r>
      <w:r>
        <w:rPr>
          <w:rFonts w:hint="eastAsia" w:eastAsiaTheme="minorEastAsia"/>
          <w:color w:val="auto"/>
          <w:kern w:val="0"/>
          <w:szCs w:val="20"/>
          <w:lang w:val="en-US" w:eastAsia="zh-CN"/>
        </w:rPr>
        <w:t>岚河</w:t>
      </w:r>
      <w:r>
        <w:rPr>
          <w:rFonts w:eastAsiaTheme="minorEastAsia"/>
          <w:color w:val="auto"/>
          <w:kern w:val="0"/>
          <w:szCs w:val="20"/>
        </w:rPr>
        <w:t>流域鱼类资源以小型鱼类为主，优势种主要为</w:t>
      </w:r>
      <w:r>
        <w:rPr>
          <w:rFonts w:hint="eastAsia" w:eastAsiaTheme="minorEastAsia"/>
          <w:color w:val="auto"/>
          <w:kern w:val="0"/>
          <w:szCs w:val="20"/>
        </w:rPr>
        <w:t>鲢鱼</w:t>
      </w:r>
      <w:r>
        <w:rPr>
          <w:rFonts w:eastAsiaTheme="minorEastAsia"/>
          <w:color w:val="auto"/>
          <w:kern w:val="0"/>
          <w:szCs w:val="20"/>
        </w:rPr>
        <w:t>、棒花鱼、餐条、麦穗鱼、鲫鱼，上述鱼类均为鲤科。</w:t>
      </w:r>
    </w:p>
    <w:p>
      <w:pPr>
        <w:snapToGrid w:val="0"/>
        <w:ind w:firstLine="480"/>
        <w:rPr>
          <w:rFonts w:eastAsiaTheme="minorEastAsia"/>
          <w:color w:val="auto"/>
          <w:kern w:val="0"/>
          <w:szCs w:val="20"/>
          <w:lang w:val="zh-CN"/>
        </w:rPr>
      </w:pPr>
      <w:r>
        <w:rPr>
          <w:rFonts w:eastAsiaTheme="minorEastAsia"/>
          <w:color w:val="auto"/>
          <w:kern w:val="0"/>
          <w:szCs w:val="20"/>
        </w:rPr>
        <w:t>3）</w:t>
      </w:r>
      <w:r>
        <w:rPr>
          <w:rFonts w:eastAsiaTheme="minorEastAsia"/>
          <w:color w:val="auto"/>
          <w:kern w:val="0"/>
          <w:szCs w:val="20"/>
          <w:lang w:val="zh-CN"/>
        </w:rPr>
        <w:t>鱼类生活习性</w:t>
      </w:r>
    </w:p>
    <w:p>
      <w:pPr>
        <w:adjustRightInd w:val="0"/>
        <w:snapToGrid w:val="0"/>
        <w:ind w:firstLine="480"/>
        <w:textAlignment w:val="bottom"/>
        <w:rPr>
          <w:rFonts w:eastAsiaTheme="minorEastAsia"/>
          <w:color w:val="auto"/>
          <w:kern w:val="0"/>
          <w:szCs w:val="20"/>
        </w:rPr>
      </w:pPr>
      <w:r>
        <w:rPr>
          <w:rFonts w:eastAsiaTheme="minorEastAsia"/>
          <w:color w:val="auto"/>
          <w:kern w:val="0"/>
          <w:szCs w:val="20"/>
        </w:rPr>
        <w:t>项目周边区域，</w:t>
      </w:r>
      <w:r>
        <w:rPr>
          <w:rFonts w:hint="eastAsia" w:eastAsiaTheme="minorEastAsia"/>
          <w:color w:val="auto"/>
          <w:kern w:val="0"/>
          <w:szCs w:val="20"/>
          <w:lang w:val="en-US" w:eastAsia="zh-CN"/>
        </w:rPr>
        <w:t>岚河</w:t>
      </w:r>
      <w:r>
        <w:rPr>
          <w:rFonts w:hint="eastAsia" w:eastAsiaTheme="minorEastAsia"/>
          <w:color w:val="auto"/>
          <w:kern w:val="0"/>
          <w:szCs w:val="20"/>
        </w:rPr>
        <w:t>河</w:t>
      </w:r>
      <w:r>
        <w:rPr>
          <w:rFonts w:eastAsiaTheme="minorEastAsia"/>
          <w:color w:val="auto"/>
          <w:kern w:val="0"/>
          <w:szCs w:val="20"/>
        </w:rPr>
        <w:t>流域</w:t>
      </w:r>
      <w:r>
        <w:rPr>
          <w:rFonts w:hint="eastAsia" w:eastAsiaTheme="minorEastAsia"/>
          <w:color w:val="auto"/>
          <w:kern w:val="0"/>
          <w:szCs w:val="20"/>
        </w:rPr>
        <w:t>项目区段</w:t>
      </w:r>
      <w:r>
        <w:rPr>
          <w:rFonts w:eastAsiaTheme="minorEastAsia"/>
          <w:color w:val="auto"/>
          <w:kern w:val="0"/>
          <w:szCs w:val="20"/>
        </w:rPr>
        <w:t>主要分布的10种鱼类，生活习性详见表</w:t>
      </w:r>
      <w:r>
        <w:rPr>
          <w:rFonts w:hint="eastAsia" w:eastAsiaTheme="minorEastAsia"/>
          <w:color w:val="auto"/>
          <w:kern w:val="0"/>
          <w:szCs w:val="20"/>
        </w:rPr>
        <w:t>4.3-10</w:t>
      </w:r>
      <w:r>
        <w:rPr>
          <w:rFonts w:eastAsiaTheme="minorEastAsia"/>
          <w:color w:val="auto"/>
          <w:kern w:val="0"/>
          <w:szCs w:val="20"/>
        </w:rPr>
        <w:t>。</w:t>
      </w:r>
    </w:p>
    <w:p>
      <w:pPr>
        <w:snapToGrid w:val="0"/>
        <w:spacing w:line="240" w:lineRule="auto"/>
        <w:ind w:firstLine="482"/>
        <w:jc w:val="center"/>
        <w:rPr>
          <w:rFonts w:cs="Times New Roman" w:eastAsiaTheme="minorEastAsia"/>
          <w:b/>
          <w:color w:val="auto"/>
          <w:kern w:val="0"/>
          <w:szCs w:val="20"/>
        </w:rPr>
      </w:pPr>
    </w:p>
    <w:p>
      <w:pPr>
        <w:snapToGrid w:val="0"/>
        <w:spacing w:line="240" w:lineRule="auto"/>
        <w:ind w:firstLine="482"/>
        <w:jc w:val="center"/>
        <w:rPr>
          <w:rFonts w:cs="Times New Roman" w:eastAsiaTheme="minorEastAsia"/>
          <w:b/>
          <w:color w:val="auto"/>
          <w:kern w:val="0"/>
          <w:szCs w:val="20"/>
        </w:rPr>
      </w:pPr>
      <w:r>
        <w:rPr>
          <w:rFonts w:cs="Times New Roman" w:eastAsiaTheme="minorEastAsia"/>
          <w:b/>
          <w:color w:val="auto"/>
          <w:kern w:val="0"/>
          <w:szCs w:val="20"/>
        </w:rPr>
        <w:t>表4.3-10   项目周边地区鱼类生活习性表</w:t>
      </w:r>
    </w:p>
    <w:tbl>
      <w:tblPr>
        <w:tblStyle w:val="42"/>
        <w:tblW w:w="83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411"/>
        <w:gridCol w:w="425"/>
        <w:gridCol w:w="567"/>
        <w:gridCol w:w="1417"/>
        <w:gridCol w:w="2534"/>
        <w:gridCol w:w="2017"/>
        <w:gridCol w:w="9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24" w:hRule="exact"/>
          <w:tblHeader/>
          <w:jc w:val="center"/>
        </w:trPr>
        <w:tc>
          <w:tcPr>
            <w:tcW w:w="411" w:type="dxa"/>
            <w:tcBorders>
              <w:top w:val="single" w:color="auto" w:sz="12" w:space="0"/>
              <w:bottom w:val="single" w:color="auto" w:sz="12" w:space="0"/>
            </w:tcBorders>
            <w:vAlign w:val="center"/>
          </w:tcPr>
          <w:p>
            <w:pPr>
              <w:widowControl/>
              <w:adjustRightInd w:val="0"/>
              <w:snapToGrid w:val="0"/>
              <w:spacing w:line="240" w:lineRule="atLeast"/>
              <w:ind w:firstLine="0" w:firstLineChars="0"/>
              <w:jc w:val="center"/>
              <w:rPr>
                <w:rFonts w:eastAsiaTheme="minorEastAsia"/>
                <w:b/>
                <w:color w:val="auto"/>
                <w:kern w:val="0"/>
                <w:sz w:val="18"/>
                <w:szCs w:val="18"/>
              </w:rPr>
            </w:pPr>
            <w:r>
              <w:rPr>
                <w:rFonts w:eastAsiaTheme="minorEastAsia"/>
                <w:b/>
                <w:color w:val="auto"/>
                <w:kern w:val="0"/>
                <w:sz w:val="18"/>
                <w:szCs w:val="18"/>
              </w:rPr>
              <w:t>序号</w:t>
            </w:r>
          </w:p>
        </w:tc>
        <w:tc>
          <w:tcPr>
            <w:tcW w:w="425" w:type="dxa"/>
            <w:tcBorders>
              <w:top w:val="single" w:color="auto" w:sz="12" w:space="0"/>
              <w:bottom w:val="single" w:color="auto" w:sz="12" w:space="0"/>
            </w:tcBorders>
            <w:vAlign w:val="center"/>
          </w:tcPr>
          <w:p>
            <w:pPr>
              <w:widowControl/>
              <w:adjustRightInd w:val="0"/>
              <w:snapToGrid w:val="0"/>
              <w:spacing w:line="240" w:lineRule="atLeast"/>
              <w:ind w:firstLine="0" w:firstLineChars="0"/>
              <w:jc w:val="center"/>
              <w:rPr>
                <w:rFonts w:eastAsiaTheme="minorEastAsia"/>
                <w:b/>
                <w:color w:val="auto"/>
                <w:kern w:val="0"/>
                <w:sz w:val="18"/>
                <w:szCs w:val="18"/>
              </w:rPr>
            </w:pPr>
            <w:r>
              <w:rPr>
                <w:rFonts w:eastAsiaTheme="minorEastAsia"/>
                <w:b/>
                <w:color w:val="auto"/>
                <w:kern w:val="0"/>
                <w:sz w:val="18"/>
                <w:szCs w:val="18"/>
              </w:rPr>
              <w:t>鱼类</w:t>
            </w:r>
          </w:p>
        </w:tc>
        <w:tc>
          <w:tcPr>
            <w:tcW w:w="567" w:type="dxa"/>
            <w:tcBorders>
              <w:top w:val="single" w:color="auto" w:sz="12" w:space="0"/>
              <w:bottom w:val="single" w:color="auto" w:sz="12" w:space="0"/>
            </w:tcBorders>
            <w:vAlign w:val="center"/>
          </w:tcPr>
          <w:p>
            <w:pPr>
              <w:widowControl/>
              <w:adjustRightInd w:val="0"/>
              <w:snapToGrid w:val="0"/>
              <w:spacing w:line="240" w:lineRule="atLeast"/>
              <w:ind w:firstLine="0" w:firstLineChars="0"/>
              <w:jc w:val="center"/>
              <w:rPr>
                <w:rFonts w:eastAsiaTheme="minorEastAsia"/>
                <w:b/>
                <w:color w:val="auto"/>
                <w:kern w:val="0"/>
                <w:sz w:val="18"/>
                <w:szCs w:val="18"/>
              </w:rPr>
            </w:pPr>
            <w:r>
              <w:rPr>
                <w:rFonts w:eastAsiaTheme="minorEastAsia"/>
                <w:b/>
                <w:color w:val="auto"/>
                <w:kern w:val="0"/>
                <w:sz w:val="18"/>
                <w:szCs w:val="18"/>
              </w:rPr>
              <w:t>俗名</w:t>
            </w:r>
          </w:p>
        </w:tc>
        <w:tc>
          <w:tcPr>
            <w:tcW w:w="1417" w:type="dxa"/>
            <w:tcBorders>
              <w:top w:val="single" w:color="auto" w:sz="12" w:space="0"/>
              <w:bottom w:val="single" w:color="auto" w:sz="12" w:space="0"/>
            </w:tcBorders>
            <w:vAlign w:val="center"/>
          </w:tcPr>
          <w:p>
            <w:pPr>
              <w:widowControl/>
              <w:adjustRightInd w:val="0"/>
              <w:snapToGrid w:val="0"/>
              <w:spacing w:line="240" w:lineRule="atLeast"/>
              <w:ind w:firstLine="0" w:firstLineChars="0"/>
              <w:jc w:val="center"/>
              <w:rPr>
                <w:rFonts w:eastAsiaTheme="minorEastAsia"/>
                <w:b/>
                <w:color w:val="auto"/>
                <w:kern w:val="0"/>
                <w:sz w:val="18"/>
                <w:szCs w:val="18"/>
              </w:rPr>
            </w:pPr>
            <w:r>
              <w:rPr>
                <w:rFonts w:eastAsiaTheme="minorEastAsia"/>
                <w:b/>
                <w:color w:val="auto"/>
                <w:kern w:val="0"/>
                <w:sz w:val="18"/>
                <w:szCs w:val="18"/>
              </w:rPr>
              <w:t>基本信息</w:t>
            </w:r>
          </w:p>
        </w:tc>
        <w:tc>
          <w:tcPr>
            <w:tcW w:w="2534" w:type="dxa"/>
            <w:tcBorders>
              <w:top w:val="single" w:color="auto" w:sz="12" w:space="0"/>
              <w:bottom w:val="single" w:color="auto" w:sz="12" w:space="0"/>
            </w:tcBorders>
            <w:vAlign w:val="center"/>
          </w:tcPr>
          <w:p>
            <w:pPr>
              <w:widowControl/>
              <w:adjustRightInd w:val="0"/>
              <w:snapToGrid w:val="0"/>
              <w:spacing w:line="240" w:lineRule="atLeast"/>
              <w:ind w:firstLine="0" w:firstLineChars="0"/>
              <w:jc w:val="center"/>
              <w:rPr>
                <w:rFonts w:eastAsiaTheme="minorEastAsia"/>
                <w:b/>
                <w:color w:val="auto"/>
                <w:kern w:val="0"/>
                <w:sz w:val="18"/>
                <w:szCs w:val="18"/>
              </w:rPr>
            </w:pPr>
            <w:r>
              <w:rPr>
                <w:rFonts w:eastAsiaTheme="minorEastAsia"/>
                <w:b/>
                <w:color w:val="auto"/>
                <w:kern w:val="0"/>
                <w:sz w:val="18"/>
                <w:szCs w:val="18"/>
              </w:rPr>
              <w:t>形态特征</w:t>
            </w:r>
          </w:p>
        </w:tc>
        <w:tc>
          <w:tcPr>
            <w:tcW w:w="2017" w:type="dxa"/>
            <w:tcBorders>
              <w:top w:val="single" w:color="auto" w:sz="12" w:space="0"/>
              <w:bottom w:val="single" w:color="auto" w:sz="12" w:space="0"/>
            </w:tcBorders>
            <w:vAlign w:val="center"/>
          </w:tcPr>
          <w:p>
            <w:pPr>
              <w:widowControl/>
              <w:adjustRightInd w:val="0"/>
              <w:snapToGrid w:val="0"/>
              <w:spacing w:line="240" w:lineRule="atLeast"/>
              <w:ind w:firstLine="0" w:firstLineChars="0"/>
              <w:jc w:val="center"/>
              <w:rPr>
                <w:rFonts w:eastAsiaTheme="minorEastAsia"/>
                <w:b/>
                <w:color w:val="auto"/>
                <w:kern w:val="0"/>
                <w:sz w:val="18"/>
                <w:szCs w:val="18"/>
              </w:rPr>
            </w:pPr>
            <w:r>
              <w:rPr>
                <w:rFonts w:eastAsiaTheme="minorEastAsia"/>
                <w:b/>
                <w:color w:val="auto"/>
                <w:kern w:val="0"/>
                <w:sz w:val="18"/>
                <w:szCs w:val="18"/>
              </w:rPr>
              <w:t>生活习性</w:t>
            </w:r>
          </w:p>
        </w:tc>
        <w:tc>
          <w:tcPr>
            <w:tcW w:w="954" w:type="dxa"/>
            <w:tcBorders>
              <w:top w:val="single" w:color="auto" w:sz="12" w:space="0"/>
              <w:bottom w:val="single" w:color="auto" w:sz="12" w:space="0"/>
            </w:tcBorders>
            <w:vAlign w:val="center"/>
          </w:tcPr>
          <w:p>
            <w:pPr>
              <w:widowControl/>
              <w:adjustRightInd w:val="0"/>
              <w:snapToGrid w:val="0"/>
              <w:spacing w:line="240" w:lineRule="atLeast"/>
              <w:ind w:firstLine="0" w:firstLineChars="0"/>
              <w:jc w:val="center"/>
              <w:rPr>
                <w:rFonts w:eastAsiaTheme="minorEastAsia"/>
                <w:b/>
                <w:color w:val="auto"/>
                <w:kern w:val="0"/>
                <w:sz w:val="18"/>
                <w:szCs w:val="18"/>
              </w:rPr>
            </w:pPr>
            <w:r>
              <w:rPr>
                <w:rFonts w:eastAsiaTheme="minorEastAsia"/>
                <w:b/>
                <w:color w:val="auto"/>
                <w:kern w:val="0"/>
                <w:sz w:val="18"/>
                <w:szCs w:val="18"/>
              </w:rPr>
              <w:t>繁殖特点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951" w:hRule="atLeast"/>
          <w:jc w:val="center"/>
        </w:trPr>
        <w:tc>
          <w:tcPr>
            <w:tcW w:w="411" w:type="dxa"/>
            <w:tcBorders>
              <w:top w:val="single" w:color="auto" w:sz="12" w:space="0"/>
            </w:tcBorders>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spacing w:val="-10"/>
                <w:kern w:val="0"/>
                <w:sz w:val="18"/>
                <w:szCs w:val="18"/>
              </w:rPr>
              <w:t>1</w:t>
            </w:r>
          </w:p>
        </w:tc>
        <w:tc>
          <w:tcPr>
            <w:tcW w:w="425" w:type="dxa"/>
            <w:tcBorders>
              <w:top w:val="single" w:color="auto" w:sz="12" w:space="0"/>
            </w:tcBorders>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中华花鳅</w:t>
            </w:r>
          </w:p>
        </w:tc>
        <w:tc>
          <w:tcPr>
            <w:tcW w:w="567" w:type="dxa"/>
            <w:tcBorders>
              <w:top w:val="single" w:color="auto" w:sz="12" w:space="0"/>
            </w:tcBorders>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花泥鳅</w:t>
            </w:r>
          </w:p>
        </w:tc>
        <w:tc>
          <w:tcPr>
            <w:tcW w:w="1417" w:type="dxa"/>
            <w:tcBorders>
              <w:top w:val="single" w:color="auto" w:sz="12" w:space="0"/>
            </w:tcBorders>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拉丁名</w:t>
            </w:r>
            <w:r>
              <w:rPr>
                <w:rFonts w:eastAsiaTheme="minorEastAsia"/>
                <w:i/>
                <w:color w:val="auto"/>
                <w:kern w:val="0"/>
                <w:sz w:val="18"/>
                <w:szCs w:val="18"/>
              </w:rPr>
              <w:t>Cobitis sinensis</w:t>
            </w:r>
            <w:r>
              <w:rPr>
                <w:rFonts w:eastAsiaTheme="minorEastAsia"/>
                <w:color w:val="auto"/>
                <w:kern w:val="0"/>
                <w:sz w:val="18"/>
                <w:szCs w:val="18"/>
              </w:rPr>
              <w:t>，为硬骨鱼纲鲤形目鳅科花鳅亚科的鱼类。广泛分布于中国云南元江以北各水系</w:t>
            </w:r>
          </w:p>
        </w:tc>
        <w:tc>
          <w:tcPr>
            <w:tcW w:w="2534" w:type="dxa"/>
            <w:tcBorders>
              <w:top w:val="single" w:color="auto" w:sz="12" w:space="0"/>
            </w:tcBorders>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体长，侧扁或稍侧扁；体和头部被细鳞或裸露；须3对或5对，其中吻须2对，分生，呈1行排列，口角须1对；尾鳍内凹，圆形或截形；侧线完全或不完全或缺如；臀鳍分枝鳍条5根。</w:t>
            </w:r>
          </w:p>
        </w:tc>
        <w:tc>
          <w:tcPr>
            <w:tcW w:w="2017" w:type="dxa"/>
            <w:tcBorders>
              <w:top w:val="single" w:color="auto" w:sz="12" w:space="0"/>
            </w:tcBorders>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为淡水小型底栖鱼类，活动于低海拔溪流的浅潭区。栖息于沙底质且水质清澈的溪流底部，生性机灵，遇危险即钻入沙中。属杂食性，以水生昆虫、有机物碎屑为食。适宜水温10~30℃。</w:t>
            </w:r>
          </w:p>
        </w:tc>
        <w:tc>
          <w:tcPr>
            <w:tcW w:w="954" w:type="dxa"/>
            <w:tcBorders>
              <w:top w:val="single" w:color="auto" w:sz="12" w:space="0"/>
            </w:tcBorders>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繁殖期为3~9月，群体交配，产无粘性的沉性卵于河川底层。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651" w:hRule="atLeast"/>
          <w:jc w:val="center"/>
        </w:trPr>
        <w:tc>
          <w:tcPr>
            <w:tcW w:w="411"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spacing w:val="-10"/>
                <w:kern w:val="0"/>
                <w:sz w:val="18"/>
                <w:szCs w:val="18"/>
              </w:rPr>
              <w:t>2</w:t>
            </w:r>
          </w:p>
        </w:tc>
        <w:tc>
          <w:tcPr>
            <w:tcW w:w="425"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红尾副鳅</w:t>
            </w:r>
          </w:p>
        </w:tc>
        <w:tc>
          <w:tcPr>
            <w:tcW w:w="56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hint="eastAsia" w:eastAsiaTheme="minorEastAsia"/>
                <w:color w:val="auto"/>
                <w:kern w:val="0"/>
                <w:sz w:val="18"/>
                <w:szCs w:val="18"/>
              </w:rPr>
              <w:t>红鱼鳅</w:t>
            </w:r>
          </w:p>
        </w:tc>
        <w:tc>
          <w:tcPr>
            <w:tcW w:w="14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拉丁名</w:t>
            </w:r>
            <w:r>
              <w:rPr>
                <w:rFonts w:eastAsiaTheme="minorEastAsia"/>
                <w:i/>
                <w:iCs/>
                <w:color w:val="auto"/>
                <w:kern w:val="0"/>
                <w:sz w:val="18"/>
                <w:szCs w:val="18"/>
              </w:rPr>
              <w:t>Paracobitisvariegatus，</w:t>
            </w:r>
            <w:r>
              <w:rPr>
                <w:rFonts w:eastAsiaTheme="minorEastAsia"/>
                <w:iCs/>
                <w:color w:val="auto"/>
                <w:kern w:val="0"/>
                <w:sz w:val="18"/>
                <w:szCs w:val="18"/>
              </w:rPr>
              <w:t>属</w:t>
            </w:r>
            <w:r>
              <w:rPr>
                <w:rFonts w:eastAsiaTheme="minorEastAsia"/>
                <w:color w:val="auto"/>
                <w:kern w:val="0"/>
                <w:sz w:val="18"/>
                <w:szCs w:val="18"/>
              </w:rPr>
              <w:t>鲤形目，鳅科，副鳅属。分布于汉江支流源流以及堵河、长江支流沿渡河，金沙江、南盘江、渭河水系等。</w:t>
            </w:r>
          </w:p>
        </w:tc>
        <w:tc>
          <w:tcPr>
            <w:tcW w:w="253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体长为体高的7.8~8.8倍，为头长的4.7~5.6倍，为尾柄长的4.7~5.4倍。为尾柄高的10.0~10.8倍。头长为吻长的2.5倍，为眼径的7.5~10.0倍，为眼间距的4.0~4.2倍。尾柄长为尾柄高的1.9~2.3倍。体细长，前段呈圆形，尾柄侧扁。吻锥形。眼小，侧上位。口下位，口裂弧形。须3对，中等长。鳃孔小。侧线完全。尾柄的上、下缘有发达的皮褶棱。</w:t>
            </w:r>
          </w:p>
        </w:tc>
        <w:tc>
          <w:tcPr>
            <w:tcW w:w="20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底栖生活，喜欢在流水冲刷的石穴环境中生活，一般在山区支流中数量较多，当洪水来到时就会游出来觅食被洪水带来的饵料。平时喜栖息在岩缝、石隙或多巨石的回水湾活动。适宜水温10~30℃。</w:t>
            </w:r>
          </w:p>
        </w:tc>
        <w:tc>
          <w:tcPr>
            <w:tcW w:w="95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雌性红尾副鳅初次性成熟年龄为2龄,雄性在1龄时就有成熟个体出现,繁殖旺季为4~5月。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757" w:hRule="atLeast"/>
          <w:jc w:val="center"/>
        </w:trPr>
        <w:tc>
          <w:tcPr>
            <w:tcW w:w="411"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spacing w:val="-10"/>
                <w:kern w:val="0"/>
                <w:sz w:val="18"/>
                <w:szCs w:val="18"/>
              </w:rPr>
              <w:t>3</w:t>
            </w:r>
          </w:p>
        </w:tc>
        <w:tc>
          <w:tcPr>
            <w:tcW w:w="425"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kern w:val="0"/>
                <w:sz w:val="18"/>
                <w:szCs w:val="18"/>
              </w:rPr>
              <w:t>马口鱼</w:t>
            </w:r>
          </w:p>
        </w:tc>
        <w:tc>
          <w:tcPr>
            <w:tcW w:w="567"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kern w:val="0"/>
                <w:sz w:val="18"/>
                <w:szCs w:val="18"/>
              </w:rPr>
              <w:t>宽口、大口鱼</w:t>
            </w:r>
          </w:p>
        </w:tc>
        <w:tc>
          <w:tcPr>
            <w:tcW w:w="1417"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kern w:val="0"/>
                <w:sz w:val="18"/>
                <w:szCs w:val="18"/>
              </w:rPr>
              <w:t>拉丁名</w:t>
            </w:r>
            <w:r>
              <w:rPr>
                <w:rFonts w:eastAsiaTheme="minorEastAsia"/>
                <w:i/>
                <w:color w:val="auto"/>
                <w:kern w:val="0"/>
                <w:sz w:val="18"/>
                <w:szCs w:val="18"/>
              </w:rPr>
              <w:t>Opsariichthys bidens Gunther</w:t>
            </w:r>
            <w:r>
              <w:rPr>
                <w:rFonts w:eastAsiaTheme="minorEastAsia"/>
                <w:color w:val="auto"/>
                <w:kern w:val="0"/>
                <w:sz w:val="18"/>
                <w:szCs w:val="18"/>
              </w:rPr>
              <w:t>，为硬骨鱼纲鲤形目鲤科（鱼丹）亚科的鱼类。广泛分布于中国从黑龙江至海南岛、元江的东部各河流干、支流</w:t>
            </w:r>
          </w:p>
        </w:tc>
        <w:tc>
          <w:tcPr>
            <w:tcW w:w="2534"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kern w:val="0"/>
                <w:sz w:val="18"/>
                <w:szCs w:val="18"/>
              </w:rPr>
              <w:t>体延长，侧扁，银灰带红色，具蓝色横纹。口大，上下颌边缘凹凸。雄鱼臀鳍鳍条延长，生殖季节色泽鲜艳。头后隆起，尾柄较细，腹部圆。头大且圆。吻短，稍宽，端部略尖。口裂宽大，端位，向下倾斜，上颌骨向后延伸超过眼中部垂直线下方，下颌前端有1不显著的突起与上颌凹陷相吻合。上颔两侧边缘各有一个缺口，正好为下颔的突出物所嵌，形似马口，故名“马口鱼”。</w:t>
            </w:r>
          </w:p>
        </w:tc>
        <w:tc>
          <w:tcPr>
            <w:tcW w:w="2017"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kern w:val="0"/>
                <w:sz w:val="18"/>
                <w:szCs w:val="18"/>
              </w:rPr>
              <w:t>马口鱼多生活于山涧溪流中，尤其是在水流较急的浅滩，底质为砂石的小溪或江河支流中；在静水湖泊及江河深水处皆少见。它们通常集群活动，常同鱲鱼一起游泳、生活。性凶猛，以小鱼和水生昆虫为食。适宜水温20~25℃。</w:t>
            </w:r>
          </w:p>
        </w:tc>
        <w:tc>
          <w:tcPr>
            <w:tcW w:w="954"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kern w:val="0"/>
                <w:sz w:val="18"/>
                <w:szCs w:val="18"/>
              </w:rPr>
              <w:t>1龄鱼即有繁殖能力。生殖期多集中在6-8月，在较急的水流中产卵。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820" w:hRule="atLeast"/>
          <w:jc w:val="center"/>
        </w:trPr>
        <w:tc>
          <w:tcPr>
            <w:tcW w:w="411"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spacing w:val="-10"/>
                <w:kern w:val="0"/>
                <w:sz w:val="18"/>
                <w:szCs w:val="18"/>
              </w:rPr>
              <w:t>4</w:t>
            </w:r>
          </w:p>
        </w:tc>
        <w:tc>
          <w:tcPr>
            <w:tcW w:w="425"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鲢鱼</w:t>
            </w:r>
          </w:p>
        </w:tc>
        <w:tc>
          <w:tcPr>
            <w:tcW w:w="56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鲢鳙</w:t>
            </w:r>
          </w:p>
        </w:tc>
        <w:tc>
          <w:tcPr>
            <w:tcW w:w="14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拉丁名</w:t>
            </w:r>
            <w:r>
              <w:rPr>
                <w:rFonts w:eastAsiaTheme="minorEastAsia"/>
                <w:i/>
                <w:color w:val="auto"/>
                <w:kern w:val="0"/>
                <w:sz w:val="18"/>
                <w:szCs w:val="18"/>
              </w:rPr>
              <w:t>Pseudogobia vaillanti</w:t>
            </w:r>
            <w:r>
              <w:rPr>
                <w:rFonts w:eastAsiaTheme="minorEastAsia"/>
                <w:color w:val="auto"/>
                <w:kern w:val="0"/>
                <w:sz w:val="18"/>
                <w:szCs w:val="18"/>
              </w:rPr>
              <w:t>，为硬骨鱼纲鲤形目鲤科鮈亚科的鱼类，分布于我国黄河以南各水系。</w:t>
            </w:r>
          </w:p>
        </w:tc>
        <w:tc>
          <w:tcPr>
            <w:tcW w:w="253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体长，圆筒形，尾柄细长，稍呈侧扁。背部在背鳍前略隆起，向后渐次降低，腹部平坦。头大，甚长，其长大于体高，前部平扁，后部宽。吻长，平扁，前端宽圆，吻长远超过眼后头长。眼大，呈椭圆形，侧上位，其上缘齐头部轮廓线。眼间宽，下凹。口下位，深弧形。唇厚，极发达，具多数明显的乳突，上唇乳突细小，多行排列，下唇分3叶，中叶呈椭圆形，后缘游离，两侧叶略宽。向前渐细窄，在中叶前端相连，有一浅沟与中叶隔开，上下唇于口角处相连。具须1对，较粗。长约等于眼径。鳃耙不发达，呈贡状。下咽齿主行侧扁，末端稍钩曲，外行纤细。腹面在胸鳍基部之前裸露，腹部鳞片较体侧鳞为小。体背及侧面灰黑色，腹部灰白。横跨体背具5块较大的黑斑，体侧中轴有6~7个大黑点。体侧及背部鳞片上具小黑色点，背、尾鳍黑点排列成条纹，胸、腹鳍具零散小黑点。臀鳍灰白色。</w:t>
            </w:r>
          </w:p>
        </w:tc>
        <w:tc>
          <w:tcPr>
            <w:tcW w:w="20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栖息于淡水中，喜流水，于溪涧生活；以水生无脊椎动物等为食。适宜水温22~28℃。</w:t>
            </w:r>
          </w:p>
        </w:tc>
        <w:tc>
          <w:tcPr>
            <w:tcW w:w="95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5~6月为繁殖期。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450" w:hRule="atLeast"/>
          <w:jc w:val="center"/>
        </w:trPr>
        <w:tc>
          <w:tcPr>
            <w:tcW w:w="411"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spacing w:val="-10"/>
                <w:kern w:val="0"/>
                <w:sz w:val="18"/>
                <w:szCs w:val="18"/>
              </w:rPr>
              <w:t>5</w:t>
            </w:r>
          </w:p>
        </w:tc>
        <w:tc>
          <w:tcPr>
            <w:tcW w:w="425"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餐条</w:t>
            </w:r>
          </w:p>
        </w:tc>
        <w:tc>
          <w:tcPr>
            <w:tcW w:w="56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白餐子</w:t>
            </w:r>
          </w:p>
        </w:tc>
        <w:tc>
          <w:tcPr>
            <w:tcW w:w="14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拉丁名</w:t>
            </w:r>
            <w:r>
              <w:rPr>
                <w:rFonts w:eastAsiaTheme="minorEastAsia"/>
                <w:i/>
                <w:iCs/>
                <w:color w:val="auto"/>
                <w:kern w:val="0"/>
                <w:sz w:val="18"/>
                <w:szCs w:val="18"/>
              </w:rPr>
              <w:t>Hemiculter leucisculus</w:t>
            </w:r>
            <w:r>
              <w:rPr>
                <w:rFonts w:eastAsiaTheme="minorEastAsia"/>
                <w:color w:val="auto"/>
                <w:kern w:val="0"/>
                <w:sz w:val="18"/>
                <w:szCs w:val="18"/>
              </w:rPr>
              <w:t>，为硬骨鱼纲鲤形目鲤科的鱼类。广布于从黑龙江至元江个水系的河流、湖泊和水库中，陕西境内的汉水水系、黄河水系、嘉陵江水系均有分布。</w:t>
            </w:r>
          </w:p>
        </w:tc>
        <w:tc>
          <w:tcPr>
            <w:tcW w:w="253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体长，侧扁，吻短，口端位，斜裂。眼间距约等于吻长，背鳍短小，其长短于头长。腹鳍起点位于背鳍起点之前下方，其末端不达肛门。尾鳍下叶略长于上叶。侧线在胸鳍上方急遽向下，折成一明显角度后和腹部轮廓线平行延伸至臀鳍基部末端又向上弯折入尾柄中线。背部青灰色，腹部银白色，尾鳍边缘灰黑色。</w:t>
            </w:r>
          </w:p>
        </w:tc>
        <w:tc>
          <w:tcPr>
            <w:tcW w:w="20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生活于河流、湖泊中，从春至秋常喜群集于沿岸水面游泳，行动迅速。生活于水域的中上层，鱼体虽小，但数量非常多。杂食性，多以藻类、高等植物碎屑、甲壳动物及昆虫等为食。适宜水温15~32℃。</w:t>
            </w:r>
          </w:p>
        </w:tc>
        <w:tc>
          <w:tcPr>
            <w:tcW w:w="95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产粘性卵，卵粘附于水生维管束植物上孵化。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731" w:hRule="atLeast"/>
          <w:jc w:val="center"/>
        </w:trPr>
        <w:tc>
          <w:tcPr>
            <w:tcW w:w="411"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spacing w:val="-10"/>
                <w:kern w:val="0"/>
                <w:sz w:val="18"/>
                <w:szCs w:val="18"/>
              </w:rPr>
              <w:t>6</w:t>
            </w:r>
          </w:p>
        </w:tc>
        <w:tc>
          <w:tcPr>
            <w:tcW w:w="425"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棒花鱼</w:t>
            </w:r>
          </w:p>
        </w:tc>
        <w:tc>
          <w:tcPr>
            <w:tcW w:w="567" w:type="dxa"/>
            <w:vAlign w:val="center"/>
          </w:tcPr>
          <w:p>
            <w:pPr>
              <w:widowControl/>
              <w:adjustRightInd w:val="0"/>
              <w:snapToGrid w:val="0"/>
              <w:spacing w:line="240" w:lineRule="atLeast"/>
              <w:ind w:firstLine="0" w:firstLineChars="0"/>
              <w:jc w:val="center"/>
              <w:rPr>
                <w:rFonts w:eastAsiaTheme="minorEastAsia"/>
                <w:color w:val="auto"/>
                <w:spacing w:val="-16"/>
                <w:kern w:val="0"/>
                <w:sz w:val="18"/>
                <w:szCs w:val="18"/>
              </w:rPr>
            </w:pPr>
            <w:r>
              <w:rPr>
                <w:rFonts w:eastAsiaTheme="minorEastAsia"/>
                <w:color w:val="auto"/>
                <w:spacing w:val="-16"/>
                <w:kern w:val="0"/>
                <w:sz w:val="18"/>
                <w:szCs w:val="18"/>
              </w:rPr>
              <w:t>沙锤</w:t>
            </w:r>
          </w:p>
          <w:p>
            <w:pPr>
              <w:widowControl/>
              <w:adjustRightInd w:val="0"/>
              <w:snapToGrid w:val="0"/>
              <w:spacing w:line="240" w:lineRule="atLeast"/>
              <w:ind w:firstLine="0" w:firstLineChars="0"/>
              <w:jc w:val="center"/>
              <w:rPr>
                <w:rFonts w:eastAsiaTheme="minorEastAsia"/>
                <w:color w:val="auto"/>
                <w:spacing w:val="-16"/>
                <w:kern w:val="0"/>
                <w:sz w:val="18"/>
                <w:szCs w:val="18"/>
              </w:rPr>
            </w:pPr>
            <w:r>
              <w:rPr>
                <w:rFonts w:eastAsiaTheme="minorEastAsia"/>
                <w:color w:val="auto"/>
                <w:spacing w:val="-16"/>
                <w:kern w:val="0"/>
                <w:sz w:val="18"/>
                <w:szCs w:val="18"/>
              </w:rPr>
              <w:t>、</w:t>
            </w:r>
          </w:p>
          <w:p>
            <w:pPr>
              <w:widowControl/>
              <w:adjustRightInd w:val="0"/>
              <w:snapToGrid w:val="0"/>
              <w:spacing w:line="240" w:lineRule="atLeast"/>
              <w:ind w:firstLine="0" w:firstLineChars="0"/>
              <w:jc w:val="center"/>
              <w:rPr>
                <w:rFonts w:eastAsiaTheme="minorEastAsia"/>
                <w:color w:val="auto"/>
                <w:spacing w:val="-16"/>
                <w:kern w:val="0"/>
                <w:sz w:val="18"/>
                <w:szCs w:val="18"/>
              </w:rPr>
            </w:pPr>
            <w:r>
              <w:rPr>
                <w:rFonts w:eastAsiaTheme="minorEastAsia"/>
                <w:color w:val="auto"/>
                <w:spacing w:val="-16"/>
                <w:kern w:val="0"/>
                <w:sz w:val="18"/>
                <w:szCs w:val="18"/>
              </w:rPr>
              <w:t>花里棒子</w:t>
            </w:r>
          </w:p>
        </w:tc>
        <w:tc>
          <w:tcPr>
            <w:tcW w:w="14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拉丁名</w:t>
            </w:r>
            <w:r>
              <w:rPr>
                <w:rFonts w:eastAsiaTheme="minorEastAsia"/>
                <w:i/>
                <w:color w:val="auto"/>
                <w:kern w:val="0"/>
                <w:sz w:val="18"/>
                <w:szCs w:val="18"/>
              </w:rPr>
              <w:t>Abbottina rivularis</w:t>
            </w:r>
            <w:r>
              <w:rPr>
                <w:rFonts w:eastAsiaTheme="minorEastAsia"/>
                <w:color w:val="auto"/>
                <w:kern w:val="0"/>
                <w:sz w:val="18"/>
                <w:szCs w:val="18"/>
              </w:rPr>
              <w:t>，为硬骨鱼纲鲤形目鲤科的鱼类。分布于全国各主要水系及湖泊、沟塘中。</w:t>
            </w:r>
          </w:p>
        </w:tc>
        <w:tc>
          <w:tcPr>
            <w:tcW w:w="253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棒花鱼体长，稍侧扁。头较短，吻短，前端圆钝。眼小，侧上位，眼间宽平。背鳍无硬刺，胸鳍圆钝，均较短。尾鳍叉型。头背部稍黑，体侧具一不明显的纵纹，其上有9~11个黑点斑块，背部也具8~11个黑色斑块。背鳍和尾鳍具有由黑色小点组成的斑纹。背部深黄褐色，至体侧逐渐转淡，腹部为淡黄色或乳白色，背部自背鳍起点至尾基有5个黑色大斑。在体侧有7～8个黑色大斑，此外在整个背部自头至尾不规则的散布有许多大小黑点，在背鳍、胸鳍及尾鳍上由小黑色斑点组成比较整齐的横纹数行，在生殖期体色转深，雄鱼更为明显。</w:t>
            </w:r>
          </w:p>
        </w:tc>
        <w:tc>
          <w:tcPr>
            <w:tcW w:w="20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小型鱼类，体长可达11cm，主要生活于平原河流水清以及沙底处。生活在静水或流水的底层，主食无脊椎动物。雄鱼有筑巢和护巢的习性。适宜水温15~30℃。</w:t>
            </w:r>
          </w:p>
        </w:tc>
        <w:tc>
          <w:tcPr>
            <w:tcW w:w="95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1龄鱼性成熟，4~5月繁殖，在沙底掘坑为巢，产卵其中。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334" w:hRule="atLeast"/>
          <w:jc w:val="center"/>
        </w:trPr>
        <w:tc>
          <w:tcPr>
            <w:tcW w:w="411"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spacing w:val="-10"/>
                <w:kern w:val="0"/>
                <w:sz w:val="18"/>
                <w:szCs w:val="18"/>
              </w:rPr>
              <w:t>7</w:t>
            </w:r>
          </w:p>
        </w:tc>
        <w:tc>
          <w:tcPr>
            <w:tcW w:w="425"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kern w:val="0"/>
                <w:sz w:val="18"/>
                <w:szCs w:val="18"/>
              </w:rPr>
              <w:t>鲤</w:t>
            </w:r>
          </w:p>
        </w:tc>
        <w:tc>
          <w:tcPr>
            <w:tcW w:w="567"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kern w:val="0"/>
                <w:sz w:val="18"/>
                <w:szCs w:val="18"/>
              </w:rPr>
              <w:t>鲤鱼</w:t>
            </w:r>
          </w:p>
        </w:tc>
        <w:tc>
          <w:tcPr>
            <w:tcW w:w="1417"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kern w:val="0"/>
                <w:sz w:val="18"/>
                <w:szCs w:val="18"/>
              </w:rPr>
              <w:t>拉丁名</w:t>
            </w:r>
            <w:r>
              <w:rPr>
                <w:rFonts w:eastAsiaTheme="minorEastAsia"/>
                <w:i/>
                <w:color w:val="auto"/>
                <w:kern w:val="0"/>
                <w:sz w:val="18"/>
                <w:szCs w:val="18"/>
              </w:rPr>
              <w:t>Gnathopogon imberbis</w:t>
            </w:r>
            <w:r>
              <w:rPr>
                <w:rFonts w:eastAsiaTheme="minorEastAsia"/>
                <w:color w:val="auto"/>
                <w:kern w:val="0"/>
                <w:sz w:val="18"/>
                <w:szCs w:val="18"/>
              </w:rPr>
              <w:t>，为硬骨鱼纲鲤形目鲤科的鱼类。分布于我国南北各大水域中。</w:t>
            </w:r>
          </w:p>
        </w:tc>
        <w:tc>
          <w:tcPr>
            <w:tcW w:w="2534"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sz w:val="18"/>
                <w:szCs w:val="18"/>
                <w:shd w:val="clear" w:color="auto" w:fill="FFFFFF"/>
              </w:rPr>
              <w:t>体延长而侧扁，肥厚而略呈纺缍形，背部略隆起，腹缘呈浅弧形。头中大，头顶宽闻。吻钝圆，上颌包着下颌。口略小，下位，斜裂，呈圆弧形。咽头齿3列。须两对，吻须较短，颌须较长。鳃耙短而呈三角形。体被圆鳞，侧线完全，略为弧形。背鳍硬棘Ⅲ；臀鳍硬棘Ⅲ，分枝软条5；尾鳍叉形。背鳍与臀鳍第Ⅲ条硬棘后缘有锯齿。体背部暗灰色或黄褐色，侧面略带黄绿色，腹面浅灰色或银白色。背鳍和尾鳍基部微黑色；胸鳍和腹鳍微金黄色。</w:t>
            </w:r>
          </w:p>
        </w:tc>
        <w:tc>
          <w:tcPr>
            <w:tcW w:w="2017"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kern w:val="0"/>
                <w:sz w:val="18"/>
                <w:szCs w:val="18"/>
              </w:rPr>
              <w:t>栖息于淡水中，喜流水，于溪涧生活；以水生无脊椎动物等为食。适宜水温10~30℃。</w:t>
            </w:r>
          </w:p>
        </w:tc>
        <w:tc>
          <w:tcPr>
            <w:tcW w:w="954"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kern w:val="0"/>
                <w:sz w:val="18"/>
                <w:szCs w:val="18"/>
              </w:rPr>
              <w:t>生殖季节为4-6月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835" w:hRule="atLeast"/>
          <w:jc w:val="center"/>
        </w:trPr>
        <w:tc>
          <w:tcPr>
            <w:tcW w:w="411" w:type="dxa"/>
            <w:vAlign w:val="center"/>
          </w:tcPr>
          <w:p>
            <w:pPr>
              <w:widowControl/>
              <w:adjustRightInd w:val="0"/>
              <w:snapToGrid w:val="0"/>
              <w:spacing w:line="240" w:lineRule="atLeast"/>
              <w:ind w:firstLine="0" w:firstLineChars="0"/>
              <w:jc w:val="center"/>
              <w:rPr>
                <w:rFonts w:eastAsiaTheme="minorEastAsia"/>
                <w:color w:val="auto"/>
                <w:spacing w:val="-10"/>
                <w:kern w:val="0"/>
                <w:sz w:val="18"/>
                <w:szCs w:val="18"/>
              </w:rPr>
            </w:pPr>
            <w:r>
              <w:rPr>
                <w:rFonts w:eastAsiaTheme="minorEastAsia"/>
                <w:color w:val="auto"/>
                <w:spacing w:val="-10"/>
                <w:kern w:val="0"/>
                <w:sz w:val="18"/>
                <w:szCs w:val="18"/>
              </w:rPr>
              <w:t>8</w:t>
            </w:r>
          </w:p>
        </w:tc>
        <w:tc>
          <w:tcPr>
            <w:tcW w:w="425"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麦穗鱼</w:t>
            </w:r>
          </w:p>
        </w:tc>
        <w:tc>
          <w:tcPr>
            <w:tcW w:w="56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hint="eastAsia" w:eastAsiaTheme="minorEastAsia"/>
                <w:color w:val="auto"/>
                <w:kern w:val="0"/>
                <w:sz w:val="18"/>
                <w:szCs w:val="18"/>
              </w:rPr>
              <w:t>食蚊鱼</w:t>
            </w:r>
          </w:p>
        </w:tc>
        <w:tc>
          <w:tcPr>
            <w:tcW w:w="14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拉丁名Pseudorasbora是鲤亚目，鲤科，鮈亚科，麦穗鱼属的一种鱼类。常见于江河、湖泊、池塘等水体。</w:t>
            </w:r>
          </w:p>
        </w:tc>
        <w:tc>
          <w:tcPr>
            <w:tcW w:w="253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头尖，略平扁。口上位。无须。背鳍无硬刺。生殖时期雄鱼体色深黑，吻部、颊部出现珠星。雄鱼个体大，雌鱼个体小，差别明显。</w:t>
            </w:r>
          </w:p>
        </w:tc>
        <w:tc>
          <w:tcPr>
            <w:tcW w:w="20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麦穗鱼分布极广，几乎所有淡水水域都有它的踪迹。静水水域和水的透明度不高的水域麦穗鱼较多，而水流较急又深的水域少有麦穗鱼。水草较多的池塘麦穗更多。杂食，主食浮游动物。适宜水温0~41℃。</w:t>
            </w:r>
          </w:p>
        </w:tc>
        <w:tc>
          <w:tcPr>
            <w:tcW w:w="95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 xml:space="preserve">产卵期4～6月。卵椭圆形，具黏液．成串地粘附于石片、蚌壳等物体上，孵化期雄鱼有守护的习性。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815" w:hRule="atLeast"/>
          <w:jc w:val="center"/>
        </w:trPr>
        <w:tc>
          <w:tcPr>
            <w:tcW w:w="411" w:type="dxa"/>
            <w:vAlign w:val="center"/>
          </w:tcPr>
          <w:p>
            <w:pPr>
              <w:widowControl/>
              <w:adjustRightInd w:val="0"/>
              <w:snapToGrid w:val="0"/>
              <w:spacing w:line="240" w:lineRule="atLeast"/>
              <w:ind w:firstLine="0" w:firstLineChars="0"/>
              <w:jc w:val="center"/>
              <w:rPr>
                <w:rFonts w:eastAsiaTheme="minorEastAsia"/>
                <w:color w:val="auto"/>
                <w:spacing w:val="-20"/>
                <w:kern w:val="0"/>
                <w:sz w:val="18"/>
                <w:szCs w:val="18"/>
              </w:rPr>
            </w:pPr>
            <w:r>
              <w:rPr>
                <w:rFonts w:eastAsiaTheme="minorEastAsia"/>
                <w:color w:val="auto"/>
                <w:spacing w:val="-20"/>
                <w:kern w:val="0"/>
                <w:sz w:val="18"/>
                <w:szCs w:val="18"/>
              </w:rPr>
              <w:t>9</w:t>
            </w:r>
          </w:p>
        </w:tc>
        <w:tc>
          <w:tcPr>
            <w:tcW w:w="425"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鲇</w:t>
            </w:r>
          </w:p>
        </w:tc>
        <w:tc>
          <w:tcPr>
            <w:tcW w:w="56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鲇鱼</w:t>
            </w:r>
          </w:p>
        </w:tc>
        <w:tc>
          <w:tcPr>
            <w:tcW w:w="14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拉丁名Gunther，是硬骨鱼纲鲇形目鲇科。基本分布与全国各大水系。</w:t>
            </w:r>
          </w:p>
        </w:tc>
        <w:tc>
          <w:tcPr>
            <w:tcW w:w="253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sz w:val="18"/>
                <w:szCs w:val="18"/>
                <w:shd w:val="clear" w:color="auto" w:fill="FFFFFF"/>
              </w:rPr>
              <w:t>体前部粗圆，尾部侧扁，头部宽平。吻短而宽圆。两对鼻孔，前鼻孔有一根短管，近吻端。口裂大，上位，下颌稍突出。两颌均有一行绒毛状齿。幼鱼时有须3对，成鱼时下颌须退化仅有1对，上颌须比头稍长，下颌须为上颌须长的1/3～1/5。体裸露无鳞，皮肤光滑。侧线平直，沿体侧中部而伸达尾基。黏液孔发达，成行排列于侧线上方。背鳍短小，仅具5软条；臀鳍长，后方与尾鳍相连；胸鳍具有1锯齿状之硬棘。体呈暗灰色或灰黄色，体背侧灰黑色，腹部白色，体侧有不规则的白斑或不明显的斑纹。</w:t>
            </w:r>
          </w:p>
        </w:tc>
        <w:tc>
          <w:tcPr>
            <w:tcW w:w="2017" w:type="dxa"/>
            <w:vAlign w:val="center"/>
          </w:tcPr>
          <w:p>
            <w:pPr>
              <w:widowControl/>
              <w:shd w:val="clear" w:color="auto" w:fill="FFFFFF"/>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鲇适应性强，栖息底层，游动迟缓，耐低氧。白天在草丛间或石缝洞穴中，很少活动，黄昏或夜间出来觅食。鲇颌齿锋利，是一种凶猛的肉食性鱼类。在天然条件下鱼苗阶段可摄食轮虫、水蚤、水蚯蚓及其他鱼苗。鱼种阶段及成鱼阶段则以底层的杂鱼、虾及水生昆虫等为食，所捕食的多是一些小型鱼类。</w:t>
            </w:r>
          </w:p>
        </w:tc>
        <w:tc>
          <w:tcPr>
            <w:tcW w:w="95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繁殖期在6-7月。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10" w:hRule="atLeast"/>
          <w:jc w:val="center"/>
        </w:trPr>
        <w:tc>
          <w:tcPr>
            <w:tcW w:w="411" w:type="dxa"/>
            <w:vAlign w:val="center"/>
          </w:tcPr>
          <w:p>
            <w:pPr>
              <w:widowControl/>
              <w:adjustRightInd w:val="0"/>
              <w:snapToGrid w:val="0"/>
              <w:spacing w:line="240" w:lineRule="atLeast"/>
              <w:ind w:firstLine="0" w:firstLineChars="0"/>
              <w:jc w:val="center"/>
              <w:rPr>
                <w:rFonts w:eastAsiaTheme="minorEastAsia"/>
                <w:color w:val="auto"/>
                <w:spacing w:val="-20"/>
                <w:kern w:val="0"/>
                <w:sz w:val="18"/>
                <w:szCs w:val="18"/>
              </w:rPr>
            </w:pPr>
            <w:r>
              <w:rPr>
                <w:rFonts w:eastAsiaTheme="minorEastAsia"/>
                <w:color w:val="auto"/>
                <w:spacing w:val="-20"/>
                <w:kern w:val="0"/>
                <w:sz w:val="18"/>
                <w:szCs w:val="18"/>
              </w:rPr>
              <w:t>10</w:t>
            </w:r>
          </w:p>
        </w:tc>
        <w:tc>
          <w:tcPr>
            <w:tcW w:w="425"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鲫</w:t>
            </w:r>
          </w:p>
        </w:tc>
        <w:tc>
          <w:tcPr>
            <w:tcW w:w="56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鲫鱼</w:t>
            </w:r>
          </w:p>
        </w:tc>
        <w:tc>
          <w:tcPr>
            <w:tcW w:w="14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拉丁名Vertebrata，为硬骨鱼纲鲤形目鲤科鲫属的鱼类。我国各大水域的常见鱼种。</w:t>
            </w:r>
          </w:p>
        </w:tc>
        <w:tc>
          <w:tcPr>
            <w:tcW w:w="253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体长椭圆形，侧扁，</w:t>
            </w:r>
            <w:r>
              <w:rPr>
                <w:color w:val="auto"/>
              </w:rPr>
              <w:fldChar w:fldCharType="begin"/>
            </w:r>
            <w:r>
              <w:rPr>
                <w:color w:val="auto"/>
              </w:rPr>
              <w:instrText xml:space="preserve"> HYPERLINK "https://baike.baidu.com/item/%E8%83%8C%E9%B3%8D/7400804?fromModule=lemma_inlink" \t "_blank" </w:instrText>
            </w:r>
            <w:r>
              <w:rPr>
                <w:color w:val="auto"/>
              </w:rPr>
              <w:fldChar w:fldCharType="separate"/>
            </w:r>
            <w:r>
              <w:rPr>
                <w:rFonts w:eastAsiaTheme="minorEastAsia"/>
                <w:color w:val="auto"/>
                <w:kern w:val="0"/>
                <w:sz w:val="18"/>
                <w:szCs w:val="18"/>
              </w:rPr>
              <w:t>背鳍</w:t>
            </w:r>
            <w:r>
              <w:rPr>
                <w:rFonts w:eastAsiaTheme="minorEastAsia"/>
                <w:color w:val="auto"/>
                <w:kern w:val="0"/>
                <w:sz w:val="18"/>
                <w:szCs w:val="18"/>
              </w:rPr>
              <w:fldChar w:fldCharType="end"/>
            </w:r>
            <w:r>
              <w:rPr>
                <w:rFonts w:eastAsiaTheme="minorEastAsia"/>
                <w:color w:val="auto"/>
                <w:kern w:val="0"/>
                <w:sz w:val="18"/>
                <w:szCs w:val="18"/>
              </w:rPr>
              <w:t>始点处体最高，腹缘窄而无皮棱；体长为体高2.2-2.7倍，为头长2.9-3.5倍，为尾部长3.8-4.7倍，为尾柄长1.9-2.4倍。头亦侧扁；头长为吻长3.4-4.5倍，为眼径4.0-4.9倍，为眼间隔宽2.3-2.9倍。吻钝。眼侧中位，后缘距吻端较近。眼间隔宽凸。前、后鼻孔相邻，位于眼稍前方。口前位，斜形，下颌较上颌略短。唇发达。无须。</w:t>
            </w:r>
            <w:r>
              <w:rPr>
                <w:color w:val="auto"/>
              </w:rPr>
              <w:fldChar w:fldCharType="begin"/>
            </w:r>
            <w:r>
              <w:rPr>
                <w:color w:val="auto"/>
              </w:rPr>
              <w:instrText xml:space="preserve"> HYPERLINK "https://baike.baidu.com/item/%E9%B3%83%E5%AD%94/5239596?fromModule=lemma_inlink" \t "_blank" </w:instrText>
            </w:r>
            <w:r>
              <w:rPr>
                <w:color w:val="auto"/>
              </w:rPr>
              <w:fldChar w:fldCharType="separate"/>
            </w:r>
            <w:r>
              <w:rPr>
                <w:rFonts w:eastAsiaTheme="minorEastAsia"/>
                <w:color w:val="auto"/>
                <w:kern w:val="0"/>
                <w:sz w:val="18"/>
                <w:szCs w:val="18"/>
              </w:rPr>
              <w:t>鳃孔</w:t>
            </w:r>
            <w:r>
              <w:rPr>
                <w:rFonts w:eastAsiaTheme="minorEastAsia"/>
                <w:color w:val="auto"/>
                <w:kern w:val="0"/>
                <w:sz w:val="18"/>
                <w:szCs w:val="18"/>
              </w:rPr>
              <w:fldChar w:fldCharType="end"/>
            </w:r>
            <w:r>
              <w:rPr>
                <w:rFonts w:eastAsiaTheme="minorEastAsia"/>
                <w:color w:val="auto"/>
                <w:kern w:val="0"/>
                <w:sz w:val="18"/>
                <w:szCs w:val="18"/>
              </w:rPr>
              <w:t>大，侧位，下端达前鳃盖骨角下方。1周龄以下小鱼背侧常为绿灰色，两侧及下方银白色。大鱼色较暗；背侧黑色，微绿；两侧及下方常有金黄光泽，水草多处大鲫尤显著，鳍淡黄色，背绪与尾鳍色较暗。雄鲫生殖期在胸鳍前缘有5-21个尖锥状角质小突起，雌鲫个别亦有而数很少。</w:t>
            </w:r>
          </w:p>
        </w:tc>
        <w:tc>
          <w:tcPr>
            <w:tcW w:w="2017"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sz w:val="18"/>
                <w:szCs w:val="18"/>
                <w:shd w:val="clear" w:color="auto" w:fill="FFFFFF"/>
              </w:rPr>
              <w:t>鲫对低氧的适应能力很强，为杂食性鱼类，食性相当广。鲫虽然生活力较强、杂食性和肉质细嫩而鲜美，但由于它过早地性成熟（雌鱼一般在6-8厘米、体重8-10克，约有82%的个体达性成熟；雄鱼一般在5-6厘米、体重6-8克开始性成熟，当8厘米以上时则约有99%的个体达性成熟），消耗了大量的营养物质供作性腺发育，严重地影响了它的生长。</w:t>
            </w:r>
          </w:p>
        </w:tc>
        <w:tc>
          <w:tcPr>
            <w:tcW w:w="954" w:type="dxa"/>
            <w:vAlign w:val="center"/>
          </w:tcPr>
          <w:p>
            <w:pPr>
              <w:widowControl/>
              <w:adjustRightInd w:val="0"/>
              <w:snapToGrid w:val="0"/>
              <w:spacing w:line="240" w:lineRule="atLeast"/>
              <w:ind w:firstLine="0" w:firstLineChars="0"/>
              <w:jc w:val="center"/>
              <w:rPr>
                <w:rFonts w:eastAsiaTheme="minorEastAsia"/>
                <w:color w:val="auto"/>
                <w:kern w:val="0"/>
                <w:sz w:val="18"/>
                <w:szCs w:val="18"/>
              </w:rPr>
            </w:pPr>
            <w:r>
              <w:rPr>
                <w:rFonts w:eastAsiaTheme="minorEastAsia"/>
                <w:color w:val="auto"/>
                <w:kern w:val="0"/>
                <w:sz w:val="18"/>
                <w:szCs w:val="18"/>
              </w:rPr>
              <w:t>繁殖期在6-7月。</w:t>
            </w:r>
          </w:p>
        </w:tc>
      </w:tr>
    </w:tbl>
    <w:p>
      <w:pPr>
        <w:pStyle w:val="195"/>
        <w:spacing w:line="360" w:lineRule="auto"/>
        <w:outlineLvl w:val="2"/>
        <w:rPr>
          <w:rFonts w:eastAsia="黑体"/>
          <w:snapToGrid/>
          <w:color w:val="auto"/>
          <w:kern w:val="2"/>
        </w:rPr>
      </w:pPr>
      <w:r>
        <w:rPr>
          <w:rFonts w:eastAsia="黑体"/>
          <w:snapToGrid/>
          <w:color w:val="auto"/>
          <w:kern w:val="2"/>
        </w:rPr>
        <w:t>4.3.5</w:t>
      </w:r>
      <w:r>
        <w:rPr>
          <w:rFonts w:hint="eastAsia" w:eastAsia="黑体"/>
          <w:snapToGrid/>
          <w:color w:val="auto"/>
          <w:kern w:val="2"/>
          <w:lang w:val="en-US" w:eastAsia="zh-CN"/>
        </w:rPr>
        <w:t>岚河</w:t>
      </w:r>
      <w:r>
        <w:rPr>
          <w:rFonts w:hint="eastAsia" w:eastAsia="黑体"/>
          <w:snapToGrid/>
          <w:color w:val="auto"/>
          <w:kern w:val="2"/>
        </w:rPr>
        <w:t>湿地系统</w:t>
      </w:r>
    </w:p>
    <w:p>
      <w:pPr>
        <w:widowControl/>
        <w:kinsoku w:val="0"/>
        <w:autoSpaceDE w:val="0"/>
        <w:autoSpaceDN w:val="0"/>
        <w:adjustRightInd w:val="0"/>
        <w:snapToGrid w:val="0"/>
        <w:ind w:firstLine="480"/>
        <w:textAlignment w:val="baseline"/>
        <w:rPr>
          <w:rFonts w:cs="Times New Roman"/>
          <w:snapToGrid w:val="0"/>
          <w:color w:val="auto"/>
          <w:kern w:val="0"/>
        </w:rPr>
      </w:pPr>
      <w:r>
        <w:rPr>
          <w:rFonts w:cs="Times New Roman"/>
          <w:snapToGrid w:val="0"/>
          <w:color w:val="auto"/>
          <w:kern w:val="0"/>
        </w:rPr>
        <w:t>湿地生态系统，即陆地淡水生态系统，是陆地和水域共同与大气的相互作用，相互影响，相互渗透，兼有水陆双重特征的特殊生态系统。项目涉及安康</w:t>
      </w:r>
      <w:r>
        <w:rPr>
          <w:rFonts w:hint="eastAsia" w:cs="Times New Roman"/>
          <w:snapToGrid w:val="0"/>
          <w:color w:val="auto"/>
          <w:kern w:val="0"/>
          <w:lang w:val="en-US" w:eastAsia="zh-CN"/>
        </w:rPr>
        <w:t>岚河</w:t>
      </w:r>
      <w:r>
        <w:rPr>
          <w:rFonts w:cs="Times New Roman"/>
          <w:snapToGrid w:val="0"/>
          <w:color w:val="auto"/>
          <w:kern w:val="0"/>
        </w:rPr>
        <w:t>湿地，为陕西省重要湿地。湿地生态系统的主要特点是：</w:t>
      </w:r>
      <w:r>
        <w:rPr>
          <w:rFonts w:hint="eastAsia" w:cs="Times New Roman"/>
          <w:snapToGrid w:val="0"/>
          <w:color w:val="auto"/>
          <w:kern w:val="0"/>
        </w:rPr>
        <w:t>①</w:t>
      </w:r>
      <w:r>
        <w:rPr>
          <w:rFonts w:cs="Times New Roman"/>
          <w:snapToGrid w:val="0"/>
          <w:color w:val="auto"/>
          <w:kern w:val="0"/>
        </w:rPr>
        <w:t>兼具陆生与水生动植物类群，生物多样性丰富；</w:t>
      </w:r>
      <w:r>
        <w:rPr>
          <w:rFonts w:hint="eastAsia" w:cs="Times New Roman"/>
          <w:snapToGrid w:val="0"/>
          <w:color w:val="auto"/>
          <w:kern w:val="0"/>
        </w:rPr>
        <w:t>②</w:t>
      </w:r>
      <w:r>
        <w:rPr>
          <w:rFonts w:cs="Times New Roman"/>
          <w:snapToGrid w:val="0"/>
          <w:color w:val="auto"/>
          <w:kern w:val="0"/>
        </w:rPr>
        <w:t>结构复杂，生产力高，在水文情势影响下，生态系统随之出现同步波动，强弱互替；</w:t>
      </w:r>
      <w:r>
        <w:rPr>
          <w:rFonts w:hint="eastAsia" w:cs="Times New Roman"/>
          <w:snapToGrid w:val="0"/>
          <w:color w:val="auto"/>
          <w:kern w:val="0"/>
        </w:rPr>
        <w:t>③</w:t>
      </w:r>
      <w:r>
        <w:rPr>
          <w:rFonts w:cs="Times New Roman"/>
          <w:snapToGrid w:val="0"/>
          <w:color w:val="auto"/>
          <w:kern w:val="0"/>
        </w:rPr>
        <w:t>生态系统服务功能高，主要在于径流调节、蓄水抗旱、防洪排涝、废弃物降解、调节气候、净化空气等方面。</w:t>
      </w:r>
    </w:p>
    <w:p>
      <w:pPr>
        <w:pStyle w:val="61"/>
        <w:topLinePunct/>
        <w:snapToGrid w:val="0"/>
        <w:ind w:firstLine="480"/>
        <w:rPr>
          <w:rFonts w:cs="Times New Roman"/>
          <w:color w:val="auto"/>
          <w:kern w:val="0"/>
        </w:rPr>
      </w:pPr>
      <w:r>
        <w:rPr>
          <w:rFonts w:hint="eastAsia" w:cs="Times New Roman"/>
          <w:color w:val="auto"/>
          <w:kern w:val="0"/>
        </w:rPr>
        <w:t>2008年8月6日陕西省人民政府发布了《关于公布陕西省重要湿地名录的通告》，安康</w:t>
      </w:r>
      <w:r>
        <w:rPr>
          <w:rFonts w:hint="eastAsia" w:cs="Times New Roman"/>
          <w:color w:val="auto"/>
          <w:kern w:val="0"/>
          <w:lang w:val="en-US" w:eastAsia="zh-CN"/>
        </w:rPr>
        <w:t>岚河</w:t>
      </w:r>
      <w:r>
        <w:rPr>
          <w:rFonts w:hint="eastAsia" w:cs="Times New Roman"/>
          <w:color w:val="auto"/>
          <w:kern w:val="0"/>
        </w:rPr>
        <w:t>湿地：</w:t>
      </w:r>
      <w:r>
        <w:rPr>
          <w:rFonts w:hint="eastAsia" w:cs="Times New Roman"/>
          <w:color w:val="auto"/>
          <w:kern w:val="0"/>
          <w:lang w:val="en-US" w:eastAsia="zh-CN"/>
        </w:rPr>
        <w:t>从平利县正阳镇到沿岚河至岚河与汉江交汇处，包括岚河河道、河滩、泛洪区及河道两岸1km范围内的人工湿地。</w:t>
      </w:r>
      <w:r>
        <w:rPr>
          <w:rFonts w:hint="eastAsia" w:cs="Times New Roman"/>
          <w:color w:val="auto"/>
          <w:kern w:val="0"/>
        </w:rPr>
        <w:t>主要涉及平利、</w:t>
      </w:r>
      <w:r>
        <w:rPr>
          <w:rFonts w:hint="eastAsia" w:cs="Times New Roman"/>
          <w:color w:val="auto"/>
          <w:kern w:val="0"/>
          <w:lang w:val="en-US" w:eastAsia="zh-CN"/>
        </w:rPr>
        <w:t>岚皋</w:t>
      </w:r>
      <w:r>
        <w:rPr>
          <w:rFonts w:hint="eastAsia" w:cs="Times New Roman"/>
          <w:color w:val="auto"/>
          <w:kern w:val="0"/>
        </w:rPr>
        <w:t>。</w:t>
      </w:r>
      <w:r>
        <w:rPr>
          <w:rFonts w:hint="eastAsia" w:cs="Times New Roman"/>
          <w:color w:val="auto"/>
          <w:kern w:val="0"/>
          <w:lang w:val="en-US" w:eastAsia="zh-CN"/>
        </w:rPr>
        <w:t>岚皋县</w:t>
      </w:r>
      <w:r>
        <w:rPr>
          <w:rFonts w:hint="eastAsia" w:cs="Times New Roman"/>
          <w:color w:val="auto"/>
          <w:kern w:val="0"/>
        </w:rPr>
        <w:t>人民政府未划定湿地自然保护区。项目区</w:t>
      </w:r>
      <w:r>
        <w:rPr>
          <w:rFonts w:hint="eastAsia" w:cs="Times New Roman"/>
          <w:color w:val="auto"/>
          <w:kern w:val="0"/>
          <w:lang w:val="en-US" w:eastAsia="zh-CN"/>
        </w:rPr>
        <w:t>岚河</w:t>
      </w:r>
      <w:r>
        <w:rPr>
          <w:rFonts w:hint="eastAsia" w:cs="Times New Roman"/>
          <w:color w:val="auto"/>
          <w:kern w:val="0"/>
        </w:rPr>
        <w:t>湿地主要由湿地植物、两栖类和爬行类以及各种水生动物及底栖无脊椎动物等组成。根据资料调查和走访，无湿地水鸟的繁殖地、越冬地或者重要的迁徙停歇地，无珍稀濒危水生野生动植物、国家和省重点保护的水生野生动物分布。</w:t>
      </w:r>
    </w:p>
    <w:p>
      <w:pPr>
        <w:pStyle w:val="4"/>
        <w:numPr>
          <w:ilvl w:val="2"/>
          <w:numId w:val="0"/>
        </w:numPr>
        <w:snapToGrid w:val="0"/>
        <w:ind w:firstLine="480" w:firstLineChars="200"/>
        <w:rPr>
          <w:rFonts w:cs="Times New Roman"/>
          <w:color w:val="auto"/>
        </w:rPr>
      </w:pPr>
      <w:r>
        <w:rPr>
          <w:rFonts w:cs="Times New Roman"/>
          <w:color w:val="auto"/>
        </w:rPr>
        <w:t>4.3.6</w:t>
      </w:r>
      <w:r>
        <w:rPr>
          <w:rFonts w:hint="eastAsia" w:cs="Times New Roman"/>
          <w:color w:val="auto"/>
        </w:rPr>
        <w:t>土地利用类型</w:t>
      </w:r>
    </w:p>
    <w:p>
      <w:pPr>
        <w:widowControl/>
        <w:topLinePunct/>
        <w:adjustRightInd w:val="0"/>
        <w:snapToGrid w:val="0"/>
        <w:ind w:firstLine="480"/>
        <w:textAlignment w:val="baseline"/>
        <w:rPr>
          <w:rFonts w:cs="Times New Roman"/>
          <w:snapToGrid w:val="0"/>
          <w:color w:val="auto"/>
          <w:kern w:val="0"/>
        </w:rPr>
      </w:pPr>
      <w:r>
        <w:rPr>
          <w:rFonts w:hint="eastAsia" w:cs="Times New Roman"/>
          <w:snapToGrid w:val="0"/>
          <w:color w:val="auto"/>
          <w:kern w:val="0"/>
        </w:rPr>
        <w:t>项目区主要土地利用类型为</w:t>
      </w:r>
      <w:r>
        <w:rPr>
          <w:rFonts w:hint="eastAsia" w:cs="Times New Roman"/>
          <w:snapToGrid w:val="0"/>
          <w:color w:val="auto"/>
          <w:kern w:val="0"/>
          <w:lang w:val="en-US" w:eastAsia="zh-CN"/>
        </w:rPr>
        <w:t>旱地、林地、草地</w:t>
      </w:r>
      <w:r>
        <w:rPr>
          <w:rFonts w:hint="eastAsia" w:cs="Times New Roman"/>
          <w:snapToGrid w:val="0"/>
          <w:color w:val="auto"/>
          <w:kern w:val="0"/>
        </w:rPr>
        <w:t>。评价范围内土地利用面积统计见表4</w:t>
      </w:r>
      <w:r>
        <w:rPr>
          <w:rFonts w:cs="Times New Roman"/>
          <w:snapToGrid w:val="0"/>
          <w:color w:val="auto"/>
          <w:kern w:val="0"/>
        </w:rPr>
        <w:t>.3</w:t>
      </w:r>
      <w:r>
        <w:rPr>
          <w:rFonts w:hint="eastAsia" w:cs="Times New Roman"/>
          <w:snapToGrid w:val="0"/>
          <w:color w:val="auto"/>
          <w:kern w:val="0"/>
        </w:rPr>
        <w:t>-</w:t>
      </w:r>
      <w:r>
        <w:rPr>
          <w:rFonts w:cs="Times New Roman"/>
          <w:snapToGrid w:val="0"/>
          <w:color w:val="auto"/>
          <w:kern w:val="0"/>
        </w:rPr>
        <w:t>11</w:t>
      </w:r>
      <w:r>
        <w:rPr>
          <w:rFonts w:hint="eastAsia" w:cs="Times New Roman"/>
          <w:snapToGrid w:val="0"/>
          <w:color w:val="auto"/>
          <w:kern w:val="0"/>
        </w:rPr>
        <w:t>。</w:t>
      </w:r>
    </w:p>
    <w:p>
      <w:pPr>
        <w:pStyle w:val="7"/>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color w:val="auto"/>
        </w:rPr>
      </w:pPr>
      <w:r>
        <w:rPr>
          <w:rFonts w:hint="eastAsia"/>
          <w:b/>
          <w:bCs/>
          <w:color w:val="auto"/>
        </w:rPr>
        <w:t>表4.3-11  评价范围内土地利用面积统计表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2264"/>
        <w:gridCol w:w="1404"/>
        <w:gridCol w:w="2143"/>
        <w:gridCol w:w="1644"/>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256" w:type="pct"/>
            <w:vMerge w:val="restart"/>
            <w:tcBorders>
              <w:top w:val="single" w:color="auto" w:sz="12"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一级类</w:t>
            </w:r>
          </w:p>
        </w:tc>
        <w:tc>
          <w:tcPr>
            <w:tcW w:w="1968" w:type="pct"/>
            <w:gridSpan w:val="2"/>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二级类</w:t>
            </w:r>
          </w:p>
        </w:tc>
        <w:tc>
          <w:tcPr>
            <w:tcW w:w="912" w:type="pct"/>
            <w:vMerge w:val="restart"/>
            <w:tcBorders>
              <w:top w:val="single" w:color="auto" w:sz="12" w:space="0"/>
              <w:left w:val="single" w:color="auto" w:sz="6" w:space="0"/>
              <w:bottom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面积（km</w:t>
            </w:r>
            <w:r>
              <w:rPr>
                <w:rFonts w:hint="eastAsia" w:eastAsiaTheme="minorEastAsia"/>
                <w:color w:val="auto"/>
                <w:sz w:val="21"/>
                <w:szCs w:val="21"/>
                <w:vertAlign w:val="superscript"/>
              </w:rPr>
              <w:t>2</w:t>
            </w:r>
            <w:r>
              <w:rPr>
                <w:rFonts w:hint="eastAsia" w:eastAsiaTheme="minorEastAsia"/>
                <w:color w:val="auto"/>
                <w:sz w:val="21"/>
                <w:szCs w:val="21"/>
              </w:rPr>
              <w:t>）</w:t>
            </w:r>
          </w:p>
        </w:tc>
        <w:tc>
          <w:tcPr>
            <w:tcW w:w="864" w:type="pct"/>
            <w:vMerge w:val="restart"/>
            <w:tcBorders>
              <w:top w:val="single" w:color="auto" w:sz="12" w:space="0"/>
              <w:left w:val="single" w:color="auto" w:sz="6" w:space="0"/>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256" w:type="pct"/>
            <w:vMerge w:val="continue"/>
            <w:tcBorders>
              <w:top w:val="single" w:color="auto" w:sz="6" w:space="0"/>
              <w:left w:val="nil"/>
              <w:bottom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p>
        </w:tc>
        <w:tc>
          <w:tcPr>
            <w:tcW w:w="779" w:type="pct"/>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地类代码</w:t>
            </w:r>
          </w:p>
        </w:tc>
        <w:tc>
          <w:tcPr>
            <w:tcW w:w="1189" w:type="pct"/>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地类名称</w:t>
            </w:r>
          </w:p>
        </w:tc>
        <w:tc>
          <w:tcPr>
            <w:tcW w:w="912" w:type="pct"/>
            <w:vMerge w:val="continue"/>
            <w:tcBorders>
              <w:top w:val="single" w:color="auto" w:sz="12" w:space="0"/>
              <w:left w:val="single" w:color="auto" w:sz="6" w:space="0"/>
              <w:bottom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p>
        </w:tc>
        <w:tc>
          <w:tcPr>
            <w:tcW w:w="864" w:type="pct"/>
            <w:vMerge w:val="continue"/>
            <w:tcBorders>
              <w:top w:val="single" w:color="auto" w:sz="12" w:space="0"/>
              <w:left w:val="single" w:color="auto" w:sz="6" w:space="0"/>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256" w:type="pct"/>
            <w:tcBorders>
              <w:top w:val="single" w:color="auto" w:sz="12"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bookmarkStart w:id="47" w:name="OLE_LINK1" w:colFirst="2" w:colLast="66"/>
            <w:r>
              <w:rPr>
                <w:rFonts w:hint="eastAsia" w:eastAsiaTheme="minorEastAsia"/>
                <w:color w:val="auto"/>
                <w:sz w:val="21"/>
                <w:szCs w:val="21"/>
              </w:rPr>
              <w:t>耕地</w:t>
            </w:r>
          </w:p>
        </w:tc>
        <w:tc>
          <w:tcPr>
            <w:tcW w:w="779" w:type="pct"/>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0103</w:t>
            </w:r>
          </w:p>
        </w:tc>
        <w:tc>
          <w:tcPr>
            <w:tcW w:w="1189" w:type="pct"/>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旱地</w:t>
            </w:r>
          </w:p>
        </w:tc>
        <w:tc>
          <w:tcPr>
            <w:tcW w:w="912" w:type="pct"/>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rPr>
              <w:t>10.2617</w:t>
            </w:r>
          </w:p>
        </w:tc>
        <w:tc>
          <w:tcPr>
            <w:tcW w:w="864" w:type="pct"/>
            <w:tcBorders>
              <w:top w:val="single" w:color="auto" w:sz="12" w:space="0"/>
              <w:left w:val="single" w:color="auto" w:sz="6"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 xml:space="preserve">20.92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256" w:type="pct"/>
            <w:vMerge w:val="restar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林地</w:t>
            </w:r>
          </w:p>
        </w:tc>
        <w:tc>
          <w:tcPr>
            <w:tcW w:w="77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0301</w:t>
            </w:r>
          </w:p>
        </w:tc>
        <w:tc>
          <w:tcPr>
            <w:tcW w:w="11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rPr>
              <w:t>乔木林地</w:t>
            </w:r>
          </w:p>
        </w:tc>
        <w:tc>
          <w:tcPr>
            <w:tcW w:w="9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17.5472</w:t>
            </w:r>
          </w:p>
        </w:tc>
        <w:tc>
          <w:tcPr>
            <w:tcW w:w="864" w:type="pct"/>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 xml:space="preserve">35.77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256" w:type="pct"/>
            <w:vMerge w:val="continue"/>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p>
        </w:tc>
        <w:tc>
          <w:tcPr>
            <w:tcW w:w="77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0305</w:t>
            </w:r>
          </w:p>
        </w:tc>
        <w:tc>
          <w:tcPr>
            <w:tcW w:w="11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灌木林地</w:t>
            </w:r>
          </w:p>
        </w:tc>
        <w:tc>
          <w:tcPr>
            <w:tcW w:w="9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9.2435</w:t>
            </w:r>
          </w:p>
        </w:tc>
        <w:tc>
          <w:tcPr>
            <w:tcW w:w="864" w:type="pct"/>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 xml:space="preserve">18.84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256" w:type="pc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草地</w:t>
            </w:r>
          </w:p>
        </w:tc>
        <w:tc>
          <w:tcPr>
            <w:tcW w:w="77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0404</w:t>
            </w:r>
          </w:p>
        </w:tc>
        <w:tc>
          <w:tcPr>
            <w:tcW w:w="11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rPr>
              <w:t>其它草地</w:t>
            </w:r>
          </w:p>
        </w:tc>
        <w:tc>
          <w:tcPr>
            <w:tcW w:w="9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4.5246</w:t>
            </w:r>
          </w:p>
        </w:tc>
        <w:tc>
          <w:tcPr>
            <w:tcW w:w="864" w:type="pct"/>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 xml:space="preserve">9.22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256" w:type="pc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工矿交通</w:t>
            </w:r>
          </w:p>
        </w:tc>
        <w:tc>
          <w:tcPr>
            <w:tcW w:w="77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0</w:t>
            </w:r>
            <w:r>
              <w:rPr>
                <w:rFonts w:eastAsiaTheme="minorEastAsia"/>
                <w:color w:val="auto"/>
                <w:sz w:val="21"/>
                <w:szCs w:val="21"/>
              </w:rPr>
              <w:t>601</w:t>
            </w:r>
            <w:r>
              <w:rPr>
                <w:rFonts w:hint="eastAsia" w:eastAsiaTheme="minorEastAsia"/>
                <w:color w:val="auto"/>
                <w:sz w:val="21"/>
                <w:szCs w:val="21"/>
              </w:rPr>
              <w:t xml:space="preserve"> </w:t>
            </w:r>
          </w:p>
        </w:tc>
        <w:tc>
          <w:tcPr>
            <w:tcW w:w="11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工业用地</w:t>
            </w:r>
          </w:p>
        </w:tc>
        <w:tc>
          <w:tcPr>
            <w:tcW w:w="9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0.1103</w:t>
            </w:r>
          </w:p>
        </w:tc>
        <w:tc>
          <w:tcPr>
            <w:tcW w:w="864" w:type="pct"/>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 xml:space="preserve">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256" w:type="pc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住宅</w:t>
            </w:r>
            <w:r>
              <w:rPr>
                <w:rFonts w:eastAsiaTheme="minorEastAsia"/>
                <w:color w:val="auto"/>
                <w:sz w:val="21"/>
                <w:szCs w:val="21"/>
              </w:rPr>
              <w:t>用地</w:t>
            </w:r>
          </w:p>
        </w:tc>
        <w:tc>
          <w:tcPr>
            <w:tcW w:w="77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0702</w:t>
            </w:r>
          </w:p>
        </w:tc>
        <w:tc>
          <w:tcPr>
            <w:tcW w:w="11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农村</w:t>
            </w:r>
            <w:r>
              <w:rPr>
                <w:rFonts w:eastAsiaTheme="minorEastAsia"/>
                <w:color w:val="auto"/>
                <w:sz w:val="21"/>
                <w:szCs w:val="21"/>
              </w:rPr>
              <w:t>宅基地</w:t>
            </w:r>
          </w:p>
        </w:tc>
        <w:tc>
          <w:tcPr>
            <w:tcW w:w="9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3.2458</w:t>
            </w:r>
          </w:p>
        </w:tc>
        <w:tc>
          <w:tcPr>
            <w:tcW w:w="864" w:type="pct"/>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 xml:space="preserve">6.62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256" w:type="pc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交通</w:t>
            </w:r>
            <w:r>
              <w:rPr>
                <w:rFonts w:eastAsiaTheme="minorEastAsia"/>
                <w:color w:val="auto"/>
                <w:sz w:val="21"/>
                <w:szCs w:val="21"/>
              </w:rPr>
              <w:t>用地</w:t>
            </w:r>
          </w:p>
        </w:tc>
        <w:tc>
          <w:tcPr>
            <w:tcW w:w="77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1</w:t>
            </w:r>
            <w:r>
              <w:rPr>
                <w:rFonts w:eastAsiaTheme="minorEastAsia"/>
                <w:color w:val="auto"/>
                <w:sz w:val="21"/>
                <w:szCs w:val="21"/>
              </w:rPr>
              <w:t>0</w:t>
            </w:r>
            <w:r>
              <w:rPr>
                <w:rFonts w:hint="eastAsia" w:eastAsiaTheme="minorEastAsia"/>
                <w:color w:val="auto"/>
                <w:sz w:val="21"/>
                <w:szCs w:val="21"/>
              </w:rPr>
              <w:t>0</w:t>
            </w:r>
            <w:r>
              <w:rPr>
                <w:rFonts w:eastAsiaTheme="minorEastAsia"/>
                <w:color w:val="auto"/>
                <w:sz w:val="21"/>
                <w:szCs w:val="21"/>
              </w:rPr>
              <w:t>3</w:t>
            </w:r>
          </w:p>
        </w:tc>
        <w:tc>
          <w:tcPr>
            <w:tcW w:w="11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公路用地</w:t>
            </w:r>
          </w:p>
        </w:tc>
        <w:tc>
          <w:tcPr>
            <w:tcW w:w="9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0.8012</w:t>
            </w:r>
          </w:p>
        </w:tc>
        <w:tc>
          <w:tcPr>
            <w:tcW w:w="864" w:type="pct"/>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 xml:space="preserve">1.63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256" w:type="pct"/>
            <w:vMerge w:val="restar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水域</w:t>
            </w:r>
          </w:p>
        </w:tc>
        <w:tc>
          <w:tcPr>
            <w:tcW w:w="77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1101</w:t>
            </w:r>
          </w:p>
        </w:tc>
        <w:tc>
          <w:tcPr>
            <w:tcW w:w="11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河流</w:t>
            </w:r>
            <w:r>
              <w:rPr>
                <w:rFonts w:eastAsiaTheme="minorEastAsia"/>
                <w:color w:val="auto"/>
                <w:sz w:val="21"/>
                <w:szCs w:val="21"/>
              </w:rPr>
              <w:t>水面</w:t>
            </w:r>
          </w:p>
        </w:tc>
        <w:tc>
          <w:tcPr>
            <w:tcW w:w="9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2.7132</w:t>
            </w:r>
          </w:p>
        </w:tc>
        <w:tc>
          <w:tcPr>
            <w:tcW w:w="864" w:type="pct"/>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 xml:space="preserve">5.53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256" w:type="pct"/>
            <w:vMerge w:val="continue"/>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p>
        </w:tc>
        <w:tc>
          <w:tcPr>
            <w:tcW w:w="77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1106</w:t>
            </w:r>
          </w:p>
        </w:tc>
        <w:tc>
          <w:tcPr>
            <w:tcW w:w="11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内陆滩涂</w:t>
            </w:r>
          </w:p>
        </w:tc>
        <w:tc>
          <w:tcPr>
            <w:tcW w:w="9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0.2575</w:t>
            </w:r>
          </w:p>
        </w:tc>
        <w:tc>
          <w:tcPr>
            <w:tcW w:w="864" w:type="pct"/>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 xml:space="preserve">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1256" w:type="pct"/>
            <w:vMerge w:val="continue"/>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p>
        </w:tc>
        <w:tc>
          <w:tcPr>
            <w:tcW w:w="77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1</w:t>
            </w:r>
            <w:r>
              <w:rPr>
                <w:rFonts w:eastAsiaTheme="minorEastAsia"/>
                <w:color w:val="auto"/>
                <w:sz w:val="21"/>
                <w:szCs w:val="21"/>
              </w:rPr>
              <w:t>103</w:t>
            </w:r>
          </w:p>
        </w:tc>
        <w:tc>
          <w:tcPr>
            <w:tcW w:w="11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水库水面</w:t>
            </w:r>
          </w:p>
        </w:tc>
        <w:tc>
          <w:tcPr>
            <w:tcW w:w="91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0.3574</w:t>
            </w:r>
          </w:p>
        </w:tc>
        <w:tc>
          <w:tcPr>
            <w:tcW w:w="864" w:type="pct"/>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rPr>
            </w:pPr>
            <w:r>
              <w:rPr>
                <w:rFonts w:hint="eastAsia" w:eastAsiaTheme="minorEastAsia"/>
                <w:color w:val="auto"/>
                <w:sz w:val="21"/>
                <w:szCs w:val="21"/>
              </w:rPr>
              <w:t xml:space="preserve">0.73 </w:t>
            </w:r>
          </w:p>
        </w:tc>
      </w:tr>
      <w:bookmarkEnd w:id="4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rPr>
        <w:tc>
          <w:tcPr>
            <w:tcW w:w="3224" w:type="pct"/>
            <w:gridSpan w:val="3"/>
            <w:tcBorders>
              <w:top w:val="single" w:color="auto" w:sz="6" w:space="0"/>
              <w:left w:val="nil"/>
              <w:bottom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rPr>
              <w:t>合计</w:t>
            </w:r>
          </w:p>
        </w:tc>
        <w:tc>
          <w:tcPr>
            <w:tcW w:w="912" w:type="pct"/>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fldChar w:fldCharType="begin"/>
            </w:r>
            <w:r>
              <w:rPr>
                <w:rFonts w:eastAsiaTheme="minorEastAsia"/>
                <w:color w:val="auto"/>
                <w:sz w:val="21"/>
                <w:szCs w:val="21"/>
              </w:rPr>
              <w:instrText xml:space="preserve"> </w:instrText>
            </w:r>
            <w:r>
              <w:rPr>
                <w:rFonts w:hint="eastAsia" w:eastAsiaTheme="minorEastAsia"/>
                <w:color w:val="auto"/>
                <w:sz w:val="21"/>
                <w:szCs w:val="21"/>
              </w:rPr>
              <w:instrText xml:space="preserve">=SUM(ABOVE)</w:instrText>
            </w:r>
            <w:r>
              <w:rPr>
                <w:rFonts w:eastAsiaTheme="minorEastAsia"/>
                <w:color w:val="auto"/>
                <w:sz w:val="21"/>
                <w:szCs w:val="21"/>
              </w:rPr>
              <w:instrText xml:space="preserve"> </w:instrText>
            </w:r>
            <w:r>
              <w:rPr>
                <w:rFonts w:eastAsiaTheme="minorEastAsia"/>
                <w:color w:val="auto"/>
                <w:sz w:val="21"/>
                <w:szCs w:val="21"/>
              </w:rPr>
              <w:fldChar w:fldCharType="separate"/>
            </w:r>
            <w:r>
              <w:rPr>
                <w:rFonts w:eastAsiaTheme="minorEastAsia"/>
                <w:color w:val="auto"/>
                <w:sz w:val="21"/>
                <w:szCs w:val="21"/>
              </w:rPr>
              <w:t>49.0624</w:t>
            </w:r>
            <w:r>
              <w:rPr>
                <w:rFonts w:eastAsiaTheme="minorEastAsia"/>
                <w:color w:val="auto"/>
                <w:sz w:val="21"/>
                <w:szCs w:val="21"/>
              </w:rPr>
              <w:fldChar w:fldCharType="end"/>
            </w:r>
          </w:p>
        </w:tc>
        <w:tc>
          <w:tcPr>
            <w:tcW w:w="864" w:type="pct"/>
            <w:tcBorders>
              <w:top w:val="single" w:color="auto" w:sz="6" w:space="0"/>
              <w:left w:val="single" w:color="auto" w:sz="6" w:space="0"/>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fldChar w:fldCharType="begin"/>
            </w:r>
            <w:r>
              <w:rPr>
                <w:rFonts w:eastAsiaTheme="minorEastAsia"/>
                <w:color w:val="auto"/>
                <w:sz w:val="21"/>
                <w:szCs w:val="21"/>
              </w:rPr>
              <w:instrText xml:space="preserve"> </w:instrText>
            </w:r>
            <w:r>
              <w:rPr>
                <w:rFonts w:hint="eastAsia" w:eastAsiaTheme="minorEastAsia"/>
                <w:color w:val="auto"/>
                <w:sz w:val="21"/>
                <w:szCs w:val="21"/>
              </w:rPr>
              <w:instrText xml:space="preserve">=SUM(ABOVE)</w:instrText>
            </w:r>
            <w:r>
              <w:rPr>
                <w:rFonts w:eastAsiaTheme="minorEastAsia"/>
                <w:color w:val="auto"/>
                <w:sz w:val="21"/>
                <w:szCs w:val="21"/>
              </w:rPr>
              <w:instrText xml:space="preserve"> </w:instrText>
            </w:r>
            <w:r>
              <w:rPr>
                <w:rFonts w:eastAsiaTheme="minorEastAsia"/>
                <w:color w:val="auto"/>
                <w:sz w:val="21"/>
                <w:szCs w:val="21"/>
              </w:rPr>
              <w:fldChar w:fldCharType="separate"/>
            </w:r>
            <w:r>
              <w:rPr>
                <w:rFonts w:eastAsiaTheme="minorEastAsia"/>
                <w:color w:val="auto"/>
                <w:sz w:val="21"/>
                <w:szCs w:val="21"/>
              </w:rPr>
              <w:t>100</w:t>
            </w:r>
            <w:r>
              <w:rPr>
                <w:rFonts w:eastAsiaTheme="minorEastAsia"/>
                <w:color w:val="auto"/>
                <w:sz w:val="21"/>
                <w:szCs w:val="21"/>
              </w:rPr>
              <w:fldChar w:fldCharType="end"/>
            </w:r>
          </w:p>
        </w:tc>
      </w:tr>
    </w:tbl>
    <w:p>
      <w:pPr>
        <w:pStyle w:val="7"/>
        <w:ind w:firstLine="480"/>
        <w:rPr>
          <w:color w:val="auto"/>
        </w:rPr>
      </w:pPr>
    </w:p>
    <w:p>
      <w:pPr>
        <w:pStyle w:val="7"/>
        <w:ind w:firstLine="480"/>
        <w:rPr>
          <w:color w:val="auto"/>
        </w:rPr>
        <w:sectPr>
          <w:pgSz w:w="11906" w:h="16838"/>
          <w:pgMar w:top="1418" w:right="1531" w:bottom="1418" w:left="1418" w:header="851" w:footer="851" w:gutter="0"/>
          <w:pgBorders>
            <w:top w:val="none" w:sz="0" w:space="0"/>
            <w:left w:val="none" w:sz="0" w:space="0"/>
            <w:bottom w:val="none" w:sz="0" w:space="0"/>
            <w:right w:val="none" w:sz="0" w:space="0"/>
          </w:pgBorders>
          <w:cols w:space="0" w:num="1"/>
          <w:docGrid w:type="lines" w:linePitch="400" w:charSpace="0"/>
        </w:sectPr>
      </w:pPr>
    </w:p>
    <w:p>
      <w:pPr>
        <w:pStyle w:val="2"/>
        <w:numPr>
          <w:ilvl w:val="0"/>
          <w:numId w:val="0"/>
        </w:numPr>
        <w:ind w:left="432" w:hanging="432"/>
        <w:rPr>
          <w:rFonts w:cs="Times New Roman"/>
          <w:b w:val="0"/>
          <w:color w:val="auto"/>
        </w:rPr>
      </w:pPr>
      <w:bookmarkStart w:id="48" w:name="_Toc142388378"/>
      <w:r>
        <w:rPr>
          <w:rFonts w:cs="Times New Roman"/>
          <w:b w:val="0"/>
          <w:color w:val="auto"/>
        </w:rPr>
        <w:t>5环境影响预测与评价</w:t>
      </w:r>
      <w:bookmarkEnd w:id="48"/>
    </w:p>
    <w:p>
      <w:pPr>
        <w:pStyle w:val="3"/>
        <w:numPr>
          <w:ilvl w:val="1"/>
          <w:numId w:val="0"/>
        </w:numPr>
        <w:ind w:left="575"/>
        <w:rPr>
          <w:rFonts w:cs="Times New Roman"/>
          <w:b w:val="0"/>
          <w:color w:val="auto"/>
        </w:rPr>
      </w:pPr>
      <w:bookmarkStart w:id="49" w:name="_Toc29859"/>
      <w:bookmarkStart w:id="50" w:name="_Toc142388379"/>
      <w:r>
        <w:rPr>
          <w:rFonts w:cs="Times New Roman"/>
          <w:b w:val="0"/>
          <w:color w:val="auto"/>
        </w:rPr>
        <w:t>5.1施工期影响</w:t>
      </w:r>
      <w:bookmarkEnd w:id="49"/>
      <w:r>
        <w:rPr>
          <w:rFonts w:cs="Times New Roman"/>
          <w:b w:val="0"/>
          <w:color w:val="auto"/>
        </w:rPr>
        <w:t>预测与分析</w:t>
      </w:r>
      <w:bookmarkEnd w:id="50"/>
    </w:p>
    <w:p>
      <w:pPr>
        <w:pStyle w:val="4"/>
        <w:numPr>
          <w:ilvl w:val="2"/>
          <w:numId w:val="0"/>
        </w:numPr>
        <w:snapToGrid w:val="0"/>
        <w:ind w:firstLine="480" w:firstLineChars="200"/>
        <w:rPr>
          <w:rFonts w:cs="Times New Roman"/>
          <w:color w:val="auto"/>
        </w:rPr>
      </w:pPr>
      <w:r>
        <w:rPr>
          <w:rFonts w:cs="Times New Roman"/>
          <w:color w:val="auto"/>
        </w:rPr>
        <w:t>5.1.1施工</w:t>
      </w:r>
      <w:r>
        <w:rPr>
          <w:rFonts w:hint="eastAsia" w:cs="Times New Roman"/>
          <w:color w:val="auto"/>
        </w:rPr>
        <w:t>期</w:t>
      </w:r>
      <w:r>
        <w:rPr>
          <w:rFonts w:cs="Times New Roman"/>
          <w:color w:val="auto"/>
        </w:rPr>
        <w:t>废气影响分析</w:t>
      </w:r>
    </w:p>
    <w:p>
      <w:pPr>
        <w:snapToGrid w:val="0"/>
        <w:ind w:firstLine="480"/>
        <w:rPr>
          <w:rFonts w:cs="Times New Roman"/>
          <w:color w:val="auto"/>
        </w:rPr>
      </w:pPr>
      <w:r>
        <w:rPr>
          <w:rFonts w:cs="Times New Roman"/>
          <w:color w:val="auto"/>
        </w:rPr>
        <w:t>施工期间废气主要为施工机械燃油废气，施工作业区开挖、填筑、构筑物建设产生的粉尘，汽车行驶过程中产生的尾气、扬尘等。</w:t>
      </w:r>
    </w:p>
    <w:p>
      <w:pPr>
        <w:snapToGrid w:val="0"/>
        <w:ind w:firstLine="480"/>
        <w:outlineLvl w:val="3"/>
        <w:rPr>
          <w:rFonts w:cs="Times New Roman"/>
          <w:color w:val="auto"/>
        </w:rPr>
      </w:pPr>
      <w:r>
        <w:rPr>
          <w:rFonts w:cs="Times New Roman"/>
          <w:color w:val="auto"/>
        </w:rPr>
        <w:t>1</w:t>
      </w:r>
      <w:r>
        <w:rPr>
          <w:rFonts w:hint="eastAsia" w:cs="Times New Roman"/>
          <w:color w:val="auto"/>
        </w:rPr>
        <w:t>.</w:t>
      </w:r>
      <w:r>
        <w:rPr>
          <w:rFonts w:cs="Times New Roman"/>
          <w:color w:val="auto"/>
        </w:rPr>
        <w:t>施工作业扬尘影响</w:t>
      </w:r>
    </w:p>
    <w:p>
      <w:pPr>
        <w:snapToGrid w:val="0"/>
        <w:ind w:firstLine="480"/>
        <w:rPr>
          <w:rFonts w:cs="Times New Roman"/>
          <w:color w:val="auto"/>
        </w:rPr>
      </w:pPr>
      <w:r>
        <w:rPr>
          <w:rFonts w:cs="Times New Roman"/>
          <w:color w:val="auto"/>
        </w:rPr>
        <w:t>施工扬尘主要来源于表土剥离、表土堆存、土石方开挖、材料及垃圾堆放、场地平整、物料装卸等过程。</w:t>
      </w:r>
    </w:p>
    <w:p>
      <w:pPr>
        <w:snapToGrid w:val="0"/>
        <w:ind w:firstLine="480"/>
        <w:rPr>
          <w:rFonts w:cs="Times New Roman"/>
          <w:color w:val="auto"/>
        </w:rPr>
      </w:pPr>
      <w:r>
        <w:rPr>
          <w:rFonts w:cs="Times New Roman"/>
          <w:color w:val="auto"/>
        </w:rPr>
        <w:t>影响施工扬尘排放的主要因素可以归纳为风速、起尘材料含水率、积尘负荷和机动车活动等，其中表面积尘含水率和风速是影响扬尘排放的最重要因素，其影响程度远高于表面积尘负荷和人类活动。工程区域总体气候较湿润，年平均风速为3.0m/s。从施工场地位置、地下水埋深分布、工程开挖深度可知本工程开挖段大多与地下水含水层接触，开挖段土壤湿润，开挖出的土壤多呈团块状，不易起尘。</w:t>
      </w:r>
    </w:p>
    <w:p>
      <w:pPr>
        <w:snapToGrid w:val="0"/>
        <w:ind w:firstLine="480"/>
        <w:rPr>
          <w:rFonts w:cs="Times New Roman"/>
          <w:color w:val="auto"/>
        </w:rPr>
      </w:pPr>
      <w:r>
        <w:rPr>
          <w:rFonts w:cs="Times New Roman"/>
          <w:color w:val="auto"/>
        </w:rPr>
        <w:t>通过与相似工程的施工类比，土石方开挖过程中场界最大扬尘浓度不高于938.67μg/m</w:t>
      </w:r>
      <w:r>
        <w:rPr>
          <w:rFonts w:cs="Times New Roman"/>
          <w:color w:val="auto"/>
          <w:vertAlign w:val="superscript"/>
        </w:rPr>
        <w:t>3</w:t>
      </w:r>
      <w:r>
        <w:rPr>
          <w:rFonts w:cs="Times New Roman"/>
          <w:color w:val="auto"/>
        </w:rPr>
        <w:t>、回填过程扬尘浓度不高于611.89μg/m</w:t>
      </w:r>
      <w:r>
        <w:rPr>
          <w:rFonts w:cs="Times New Roman"/>
          <w:color w:val="auto"/>
          <w:vertAlign w:val="superscript"/>
        </w:rPr>
        <w:t>3</w:t>
      </w:r>
      <w:r>
        <w:rPr>
          <w:rFonts w:cs="Times New Roman"/>
          <w:color w:val="auto"/>
        </w:rPr>
        <w:t>、一般施工过程中场界最大扬尘浓度不高于78.15μg/m</w:t>
      </w:r>
      <w:r>
        <w:rPr>
          <w:rFonts w:cs="Times New Roman"/>
          <w:color w:val="auto"/>
          <w:vertAlign w:val="superscript"/>
        </w:rPr>
        <w:t>3</w:t>
      </w:r>
      <w:r>
        <w:rPr>
          <w:rFonts w:cs="Times New Roman"/>
          <w:color w:val="auto"/>
        </w:rPr>
        <w:t>。</w:t>
      </w:r>
    </w:p>
    <w:p>
      <w:pPr>
        <w:snapToGrid w:val="0"/>
        <w:ind w:firstLine="480"/>
        <w:rPr>
          <w:rFonts w:cs="Times New Roman"/>
          <w:color w:val="auto"/>
        </w:rPr>
      </w:pPr>
      <w:r>
        <w:rPr>
          <w:rFonts w:cs="Times New Roman"/>
          <w:color w:val="auto"/>
        </w:rPr>
        <w:t>工程施工时，必需在场地堆积大量的回填土和部分弃土，回填土和弃土一般要堆放15~20天左右。当土风干时，在启动风速下会形成扬尘。根据周边类似施工场地实地调查的数据资料来看，由于距离的不同，其污染影响程度亦不同。在扬尘点下风向0~50m为重污染带，50~100m为较重污染带，100~200m为轻污染带，200m以外对大气影响甚微。据类比调查，在一般气象条件，施工扬尘的影响范围为其下风向150m内，被影响的地区TSP浓度平均值为490ug/m</w:t>
      </w:r>
      <w:r>
        <w:rPr>
          <w:rFonts w:cs="Times New Roman"/>
          <w:color w:val="auto"/>
          <w:vertAlign w:val="superscript"/>
        </w:rPr>
        <w:t>3</w:t>
      </w:r>
      <w:r>
        <w:rPr>
          <w:rFonts w:cs="Times New Roman"/>
          <w:color w:val="auto"/>
        </w:rPr>
        <w:t>左右。施工作业扬尘对周边环境空气质量影响较大。</w:t>
      </w:r>
    </w:p>
    <w:p>
      <w:pPr>
        <w:snapToGrid w:val="0"/>
        <w:ind w:firstLine="480"/>
        <w:outlineLvl w:val="3"/>
        <w:rPr>
          <w:rFonts w:cs="Times New Roman"/>
          <w:color w:val="auto"/>
        </w:rPr>
      </w:pPr>
      <w:r>
        <w:rPr>
          <w:rFonts w:cs="Times New Roman"/>
          <w:color w:val="auto"/>
        </w:rPr>
        <w:t>2</w:t>
      </w:r>
      <w:r>
        <w:rPr>
          <w:rFonts w:hint="eastAsia" w:cs="Times New Roman"/>
          <w:color w:val="auto"/>
        </w:rPr>
        <w:t>.</w:t>
      </w:r>
      <w:r>
        <w:rPr>
          <w:rFonts w:cs="Times New Roman"/>
          <w:color w:val="auto"/>
        </w:rPr>
        <w:t>堆场扬尘影响</w:t>
      </w:r>
    </w:p>
    <w:p>
      <w:pPr>
        <w:snapToGrid w:val="0"/>
        <w:ind w:firstLine="480"/>
        <w:rPr>
          <w:rFonts w:cs="Times New Roman"/>
          <w:color w:val="auto"/>
        </w:rPr>
      </w:pPr>
      <w:r>
        <w:rPr>
          <w:rFonts w:cs="Times New Roman"/>
          <w:color w:val="auto"/>
        </w:rPr>
        <w:t>堆场扬尘主要来源是露天堆场的风力扬尘</w:t>
      </w:r>
      <w:r>
        <w:rPr>
          <w:rFonts w:cs="Times New Roman"/>
          <w:color w:val="auto"/>
          <w:spacing w:val="-2"/>
        </w:rPr>
        <w:t>，这将产生较大的扬尘污染，通过适时洒水可有效抑制扬尘，可使扬尘量减少70%（同类工程施工道路扬尘洒水降尘试验监测结果）。起尘风速与粒径和含水率有关，因此，减少露天堆放和保证一定的含水率及</w:t>
      </w:r>
      <w:r>
        <w:rPr>
          <w:rFonts w:cs="Times New Roman"/>
          <w:color w:val="auto"/>
          <w:spacing w:val="-92"/>
        </w:rPr>
        <w:t xml:space="preserve"> </w:t>
      </w:r>
      <w:r>
        <w:rPr>
          <w:rFonts w:cs="Times New Roman"/>
          <w:color w:val="auto"/>
          <w:spacing w:val="-2"/>
        </w:rPr>
        <w:t>减少裸露地面是减少风力起尘的有效手段。此外，对一些粉状材料采取一些遮盖防风措</w:t>
      </w:r>
      <w:r>
        <w:rPr>
          <w:rFonts w:cs="Times New Roman"/>
          <w:color w:val="auto"/>
          <w:spacing w:val="-92"/>
        </w:rPr>
        <w:t xml:space="preserve"> </w:t>
      </w:r>
      <w:r>
        <w:rPr>
          <w:rFonts w:cs="Times New Roman"/>
          <w:color w:val="auto"/>
        </w:rPr>
        <w:t>施也可有效减少扬尘污染。</w:t>
      </w:r>
    </w:p>
    <w:p>
      <w:pPr>
        <w:snapToGrid w:val="0"/>
        <w:ind w:firstLine="480"/>
        <w:outlineLvl w:val="3"/>
        <w:rPr>
          <w:rFonts w:cs="Times New Roman"/>
          <w:color w:val="auto"/>
        </w:rPr>
      </w:pPr>
      <w:r>
        <w:rPr>
          <w:rFonts w:cs="Times New Roman"/>
          <w:color w:val="auto"/>
        </w:rPr>
        <w:t>3</w:t>
      </w:r>
      <w:r>
        <w:rPr>
          <w:rFonts w:hint="eastAsia" w:cs="Times New Roman"/>
          <w:color w:val="auto"/>
        </w:rPr>
        <w:t>.</w:t>
      </w:r>
      <w:r>
        <w:rPr>
          <w:rFonts w:cs="Times New Roman"/>
          <w:color w:val="auto"/>
        </w:rPr>
        <w:t>运输道路扬尘影响</w:t>
      </w:r>
    </w:p>
    <w:p>
      <w:pPr>
        <w:snapToGrid w:val="0"/>
        <w:ind w:firstLine="480"/>
        <w:rPr>
          <w:rFonts w:cs="Times New Roman"/>
          <w:color w:val="auto"/>
        </w:rPr>
      </w:pPr>
      <w:r>
        <w:rPr>
          <w:rFonts w:cs="Times New Roman"/>
          <w:color w:val="auto"/>
        </w:rPr>
        <w:t>运输道路扬尘不会在大范围内平均分布，但在小空间内浓度较高，在道路局部地段积尘较多的地方，载重车辆经过时会掀起浓密的扬尘，根据其他工程现场实测情况，类似路面交通运输产生的扬尘影响范围一般在宽10～50m、高4～5m的空间内，3min后较大颗粒即沉降至地面，微细颗粒在空中停留时间较长，但是在扬尘中所占比重较小，因此影响也较小。</w:t>
      </w:r>
    </w:p>
    <w:p>
      <w:pPr>
        <w:snapToGrid w:val="0"/>
        <w:ind w:firstLine="480"/>
        <w:rPr>
          <w:rFonts w:cs="Times New Roman"/>
          <w:color w:val="auto"/>
        </w:rPr>
      </w:pPr>
      <w:r>
        <w:rPr>
          <w:rFonts w:cs="Times New Roman"/>
          <w:color w:val="auto"/>
        </w:rPr>
        <w:t>本工程施工期间需要频繁运输弃方、原材料等，公路沿线受影响居民较多，因此必须在无雨天对道路实施洒水降尘措施，平均每日洒水降尘，并对运输车辆进行严格覆盖。采取上述措施后，根据同类工程施工期监测，可将道路交通扬尘浓度控制在1mg/m</w:t>
      </w:r>
      <w:r>
        <w:rPr>
          <w:rFonts w:cs="Times New Roman"/>
          <w:color w:val="auto"/>
          <w:vertAlign w:val="superscript"/>
        </w:rPr>
        <w:t>3</w:t>
      </w:r>
      <w:r>
        <w:rPr>
          <w:rFonts w:cs="Times New Roman"/>
          <w:color w:val="auto"/>
        </w:rPr>
        <w:t>以下，影响可接受。</w:t>
      </w:r>
    </w:p>
    <w:p>
      <w:pPr>
        <w:snapToGrid w:val="0"/>
        <w:ind w:firstLine="480"/>
        <w:outlineLvl w:val="3"/>
        <w:rPr>
          <w:rFonts w:cs="Times New Roman"/>
          <w:color w:val="auto"/>
        </w:rPr>
      </w:pPr>
      <w:r>
        <w:rPr>
          <w:rFonts w:cs="Times New Roman"/>
          <w:color w:val="auto"/>
        </w:rPr>
        <w:t>4</w:t>
      </w:r>
      <w:r>
        <w:rPr>
          <w:rFonts w:hint="eastAsia" w:cs="Times New Roman"/>
          <w:color w:val="auto"/>
        </w:rPr>
        <w:t>.</w:t>
      </w:r>
      <w:r>
        <w:rPr>
          <w:rFonts w:cs="Times New Roman"/>
          <w:color w:val="auto"/>
        </w:rPr>
        <w:t>燃油施工机械废气影响</w:t>
      </w:r>
    </w:p>
    <w:p>
      <w:pPr>
        <w:snapToGrid w:val="0"/>
        <w:ind w:firstLine="480"/>
        <w:rPr>
          <w:rFonts w:cs="Times New Roman"/>
          <w:color w:val="auto"/>
        </w:rPr>
      </w:pPr>
      <w:r>
        <w:rPr>
          <w:rFonts w:cs="Times New Roman"/>
          <w:color w:val="auto"/>
        </w:rPr>
        <w:t>本项目建设工程所有施工机械主要以柴油、汽油为燃料，施工期环境空气污染物主要是施工机械设备燃油排出的CO、NO</w:t>
      </w:r>
      <w:r>
        <w:rPr>
          <w:rFonts w:cs="Times New Roman"/>
          <w:color w:val="auto"/>
          <w:vertAlign w:val="subscript"/>
        </w:rPr>
        <w:t>2</w:t>
      </w:r>
      <w:r>
        <w:rPr>
          <w:rFonts w:cs="Times New Roman"/>
          <w:color w:val="auto"/>
        </w:rPr>
        <w:t>、THC等。施工期机动车辆及机械燃油废气污染源多为流动性、间歇性污染源，且施工线路相对较长，污染源非常分散，污染强度不大，排放废气中的各项污染物能够很快扩散，不会引起局部大气环境质量的恶化。加之废气排放的不连续性和工程施工期有限，排放的废气对区域的环境空气质量影响较小，但需注重对施工人员的劳动保护。</w:t>
      </w:r>
    </w:p>
    <w:p>
      <w:pPr>
        <w:snapToGrid w:val="0"/>
        <w:ind w:firstLine="480"/>
        <w:rPr>
          <w:rFonts w:cs="Times New Roman"/>
          <w:color w:val="auto"/>
        </w:rPr>
      </w:pPr>
      <w:r>
        <w:rPr>
          <w:rFonts w:cs="Times New Roman"/>
          <w:color w:val="auto"/>
        </w:rPr>
        <w:t>总体而言，施工期各施工场地分散，工程量小，施工期短，工程施工产生的废气等对区域环境空气的影响不大，工程结束后影响将自行消除。</w:t>
      </w:r>
    </w:p>
    <w:p>
      <w:pPr>
        <w:pStyle w:val="4"/>
        <w:numPr>
          <w:ilvl w:val="2"/>
          <w:numId w:val="0"/>
        </w:numPr>
        <w:snapToGrid w:val="0"/>
        <w:ind w:firstLine="480" w:firstLineChars="200"/>
        <w:rPr>
          <w:rFonts w:cs="Times New Roman"/>
          <w:color w:val="auto"/>
        </w:rPr>
      </w:pPr>
      <w:bookmarkStart w:id="51" w:name="_Toc455501981"/>
      <w:bookmarkStart w:id="52" w:name="_Toc29335"/>
      <w:bookmarkStart w:id="53" w:name="_Toc15529"/>
      <w:bookmarkStart w:id="54" w:name="_Toc491597224"/>
      <w:bookmarkStart w:id="55" w:name="_Toc11196"/>
      <w:r>
        <w:rPr>
          <w:rFonts w:cs="Times New Roman"/>
          <w:color w:val="auto"/>
        </w:rPr>
        <w:t>5.1.2施工</w:t>
      </w:r>
      <w:r>
        <w:rPr>
          <w:rFonts w:hint="eastAsia" w:cs="Times New Roman"/>
          <w:color w:val="auto"/>
        </w:rPr>
        <w:t>期</w:t>
      </w:r>
      <w:r>
        <w:rPr>
          <w:rFonts w:cs="Times New Roman"/>
          <w:color w:val="auto"/>
        </w:rPr>
        <w:t>废水影响</w:t>
      </w:r>
      <w:bookmarkEnd w:id="51"/>
      <w:bookmarkEnd w:id="52"/>
      <w:bookmarkEnd w:id="53"/>
      <w:bookmarkEnd w:id="54"/>
      <w:bookmarkEnd w:id="55"/>
      <w:r>
        <w:rPr>
          <w:rFonts w:cs="Times New Roman"/>
          <w:color w:val="auto"/>
        </w:rPr>
        <w:t>分析</w:t>
      </w:r>
    </w:p>
    <w:p>
      <w:pPr>
        <w:snapToGrid w:val="0"/>
        <w:ind w:firstLine="480"/>
        <w:outlineLvl w:val="3"/>
        <w:rPr>
          <w:rFonts w:cs="Times New Roman"/>
          <w:color w:val="auto"/>
        </w:rPr>
      </w:pPr>
      <w:r>
        <w:rPr>
          <w:rFonts w:cs="Times New Roman"/>
          <w:color w:val="auto"/>
        </w:rPr>
        <w:t>1</w:t>
      </w:r>
      <w:r>
        <w:rPr>
          <w:rFonts w:hint="eastAsia" w:cs="Times New Roman"/>
          <w:color w:val="auto"/>
        </w:rPr>
        <w:t>.</w:t>
      </w:r>
      <w:r>
        <w:rPr>
          <w:rFonts w:cs="Times New Roman"/>
          <w:color w:val="auto"/>
        </w:rPr>
        <w:t>施工期生产废水影响</w:t>
      </w:r>
    </w:p>
    <w:p>
      <w:pPr>
        <w:snapToGrid w:val="0"/>
        <w:ind w:firstLine="480"/>
        <w:rPr>
          <w:rFonts w:cs="Times New Roman"/>
          <w:color w:val="auto"/>
        </w:rPr>
      </w:pPr>
      <w:r>
        <w:rPr>
          <w:rFonts w:cs="Times New Roman"/>
          <w:color w:val="auto"/>
        </w:rPr>
        <w:t>施工期间各类机械跑、冒、滴、漏及施工场地混凝土拌和冲洗，施工机械车辆维修保养和冲洗等将产生施工生产废水，废水中主要污染物为悬浮物（SS）和少量的石油类，由于废水排放量小，且呈间歇性排放的特点。在施工场地内设车辆清洗废水收集池，施工场地废水经过隔油、沉淀处理后回用于车辆冲洗过程。混凝土拌合站配套设置沉淀池用于沉淀回用冲洗废水。施工生产废水不排入附近河流水域，对水环境无影响。</w:t>
      </w:r>
    </w:p>
    <w:p>
      <w:pPr>
        <w:snapToGrid w:val="0"/>
        <w:ind w:firstLine="480"/>
        <w:rPr>
          <w:rFonts w:cs="Times New Roman"/>
          <w:color w:val="auto"/>
        </w:rPr>
      </w:pPr>
      <w:r>
        <w:rPr>
          <w:rFonts w:cs="Times New Roman"/>
          <w:color w:val="auto"/>
        </w:rPr>
        <w:t>本工程涉及到基坑开挖及基坑排水，基坑废水主要由降水、渗水汇集而成，主要污染物为悬浮物。本工程采取多级沉淀池沉淀处理以降低其SS浓度，并做好基坑截排水措施，可有效控制基坑废水的影响。基坑废水用于场地抑尘洒水，不外排。</w:t>
      </w:r>
    </w:p>
    <w:p>
      <w:pPr>
        <w:snapToGrid w:val="0"/>
        <w:ind w:firstLine="480"/>
        <w:rPr>
          <w:rFonts w:cs="Times New Roman"/>
          <w:color w:val="auto"/>
        </w:rPr>
      </w:pPr>
      <w:r>
        <w:rPr>
          <w:rFonts w:cs="Times New Roman"/>
          <w:color w:val="auto"/>
        </w:rPr>
        <w:t>由于施工是短期活动，当施工结束后，施工工地废水对地表水体环境的影响也将消除。对于因暴雨冲刷而引起的地表径流，应加强对开挖面的及时覆盖，施工工地四周设置导流槽，减轻水土流失产生的污水对地表水环境的影响。为此，本次评价要求：工程施工期间因清理场地和基坑开挖、堆土造成的裸土层必须就地建雨水拦蓄池和种植速生植被，减少沉积物进入地表水体；施工中尽可能少的改变天然地表排水系统；施工中的物料堆场并采取防范措施，防止雨水冲刷进入水体；严禁将废油、施工垃圾等随意抛入水体，影响地表水环境。</w:t>
      </w:r>
    </w:p>
    <w:p>
      <w:pPr>
        <w:snapToGrid w:val="0"/>
        <w:ind w:firstLine="480"/>
        <w:rPr>
          <w:rFonts w:cs="Times New Roman"/>
          <w:color w:val="auto"/>
        </w:rPr>
      </w:pPr>
      <w:r>
        <w:rPr>
          <w:rFonts w:cs="Times New Roman"/>
          <w:color w:val="auto"/>
        </w:rPr>
        <w:t>采取上述施工期废水污染防治措施后，施工废水对地表水的环境影响较小。</w:t>
      </w:r>
    </w:p>
    <w:p>
      <w:pPr>
        <w:snapToGrid w:val="0"/>
        <w:ind w:firstLine="480"/>
        <w:outlineLvl w:val="3"/>
        <w:rPr>
          <w:rFonts w:cs="Times New Roman"/>
          <w:color w:val="auto"/>
        </w:rPr>
      </w:pPr>
      <w:r>
        <w:rPr>
          <w:rFonts w:cs="Times New Roman"/>
          <w:color w:val="auto"/>
        </w:rPr>
        <w:t>2</w:t>
      </w:r>
      <w:r>
        <w:rPr>
          <w:rFonts w:hint="eastAsia" w:cs="Times New Roman"/>
          <w:color w:val="auto"/>
        </w:rPr>
        <w:t>.</w:t>
      </w:r>
      <w:r>
        <w:rPr>
          <w:rFonts w:cs="Times New Roman"/>
          <w:color w:val="auto"/>
        </w:rPr>
        <w:t>生活污水影响</w:t>
      </w:r>
    </w:p>
    <w:p>
      <w:pPr>
        <w:snapToGrid w:val="0"/>
        <w:ind w:firstLine="480"/>
        <w:rPr>
          <w:rFonts w:cs="Times New Roman"/>
          <w:color w:val="auto"/>
        </w:rPr>
      </w:pPr>
      <w:r>
        <w:rPr>
          <w:rFonts w:cs="Times New Roman"/>
          <w:color w:val="auto"/>
        </w:rPr>
        <w:t>生活污水主要来自施工人员的日常生活，要污染物为COD、BOD</w:t>
      </w:r>
      <w:r>
        <w:rPr>
          <w:rFonts w:cs="Times New Roman"/>
          <w:color w:val="auto"/>
          <w:vertAlign w:val="subscript"/>
        </w:rPr>
        <w:t>5</w:t>
      </w:r>
      <w:r>
        <w:rPr>
          <w:rFonts w:cs="Times New Roman"/>
          <w:color w:val="auto"/>
        </w:rPr>
        <w:t>、NH</w:t>
      </w:r>
      <w:r>
        <w:rPr>
          <w:rFonts w:cs="Times New Roman"/>
          <w:color w:val="auto"/>
          <w:vertAlign w:val="subscript"/>
        </w:rPr>
        <w:t>3</w:t>
      </w:r>
      <w:r>
        <w:rPr>
          <w:rFonts w:cs="Times New Roman"/>
          <w:color w:val="auto"/>
        </w:rPr>
        <w:t>-N浓度约300mg/L、150mg/L、30mg/L。生活污水进入化粪池处理，处理后用于周边农田施肥，综合利用，严禁排入河道。</w:t>
      </w:r>
    </w:p>
    <w:p>
      <w:pPr>
        <w:snapToGrid w:val="0"/>
        <w:ind w:firstLine="480"/>
        <w:outlineLvl w:val="3"/>
        <w:rPr>
          <w:rFonts w:cs="Times New Roman"/>
          <w:color w:val="auto"/>
        </w:rPr>
      </w:pPr>
      <w:r>
        <w:rPr>
          <w:rFonts w:hint="eastAsia" w:cs="Times New Roman"/>
          <w:color w:val="auto"/>
          <w:lang w:val="en-US" w:eastAsia="zh-CN"/>
        </w:rPr>
        <w:t>3</w:t>
      </w:r>
      <w:r>
        <w:rPr>
          <w:rFonts w:hint="eastAsia" w:cs="Times New Roman"/>
          <w:color w:val="auto"/>
        </w:rPr>
        <w:t>.</w:t>
      </w:r>
      <w:r>
        <w:rPr>
          <w:rFonts w:cs="Times New Roman"/>
          <w:color w:val="auto"/>
        </w:rPr>
        <w:t>施工期对水文情势的影响分析</w:t>
      </w:r>
    </w:p>
    <w:p>
      <w:pPr>
        <w:snapToGrid w:val="0"/>
        <w:ind w:firstLine="480"/>
        <w:rPr>
          <w:rFonts w:cs="Times New Roman"/>
          <w:color w:val="auto"/>
        </w:rPr>
      </w:pPr>
      <w:r>
        <w:rPr>
          <w:rFonts w:cs="Times New Roman"/>
          <w:color w:val="auto"/>
        </w:rPr>
        <w:t>施工期主要是施工截流对河道水文情势的影响。截流时，河道水位略有升高，截流过程中，通过围堰导流，下泄流量为河道天然来流量，故截流期间对下游水文情势影响较小。</w:t>
      </w:r>
    </w:p>
    <w:p>
      <w:pPr>
        <w:pStyle w:val="4"/>
        <w:numPr>
          <w:ilvl w:val="2"/>
          <w:numId w:val="0"/>
        </w:numPr>
        <w:snapToGrid w:val="0"/>
        <w:ind w:firstLine="480" w:firstLineChars="200"/>
        <w:rPr>
          <w:rFonts w:cs="Times New Roman"/>
          <w:color w:val="auto"/>
        </w:rPr>
      </w:pPr>
      <w:r>
        <w:rPr>
          <w:rFonts w:cs="Times New Roman"/>
          <w:color w:val="auto"/>
        </w:rPr>
        <w:t>5.1.3施工期地下水环境影响分析</w:t>
      </w:r>
    </w:p>
    <w:p>
      <w:pPr>
        <w:snapToGrid w:val="0"/>
        <w:ind w:firstLine="480"/>
        <w:outlineLvl w:val="3"/>
        <w:rPr>
          <w:rFonts w:cs="Times New Roman"/>
          <w:color w:val="auto"/>
        </w:rPr>
      </w:pPr>
      <w:r>
        <w:rPr>
          <w:rFonts w:cs="Times New Roman"/>
          <w:color w:val="auto"/>
        </w:rPr>
        <w:t>1</w:t>
      </w:r>
      <w:r>
        <w:rPr>
          <w:rFonts w:hint="eastAsia" w:cs="Times New Roman"/>
          <w:color w:val="auto"/>
        </w:rPr>
        <w:t>.</w:t>
      </w:r>
      <w:r>
        <w:rPr>
          <w:rFonts w:cs="Times New Roman"/>
          <w:color w:val="auto"/>
        </w:rPr>
        <w:t>地质条件分析</w:t>
      </w:r>
    </w:p>
    <w:p>
      <w:pPr>
        <w:snapToGrid w:val="0"/>
        <w:ind w:firstLine="480"/>
        <w:rPr>
          <w:rFonts w:cs="Times New Roman"/>
          <w:color w:val="auto"/>
          <w:lang w:val="zh-CN"/>
        </w:rPr>
      </w:pPr>
      <w:r>
        <w:rPr>
          <w:rFonts w:cs="Times New Roman"/>
          <w:color w:val="auto"/>
          <w:lang w:val="zh-CN"/>
        </w:rPr>
        <w:t>拟建场地地下水属孔隙潜水类型，本次勘察期间属平水位期。</w:t>
      </w:r>
    </w:p>
    <w:p>
      <w:pPr>
        <w:snapToGrid w:val="0"/>
        <w:ind w:firstLine="480"/>
        <w:rPr>
          <w:rFonts w:cs="Times New Roman"/>
          <w:color w:val="auto"/>
        </w:rPr>
      </w:pPr>
      <w:r>
        <w:rPr>
          <w:rFonts w:cs="Times New Roman"/>
          <w:color w:val="auto"/>
          <w:lang w:val="zh-CN"/>
        </w:rPr>
        <w:t>拟建工程测得稳定水位埋深0.</w:t>
      </w:r>
      <w:r>
        <w:rPr>
          <w:rFonts w:hint="eastAsia" w:cs="Times New Roman"/>
          <w:color w:val="auto"/>
          <w:lang w:val="zh-CN"/>
        </w:rPr>
        <w:t>7</w:t>
      </w:r>
      <w:r>
        <w:rPr>
          <w:rFonts w:cs="Times New Roman"/>
          <w:color w:val="auto"/>
          <w:lang w:val="zh-CN"/>
        </w:rPr>
        <w:t>0～3.20m，根据区域资料，地下水年平均变化幅度约3.0m。</w:t>
      </w:r>
    </w:p>
    <w:p>
      <w:pPr>
        <w:snapToGrid w:val="0"/>
        <w:ind w:firstLine="480"/>
        <w:rPr>
          <w:rFonts w:cs="Times New Roman"/>
          <w:color w:val="auto"/>
          <w:lang w:val="zh-CN"/>
        </w:rPr>
      </w:pPr>
      <w:r>
        <w:rPr>
          <w:rFonts w:cs="Times New Roman"/>
          <w:color w:val="auto"/>
          <w:lang w:val="zh-CN"/>
        </w:rPr>
        <w:t>在现状环境、气象条件下，拟建场地地下水抗浮设防水位及防水设计水位标高可按现地面考虑。</w:t>
      </w:r>
    </w:p>
    <w:p>
      <w:pPr>
        <w:snapToGrid w:val="0"/>
        <w:ind w:firstLine="480"/>
        <w:rPr>
          <w:rFonts w:cs="Times New Roman"/>
          <w:color w:val="auto"/>
        </w:rPr>
      </w:pPr>
      <w:r>
        <w:rPr>
          <w:rFonts w:cs="Times New Roman"/>
          <w:color w:val="auto"/>
          <w:lang w:val="zh-CN"/>
        </w:rPr>
        <w:t>本场地主要接受大气降水、地表水渗入及河流侧向补给等补给。排泄方式以径流排泄和蒸发消耗为主。</w:t>
      </w:r>
    </w:p>
    <w:p>
      <w:pPr>
        <w:snapToGrid w:val="0"/>
        <w:ind w:firstLine="480"/>
        <w:outlineLvl w:val="3"/>
        <w:rPr>
          <w:rFonts w:cs="Times New Roman"/>
          <w:color w:val="auto"/>
        </w:rPr>
      </w:pPr>
      <w:r>
        <w:rPr>
          <w:rFonts w:cs="Times New Roman"/>
          <w:color w:val="auto"/>
        </w:rPr>
        <w:t>2</w:t>
      </w:r>
      <w:r>
        <w:rPr>
          <w:rFonts w:hint="eastAsia" w:cs="Times New Roman"/>
          <w:color w:val="auto"/>
        </w:rPr>
        <w:t>.</w:t>
      </w:r>
      <w:r>
        <w:rPr>
          <w:rFonts w:cs="Times New Roman"/>
          <w:color w:val="auto"/>
        </w:rPr>
        <w:t>地下水污染途径</w:t>
      </w:r>
    </w:p>
    <w:p>
      <w:pPr>
        <w:snapToGrid w:val="0"/>
        <w:ind w:firstLine="480"/>
        <w:rPr>
          <w:rFonts w:cs="Times New Roman"/>
          <w:color w:val="auto"/>
        </w:rPr>
      </w:pPr>
      <w:r>
        <w:rPr>
          <w:rFonts w:cs="Times New Roman"/>
          <w:color w:val="auto"/>
        </w:rPr>
        <w:t>本项目施工期不开采地下水，不会引起地下水流场或地下水水位变化。周边区域地下水主要接受地表水的入渗以及地下水侧向补给为主。施工期产生的废水主要为混凝土搅拌机冲洗废水、施工机械和运输车辆冲洗水、基坑排水、淤泥余水和施工人员生活污水，此类废水中主要污染物为SS、COD和氨氮等。生产废水经收集沉淀处理后回用于生产，生活污水利用化粪池处理还田综合利用。所有废水均得到有效收集处理，正常情况下发生渗漏的可能性较小。</w:t>
      </w:r>
    </w:p>
    <w:p>
      <w:pPr>
        <w:snapToGrid w:val="0"/>
        <w:ind w:firstLine="480"/>
        <w:outlineLvl w:val="3"/>
        <w:rPr>
          <w:rFonts w:cs="Times New Roman"/>
          <w:color w:val="auto"/>
        </w:rPr>
      </w:pPr>
      <w:r>
        <w:rPr>
          <w:rFonts w:cs="Times New Roman"/>
          <w:color w:val="auto"/>
        </w:rPr>
        <w:t>3</w:t>
      </w:r>
      <w:r>
        <w:rPr>
          <w:rFonts w:hint="eastAsia" w:cs="Times New Roman"/>
          <w:color w:val="auto"/>
        </w:rPr>
        <w:t>.</w:t>
      </w:r>
      <w:r>
        <w:rPr>
          <w:rFonts w:cs="Times New Roman"/>
          <w:color w:val="auto"/>
        </w:rPr>
        <w:t>地下水影响分析</w:t>
      </w:r>
    </w:p>
    <w:p>
      <w:pPr>
        <w:snapToGrid w:val="0"/>
        <w:ind w:firstLine="480"/>
        <w:rPr>
          <w:rFonts w:cs="Times New Roman"/>
          <w:color w:val="auto"/>
        </w:rPr>
      </w:pPr>
      <w:r>
        <w:rPr>
          <w:rFonts w:hint="eastAsia" w:cs="Times New Roman"/>
          <w:color w:val="auto"/>
          <w:lang w:val="en-US" w:eastAsia="zh-CN"/>
        </w:rPr>
        <w:t>施工</w:t>
      </w:r>
      <w:r>
        <w:rPr>
          <w:rFonts w:cs="Times New Roman"/>
          <w:color w:val="auto"/>
        </w:rPr>
        <w:t>废水经收集沉淀处理后回用，生活污水利用化粪池处理还田综合利用。所有废水均得到有效收集处理。化粪池和沉淀池均采取防渗设施，施工期结束后，将化粪池和沉淀池污废水全部利用后，场区恢复植被。因此生产废水和生活污水对地下水影响很小。</w:t>
      </w:r>
    </w:p>
    <w:p>
      <w:pPr>
        <w:pStyle w:val="4"/>
        <w:numPr>
          <w:ilvl w:val="2"/>
          <w:numId w:val="0"/>
        </w:numPr>
        <w:snapToGrid w:val="0"/>
        <w:ind w:firstLine="480" w:firstLineChars="200"/>
        <w:rPr>
          <w:rFonts w:cs="Times New Roman"/>
          <w:color w:val="auto"/>
        </w:rPr>
      </w:pPr>
      <w:bookmarkStart w:id="56" w:name="_Toc2593"/>
      <w:bookmarkStart w:id="57" w:name="_Toc9085"/>
      <w:bookmarkStart w:id="58" w:name="_Toc491597225"/>
      <w:bookmarkStart w:id="59" w:name="_Toc455501982"/>
      <w:bookmarkStart w:id="60" w:name="_Toc8822"/>
      <w:r>
        <w:rPr>
          <w:rFonts w:cs="Times New Roman"/>
          <w:color w:val="auto"/>
        </w:rPr>
        <w:t>5.1.4施工</w:t>
      </w:r>
      <w:r>
        <w:rPr>
          <w:rFonts w:hint="eastAsia" w:cs="Times New Roman"/>
          <w:color w:val="auto"/>
        </w:rPr>
        <w:t>期</w:t>
      </w:r>
      <w:r>
        <w:rPr>
          <w:rFonts w:cs="Times New Roman"/>
          <w:color w:val="auto"/>
        </w:rPr>
        <w:t>噪声影响分析</w:t>
      </w:r>
      <w:bookmarkEnd w:id="56"/>
      <w:bookmarkEnd w:id="57"/>
      <w:bookmarkEnd w:id="58"/>
      <w:bookmarkEnd w:id="59"/>
      <w:bookmarkEnd w:id="60"/>
    </w:p>
    <w:p>
      <w:pPr>
        <w:snapToGrid w:val="0"/>
        <w:ind w:firstLine="480"/>
        <w:outlineLvl w:val="3"/>
        <w:rPr>
          <w:rFonts w:cs="Times New Roman"/>
          <w:color w:val="auto"/>
        </w:rPr>
      </w:pPr>
      <w:r>
        <w:rPr>
          <w:rFonts w:cs="Times New Roman"/>
          <w:color w:val="auto"/>
        </w:rPr>
        <w:t>1</w:t>
      </w:r>
      <w:r>
        <w:rPr>
          <w:rFonts w:hint="eastAsia" w:cs="Times New Roman"/>
          <w:color w:val="auto"/>
        </w:rPr>
        <w:t>.</w:t>
      </w:r>
      <w:r>
        <w:rPr>
          <w:rFonts w:cs="Times New Roman"/>
          <w:color w:val="auto"/>
        </w:rPr>
        <w:t>施工噪声源强</w:t>
      </w:r>
    </w:p>
    <w:p>
      <w:pPr>
        <w:snapToGrid w:val="0"/>
        <w:ind w:firstLine="500"/>
        <w:jc w:val="left"/>
        <w:rPr>
          <w:rFonts w:cs="Times New Roman"/>
          <w:color w:val="auto"/>
        </w:rPr>
      </w:pPr>
      <w:r>
        <w:rPr>
          <w:rFonts w:cs="Times New Roman"/>
          <w:color w:val="auto"/>
          <w:spacing w:val="5"/>
        </w:rPr>
        <w:t>施工期主要噪声源为施工机械的高噪声以及运输车辆的交通噪声，施工期噪声对施工现场人员及沿线附近的居民生活环境将产生一定的影响。本工程施工机械设备主要有压路机、搅拌机、装载机、推土机、拖拉机、打夯机、挖掘机、运输车辆等，噪声一般都在80～95dB之间。施工过程中，不同阶段会使用不同的机械设备，使现场产生具有强度较高、无规则、不连续等特点的噪声。施工机械噪声源强详见3.6-9。</w:t>
      </w:r>
    </w:p>
    <w:p>
      <w:pPr>
        <w:snapToGrid w:val="0"/>
        <w:ind w:firstLine="480"/>
        <w:outlineLvl w:val="3"/>
        <w:rPr>
          <w:rFonts w:cs="Times New Roman"/>
          <w:color w:val="auto"/>
        </w:rPr>
      </w:pPr>
      <w:r>
        <w:rPr>
          <w:rFonts w:cs="Times New Roman"/>
          <w:color w:val="auto"/>
        </w:rPr>
        <w:t>2</w:t>
      </w:r>
      <w:r>
        <w:rPr>
          <w:rFonts w:hint="eastAsia" w:cs="Times New Roman"/>
          <w:color w:val="auto"/>
        </w:rPr>
        <w:t>.</w:t>
      </w:r>
      <w:r>
        <w:rPr>
          <w:rFonts w:cs="Times New Roman"/>
          <w:color w:val="auto"/>
        </w:rPr>
        <w:t>预测模式</w:t>
      </w:r>
    </w:p>
    <w:p>
      <w:pPr>
        <w:ind w:firstLine="460"/>
        <w:rPr>
          <w:rFonts w:cs="Times New Roman"/>
          <w:color w:val="auto"/>
          <w:sz w:val="23"/>
          <w:szCs w:val="23"/>
        </w:rPr>
      </w:pPr>
      <w:r>
        <w:rPr>
          <w:rFonts w:cs="Times New Roman"/>
          <w:color w:val="auto"/>
          <w:sz w:val="23"/>
          <w:szCs w:val="23"/>
        </w:rPr>
        <w:t>根据《环境影响评价技术导则声环境》（HJ2.4-2021）的有关要求，拟采用下列预测公式计算点源产生的噪声。</w:t>
      </w:r>
    </w:p>
    <w:p>
      <w:pPr>
        <w:ind w:firstLine="0" w:firstLineChars="0"/>
        <w:jc w:val="center"/>
        <w:rPr>
          <w:rFonts w:cs="Times New Roman"/>
          <w:color w:val="auto"/>
          <w:sz w:val="23"/>
          <w:szCs w:val="23"/>
        </w:rPr>
      </w:pPr>
      <w:r>
        <w:rPr>
          <w:rFonts w:cs="Times New Roman"/>
          <w:color w:val="auto"/>
        </w:rPr>
        <w:drawing>
          <wp:inline distT="0" distB="0" distL="0" distR="0">
            <wp:extent cx="2987040" cy="6400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2987299" cy="640135"/>
                    </a:xfrm>
                    <a:prstGeom prst="rect">
                      <a:avLst/>
                    </a:prstGeom>
                  </pic:spPr>
                </pic:pic>
              </a:graphicData>
            </a:graphic>
          </wp:inline>
        </w:drawing>
      </w:r>
    </w:p>
    <w:p>
      <w:pPr>
        <w:autoSpaceDE w:val="0"/>
        <w:autoSpaceDN w:val="0"/>
        <w:adjustRightInd w:val="0"/>
        <w:snapToGrid w:val="0"/>
        <w:ind w:firstLine="0" w:firstLineChars="0"/>
        <w:jc w:val="left"/>
        <w:rPr>
          <w:rFonts w:cs="Times New Roman"/>
          <w:color w:val="auto"/>
          <w:kern w:val="0"/>
          <w:sz w:val="23"/>
          <w:szCs w:val="23"/>
        </w:rPr>
      </w:pPr>
      <w:r>
        <w:rPr>
          <w:rFonts w:cs="Times New Roman"/>
          <w:color w:val="auto"/>
          <w:kern w:val="0"/>
          <w:sz w:val="23"/>
          <w:szCs w:val="23"/>
        </w:rPr>
        <w:t>式中：L</w:t>
      </w:r>
      <w:r>
        <w:rPr>
          <w:rFonts w:cs="Times New Roman"/>
          <w:color w:val="auto"/>
          <w:kern w:val="0"/>
          <w:sz w:val="16"/>
          <w:szCs w:val="16"/>
        </w:rPr>
        <w:t>oct</w:t>
      </w:r>
      <w:r>
        <w:rPr>
          <w:rFonts w:cs="Times New Roman"/>
          <w:color w:val="auto"/>
          <w:kern w:val="0"/>
          <w:sz w:val="23"/>
          <w:szCs w:val="23"/>
        </w:rPr>
        <w:t>(r)——点声源在预测点产生的倍频带声压级；</w:t>
      </w:r>
    </w:p>
    <w:p>
      <w:pPr>
        <w:autoSpaceDE w:val="0"/>
        <w:autoSpaceDN w:val="0"/>
        <w:adjustRightInd w:val="0"/>
        <w:snapToGrid w:val="0"/>
        <w:ind w:firstLine="460"/>
        <w:rPr>
          <w:rFonts w:cs="Times New Roman"/>
          <w:color w:val="auto"/>
          <w:kern w:val="0"/>
          <w:sz w:val="23"/>
          <w:szCs w:val="23"/>
        </w:rPr>
      </w:pPr>
      <w:r>
        <w:rPr>
          <w:rFonts w:cs="Times New Roman"/>
          <w:color w:val="auto"/>
          <w:kern w:val="0"/>
          <w:sz w:val="23"/>
          <w:szCs w:val="23"/>
        </w:rPr>
        <w:t>L</w:t>
      </w:r>
      <w:r>
        <w:rPr>
          <w:rFonts w:cs="Times New Roman"/>
          <w:color w:val="auto"/>
          <w:kern w:val="0"/>
          <w:sz w:val="16"/>
          <w:szCs w:val="16"/>
        </w:rPr>
        <w:t>oct</w:t>
      </w:r>
      <w:r>
        <w:rPr>
          <w:rFonts w:cs="Times New Roman"/>
          <w:color w:val="auto"/>
          <w:kern w:val="0"/>
          <w:sz w:val="23"/>
          <w:szCs w:val="23"/>
        </w:rPr>
        <w:t>(r</w:t>
      </w:r>
      <w:r>
        <w:rPr>
          <w:rFonts w:cs="Times New Roman"/>
          <w:color w:val="auto"/>
          <w:kern w:val="0"/>
          <w:sz w:val="16"/>
          <w:szCs w:val="16"/>
        </w:rPr>
        <w:t>0</w:t>
      </w:r>
      <w:r>
        <w:rPr>
          <w:rFonts w:cs="Times New Roman"/>
          <w:color w:val="auto"/>
          <w:kern w:val="0"/>
          <w:sz w:val="23"/>
          <w:szCs w:val="23"/>
        </w:rPr>
        <w:t>)——参考位置r</w:t>
      </w:r>
      <w:r>
        <w:rPr>
          <w:rFonts w:cs="Times New Roman"/>
          <w:color w:val="auto"/>
          <w:kern w:val="0"/>
          <w:sz w:val="16"/>
          <w:szCs w:val="16"/>
        </w:rPr>
        <w:t>0</w:t>
      </w:r>
      <w:r>
        <w:rPr>
          <w:rFonts w:cs="Times New Roman"/>
          <w:color w:val="auto"/>
          <w:kern w:val="0"/>
          <w:sz w:val="23"/>
          <w:szCs w:val="23"/>
        </w:rPr>
        <w:t>处的倍频带声压级；</w:t>
      </w:r>
    </w:p>
    <w:p>
      <w:pPr>
        <w:autoSpaceDE w:val="0"/>
        <w:autoSpaceDN w:val="0"/>
        <w:adjustRightInd w:val="0"/>
        <w:snapToGrid w:val="0"/>
        <w:ind w:firstLine="460"/>
        <w:rPr>
          <w:rFonts w:cs="Times New Roman"/>
          <w:color w:val="auto"/>
          <w:kern w:val="0"/>
          <w:sz w:val="23"/>
          <w:szCs w:val="23"/>
        </w:rPr>
      </w:pPr>
      <w:r>
        <w:rPr>
          <w:rFonts w:cs="Times New Roman"/>
          <w:color w:val="auto"/>
          <w:kern w:val="0"/>
          <w:sz w:val="23"/>
          <w:szCs w:val="23"/>
        </w:rPr>
        <w:t>r——预测点距声源的距离，m；</w:t>
      </w:r>
    </w:p>
    <w:p>
      <w:pPr>
        <w:autoSpaceDE w:val="0"/>
        <w:autoSpaceDN w:val="0"/>
        <w:adjustRightInd w:val="0"/>
        <w:snapToGrid w:val="0"/>
        <w:ind w:firstLine="460"/>
        <w:rPr>
          <w:rFonts w:cs="Times New Roman"/>
          <w:color w:val="auto"/>
          <w:kern w:val="0"/>
          <w:sz w:val="23"/>
          <w:szCs w:val="23"/>
        </w:rPr>
      </w:pPr>
      <w:r>
        <w:rPr>
          <w:rFonts w:cs="Times New Roman"/>
          <w:color w:val="auto"/>
          <w:kern w:val="0"/>
          <w:sz w:val="23"/>
          <w:szCs w:val="23"/>
        </w:rPr>
        <w:t>r</w:t>
      </w:r>
      <w:r>
        <w:rPr>
          <w:rFonts w:cs="Times New Roman"/>
          <w:color w:val="auto"/>
          <w:kern w:val="0"/>
          <w:sz w:val="16"/>
          <w:szCs w:val="16"/>
        </w:rPr>
        <w:t>0</w:t>
      </w:r>
      <w:r>
        <w:rPr>
          <w:rFonts w:cs="Times New Roman"/>
          <w:color w:val="auto"/>
          <w:kern w:val="0"/>
          <w:sz w:val="23"/>
          <w:szCs w:val="23"/>
        </w:rPr>
        <w:t>——参考位置距声源的距离，m；</w:t>
      </w:r>
    </w:p>
    <w:p>
      <w:pPr>
        <w:adjustRightInd w:val="0"/>
        <w:snapToGrid w:val="0"/>
        <w:ind w:firstLine="460"/>
        <w:rPr>
          <w:rFonts w:cs="Times New Roman"/>
          <w:color w:val="auto"/>
          <w:sz w:val="23"/>
          <w:szCs w:val="23"/>
        </w:rPr>
      </w:pPr>
      <w:r>
        <w:rPr>
          <w:rFonts w:cs="Times New Roman"/>
          <w:color w:val="auto"/>
          <w:kern w:val="0"/>
          <w:sz w:val="23"/>
          <w:szCs w:val="23"/>
        </w:rPr>
        <w:t>ΔL</w:t>
      </w:r>
      <w:r>
        <w:rPr>
          <w:rFonts w:cs="Times New Roman"/>
          <w:color w:val="auto"/>
          <w:kern w:val="0"/>
          <w:sz w:val="16"/>
          <w:szCs w:val="16"/>
        </w:rPr>
        <w:t>oct</w:t>
      </w:r>
      <w:r>
        <w:rPr>
          <w:rFonts w:cs="Times New Roman"/>
          <w:color w:val="auto"/>
          <w:kern w:val="0"/>
          <w:sz w:val="23"/>
          <w:szCs w:val="23"/>
        </w:rPr>
        <w:t>——各种因素引起的衰减量（包括声屏障、遮挡物、空气吸收、地面效应等引起的衰减量，一般为8～25dB（A））。以最不利影响分析，不考虑衰减量</w:t>
      </w:r>
      <w:r>
        <w:rPr>
          <w:rFonts w:cs="Times New Roman"/>
          <w:color w:val="auto"/>
          <w:sz w:val="23"/>
          <w:szCs w:val="23"/>
        </w:rPr>
        <w:t>。</w:t>
      </w:r>
    </w:p>
    <w:p>
      <w:pPr>
        <w:snapToGrid w:val="0"/>
        <w:ind w:firstLine="480"/>
        <w:outlineLvl w:val="3"/>
        <w:rPr>
          <w:rFonts w:cs="Times New Roman"/>
          <w:color w:val="auto"/>
        </w:rPr>
      </w:pPr>
      <w:r>
        <w:rPr>
          <w:rFonts w:cs="Times New Roman"/>
          <w:color w:val="auto"/>
        </w:rPr>
        <w:t>3</w:t>
      </w:r>
      <w:r>
        <w:rPr>
          <w:rFonts w:hint="eastAsia" w:cs="Times New Roman"/>
          <w:color w:val="auto"/>
        </w:rPr>
        <w:t>.</w:t>
      </w:r>
      <w:r>
        <w:rPr>
          <w:rFonts w:cs="Times New Roman"/>
          <w:color w:val="auto"/>
        </w:rPr>
        <w:t>预测结果</w:t>
      </w:r>
    </w:p>
    <w:p>
      <w:pPr>
        <w:adjustRightInd w:val="0"/>
        <w:snapToGrid w:val="0"/>
        <w:ind w:firstLine="460"/>
        <w:rPr>
          <w:rFonts w:cs="Times New Roman"/>
          <w:color w:val="auto"/>
          <w:sz w:val="23"/>
          <w:szCs w:val="23"/>
        </w:rPr>
      </w:pPr>
      <w:r>
        <w:rPr>
          <w:rFonts w:cs="Times New Roman"/>
          <w:color w:val="auto"/>
          <w:sz w:val="23"/>
          <w:szCs w:val="23"/>
        </w:rPr>
        <w:t>在不采取防护措施的前提下，主要施工机械的峰值噪声在不同距离处的衰减声压级见下表5.1-1。</w:t>
      </w:r>
    </w:p>
    <w:p>
      <w:pPr>
        <w:adjustRightInd w:val="0"/>
        <w:snapToGrid w:val="0"/>
        <w:spacing w:line="240" w:lineRule="auto"/>
        <w:ind w:firstLine="0" w:firstLineChars="0"/>
        <w:jc w:val="center"/>
        <w:rPr>
          <w:rFonts w:cs="Times New Roman"/>
          <w:b/>
          <w:color w:val="auto"/>
          <w:sz w:val="22"/>
          <w:szCs w:val="23"/>
        </w:rPr>
      </w:pPr>
      <w:r>
        <w:rPr>
          <w:rFonts w:cs="Times New Roman"/>
          <w:b/>
          <w:color w:val="auto"/>
        </w:rPr>
        <w:t>表5.1-1  各类施工机械在不同距离处的噪声预测值</w:t>
      </w:r>
      <w:r>
        <w:rPr>
          <w:rFonts w:cs="Times New Roman"/>
          <w:b/>
          <w:color w:val="auto"/>
          <w:sz w:val="23"/>
          <w:szCs w:val="23"/>
        </w:rPr>
        <w:t xml:space="preserve">  </w:t>
      </w:r>
      <w:r>
        <w:rPr>
          <w:rFonts w:cs="Times New Roman"/>
          <w:b/>
          <w:color w:val="auto"/>
          <w:sz w:val="22"/>
          <w:szCs w:val="23"/>
        </w:rPr>
        <w:t>单位：dB（A）</w:t>
      </w:r>
    </w:p>
    <w:tbl>
      <w:tblPr>
        <w:tblStyle w:val="42"/>
        <w:tblW w:w="9498" w:type="dxa"/>
        <w:jc w:val="center"/>
        <w:tblLayout w:type="fixed"/>
        <w:tblCellMar>
          <w:top w:w="0" w:type="dxa"/>
          <w:left w:w="0" w:type="dxa"/>
          <w:bottom w:w="0" w:type="dxa"/>
          <w:right w:w="0" w:type="dxa"/>
        </w:tblCellMar>
      </w:tblPr>
      <w:tblGrid>
        <w:gridCol w:w="1543"/>
        <w:gridCol w:w="708"/>
        <w:gridCol w:w="706"/>
        <w:gridCol w:w="711"/>
        <w:gridCol w:w="708"/>
        <w:gridCol w:w="717"/>
        <w:gridCol w:w="850"/>
        <w:gridCol w:w="850"/>
        <w:gridCol w:w="566"/>
        <w:gridCol w:w="567"/>
        <w:gridCol w:w="668"/>
        <w:gridCol w:w="904"/>
      </w:tblGrid>
      <w:tr>
        <w:tblPrEx>
          <w:tblCellMar>
            <w:top w:w="0" w:type="dxa"/>
            <w:left w:w="0" w:type="dxa"/>
            <w:bottom w:w="0" w:type="dxa"/>
            <w:right w:w="0" w:type="dxa"/>
          </w:tblCellMar>
        </w:tblPrEx>
        <w:trPr>
          <w:trHeight w:val="566" w:hRule="exact"/>
          <w:tblHeader/>
          <w:jc w:val="center"/>
        </w:trPr>
        <w:tc>
          <w:tcPr>
            <w:tcW w:w="1543" w:type="dxa"/>
            <w:vMerge w:val="restart"/>
            <w:tcBorders>
              <w:top w:val="single" w:color="000000" w:sz="12" w:space="0"/>
              <w:left w:val="nil"/>
              <w:bottom w:val="single" w:color="000000" w:sz="10"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机械名称</w:t>
            </w:r>
          </w:p>
        </w:tc>
        <w:tc>
          <w:tcPr>
            <w:tcW w:w="5250" w:type="dxa"/>
            <w:gridSpan w:val="7"/>
            <w:tcBorders>
              <w:top w:val="single" w:color="000000" w:sz="12"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噪声预测值</w:t>
            </w:r>
          </w:p>
        </w:tc>
        <w:tc>
          <w:tcPr>
            <w:tcW w:w="1133" w:type="dxa"/>
            <w:gridSpan w:val="2"/>
            <w:tcBorders>
              <w:top w:val="single" w:color="000000" w:sz="12"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sz w:val="21"/>
                <w:szCs w:val="21"/>
              </w:rPr>
            </w:pPr>
            <w:r>
              <w:rPr>
                <w:rFonts w:cs="Times New Roman"/>
                <w:b/>
                <w:color w:val="auto"/>
                <w:sz w:val="21"/>
                <w:szCs w:val="21"/>
              </w:rPr>
              <w:t>达标值</w:t>
            </w:r>
          </w:p>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dB（A）</w:t>
            </w:r>
          </w:p>
        </w:tc>
        <w:tc>
          <w:tcPr>
            <w:tcW w:w="1572" w:type="dxa"/>
            <w:gridSpan w:val="2"/>
            <w:tcBorders>
              <w:top w:val="single" w:color="000000" w:sz="12" w:space="0"/>
              <w:left w:val="single" w:color="000000" w:sz="4" w:space="0"/>
              <w:bottom w:val="single" w:color="000000" w:sz="4" w:space="0"/>
              <w:right w:val="nil"/>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达标距离（m）</w:t>
            </w:r>
          </w:p>
        </w:tc>
      </w:tr>
      <w:tr>
        <w:tblPrEx>
          <w:tblCellMar>
            <w:top w:w="0" w:type="dxa"/>
            <w:left w:w="0" w:type="dxa"/>
            <w:bottom w:w="0" w:type="dxa"/>
            <w:right w:w="0" w:type="dxa"/>
          </w:tblCellMar>
        </w:tblPrEx>
        <w:trPr>
          <w:trHeight w:val="293" w:hRule="exact"/>
          <w:tblHeader/>
          <w:jc w:val="center"/>
        </w:trPr>
        <w:tc>
          <w:tcPr>
            <w:tcW w:w="1543" w:type="dxa"/>
            <w:vMerge w:val="continue"/>
            <w:tcBorders>
              <w:top w:val="single" w:color="000000" w:sz="10" w:space="0"/>
              <w:left w:val="nil"/>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p>
        </w:tc>
        <w:tc>
          <w:tcPr>
            <w:tcW w:w="708" w:type="dxa"/>
            <w:tcBorders>
              <w:top w:val="single" w:color="000000" w:sz="4" w:space="0"/>
              <w:left w:val="single" w:color="000000" w:sz="4" w:space="0"/>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10m</w:t>
            </w:r>
          </w:p>
        </w:tc>
        <w:tc>
          <w:tcPr>
            <w:tcW w:w="706" w:type="dxa"/>
            <w:tcBorders>
              <w:top w:val="single" w:color="000000" w:sz="4" w:space="0"/>
              <w:left w:val="single" w:color="000000" w:sz="4" w:space="0"/>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20m</w:t>
            </w:r>
          </w:p>
        </w:tc>
        <w:tc>
          <w:tcPr>
            <w:tcW w:w="711" w:type="dxa"/>
            <w:tcBorders>
              <w:top w:val="single" w:color="000000" w:sz="4" w:space="0"/>
              <w:left w:val="single" w:color="000000" w:sz="4" w:space="0"/>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40m</w:t>
            </w:r>
          </w:p>
        </w:tc>
        <w:tc>
          <w:tcPr>
            <w:tcW w:w="708" w:type="dxa"/>
            <w:tcBorders>
              <w:top w:val="single" w:color="000000" w:sz="4" w:space="0"/>
              <w:left w:val="single" w:color="000000" w:sz="4" w:space="0"/>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50m</w:t>
            </w:r>
          </w:p>
        </w:tc>
        <w:tc>
          <w:tcPr>
            <w:tcW w:w="717" w:type="dxa"/>
            <w:tcBorders>
              <w:top w:val="single" w:color="000000" w:sz="4" w:space="0"/>
              <w:left w:val="single" w:color="000000" w:sz="4" w:space="0"/>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100m</w:t>
            </w:r>
          </w:p>
        </w:tc>
        <w:tc>
          <w:tcPr>
            <w:tcW w:w="850" w:type="dxa"/>
            <w:tcBorders>
              <w:top w:val="single" w:color="000000" w:sz="4" w:space="0"/>
              <w:left w:val="single" w:color="000000" w:sz="4" w:space="0"/>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150m</w:t>
            </w:r>
          </w:p>
        </w:tc>
        <w:tc>
          <w:tcPr>
            <w:tcW w:w="850" w:type="dxa"/>
            <w:tcBorders>
              <w:top w:val="single" w:color="000000" w:sz="4" w:space="0"/>
              <w:left w:val="single" w:color="000000" w:sz="4" w:space="0"/>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200m</w:t>
            </w:r>
          </w:p>
        </w:tc>
        <w:tc>
          <w:tcPr>
            <w:tcW w:w="566" w:type="dxa"/>
            <w:tcBorders>
              <w:top w:val="single" w:color="000000" w:sz="4" w:space="0"/>
              <w:left w:val="single" w:color="000000" w:sz="4" w:space="0"/>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70</w:t>
            </w:r>
          </w:p>
        </w:tc>
        <w:tc>
          <w:tcPr>
            <w:tcW w:w="567" w:type="dxa"/>
            <w:tcBorders>
              <w:top w:val="single" w:color="000000" w:sz="4" w:space="0"/>
              <w:left w:val="single" w:color="000000" w:sz="4" w:space="0"/>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55</w:t>
            </w:r>
          </w:p>
        </w:tc>
        <w:tc>
          <w:tcPr>
            <w:tcW w:w="668" w:type="dxa"/>
            <w:tcBorders>
              <w:top w:val="single" w:color="000000" w:sz="4" w:space="0"/>
              <w:left w:val="single" w:color="000000" w:sz="4" w:space="0"/>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昼间</w:t>
            </w:r>
          </w:p>
        </w:tc>
        <w:tc>
          <w:tcPr>
            <w:tcW w:w="904" w:type="dxa"/>
            <w:tcBorders>
              <w:top w:val="single" w:color="000000" w:sz="4" w:space="0"/>
              <w:left w:val="single" w:color="000000" w:sz="4" w:space="0"/>
              <w:bottom w:val="single" w:color="000000" w:sz="12" w:space="0"/>
              <w:right w:val="nil"/>
            </w:tcBorders>
            <w:vAlign w:val="center"/>
          </w:tcPr>
          <w:p>
            <w:pPr>
              <w:kinsoku w:val="0"/>
              <w:overflowPunct w:val="0"/>
              <w:snapToGrid w:val="0"/>
              <w:spacing w:line="240" w:lineRule="auto"/>
              <w:ind w:firstLine="0" w:firstLineChars="0"/>
              <w:jc w:val="center"/>
              <w:rPr>
                <w:rFonts w:cs="Times New Roman"/>
                <w:b/>
                <w:color w:val="auto"/>
              </w:rPr>
            </w:pPr>
            <w:r>
              <w:rPr>
                <w:rFonts w:cs="Times New Roman"/>
                <w:b/>
                <w:color w:val="auto"/>
                <w:sz w:val="21"/>
                <w:szCs w:val="21"/>
              </w:rPr>
              <w:t>夜间</w:t>
            </w:r>
          </w:p>
        </w:tc>
      </w:tr>
      <w:tr>
        <w:tblPrEx>
          <w:tblCellMar>
            <w:top w:w="0" w:type="dxa"/>
            <w:left w:w="0" w:type="dxa"/>
            <w:bottom w:w="0" w:type="dxa"/>
            <w:right w:w="0" w:type="dxa"/>
          </w:tblCellMar>
        </w:tblPrEx>
        <w:trPr>
          <w:trHeight w:val="293" w:hRule="exact"/>
          <w:jc w:val="center"/>
        </w:trPr>
        <w:tc>
          <w:tcPr>
            <w:tcW w:w="1543" w:type="dxa"/>
            <w:tcBorders>
              <w:top w:val="single" w:color="000000" w:sz="12" w:space="0"/>
              <w:left w:val="nil"/>
              <w:bottom w:val="single" w:color="000000" w:sz="4" w:space="0"/>
              <w:right w:val="single" w:color="000000" w:sz="4" w:space="0"/>
            </w:tcBorders>
            <w:vAlign w:val="center"/>
          </w:tcPr>
          <w:p>
            <w:pPr>
              <w:widowControl/>
              <w:adjustRightInd w:val="0"/>
              <w:snapToGrid w:val="0"/>
              <w:spacing w:line="240" w:lineRule="auto"/>
              <w:ind w:firstLine="0" w:firstLineChars="0"/>
              <w:jc w:val="center"/>
              <w:rPr>
                <w:rFonts w:cs="Times New Roman"/>
                <w:color w:val="auto"/>
                <w:kern w:val="0"/>
                <w:sz w:val="21"/>
                <w:szCs w:val="21"/>
              </w:rPr>
            </w:pPr>
            <w:r>
              <w:rPr>
                <w:rFonts w:cs="Times New Roman"/>
                <w:color w:val="auto"/>
                <w:sz w:val="21"/>
                <w:szCs w:val="21"/>
              </w:rPr>
              <w:t>压路机</w:t>
            </w:r>
          </w:p>
        </w:tc>
        <w:tc>
          <w:tcPr>
            <w:tcW w:w="708" w:type="dxa"/>
            <w:tcBorders>
              <w:top w:val="single" w:color="000000" w:sz="12"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60</w:t>
            </w:r>
          </w:p>
        </w:tc>
        <w:tc>
          <w:tcPr>
            <w:tcW w:w="706" w:type="dxa"/>
            <w:tcBorders>
              <w:top w:val="single" w:color="000000" w:sz="12"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 xml:space="preserve">54 </w:t>
            </w:r>
          </w:p>
        </w:tc>
        <w:tc>
          <w:tcPr>
            <w:tcW w:w="711" w:type="dxa"/>
            <w:tcBorders>
              <w:top w:val="single" w:color="000000" w:sz="12"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 xml:space="preserve">48 </w:t>
            </w:r>
          </w:p>
        </w:tc>
        <w:tc>
          <w:tcPr>
            <w:tcW w:w="708" w:type="dxa"/>
            <w:tcBorders>
              <w:top w:val="single" w:color="000000" w:sz="12"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 xml:space="preserve">46 </w:t>
            </w:r>
          </w:p>
        </w:tc>
        <w:tc>
          <w:tcPr>
            <w:tcW w:w="717" w:type="dxa"/>
            <w:tcBorders>
              <w:top w:val="single" w:color="000000" w:sz="12"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 xml:space="preserve">40 </w:t>
            </w:r>
          </w:p>
        </w:tc>
        <w:tc>
          <w:tcPr>
            <w:tcW w:w="850" w:type="dxa"/>
            <w:tcBorders>
              <w:top w:val="single" w:color="000000" w:sz="12"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 xml:space="preserve">36 </w:t>
            </w:r>
          </w:p>
        </w:tc>
        <w:tc>
          <w:tcPr>
            <w:tcW w:w="850" w:type="dxa"/>
            <w:tcBorders>
              <w:top w:val="single" w:color="000000" w:sz="12"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 xml:space="preserve">34 </w:t>
            </w:r>
          </w:p>
        </w:tc>
        <w:tc>
          <w:tcPr>
            <w:tcW w:w="566" w:type="dxa"/>
            <w:tcBorders>
              <w:top w:val="single" w:color="000000" w:sz="12"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12"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12"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 xml:space="preserve">3 </w:t>
            </w:r>
          </w:p>
        </w:tc>
        <w:tc>
          <w:tcPr>
            <w:tcW w:w="904" w:type="dxa"/>
            <w:tcBorders>
              <w:top w:val="single" w:color="000000" w:sz="12"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18</w:t>
            </w:r>
          </w:p>
        </w:tc>
      </w:tr>
      <w:tr>
        <w:tblPrEx>
          <w:tblCellMar>
            <w:top w:w="0" w:type="dxa"/>
            <w:left w:w="0" w:type="dxa"/>
            <w:bottom w:w="0" w:type="dxa"/>
            <w:right w:w="0" w:type="dxa"/>
          </w:tblCellMar>
        </w:tblPrEx>
        <w:trPr>
          <w:trHeight w:val="281"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交流电焊机</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60</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54</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48</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46</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40</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36</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34</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18</w:t>
            </w:r>
          </w:p>
        </w:tc>
      </w:tr>
      <w:tr>
        <w:tblPrEx>
          <w:tblCellMar>
            <w:top w:w="0" w:type="dxa"/>
            <w:left w:w="0" w:type="dxa"/>
            <w:bottom w:w="0" w:type="dxa"/>
            <w:right w:w="0" w:type="dxa"/>
          </w:tblCellMar>
        </w:tblPrEx>
        <w:trPr>
          <w:trHeight w:val="283"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自卸汽车</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70</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64</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58</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56</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50</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46</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44</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10</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56</w:t>
            </w:r>
          </w:p>
        </w:tc>
      </w:tr>
      <w:tr>
        <w:tblPrEx>
          <w:tblCellMar>
            <w:top w:w="0" w:type="dxa"/>
            <w:left w:w="0" w:type="dxa"/>
            <w:bottom w:w="0" w:type="dxa"/>
            <w:right w:w="0" w:type="dxa"/>
          </w:tblCellMar>
        </w:tblPrEx>
        <w:trPr>
          <w:trHeight w:val="281"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水泵</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65</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59</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53</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51</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45</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41</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39</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32</w:t>
            </w:r>
          </w:p>
        </w:tc>
      </w:tr>
      <w:tr>
        <w:tblPrEx>
          <w:tblCellMar>
            <w:top w:w="0" w:type="dxa"/>
            <w:left w:w="0" w:type="dxa"/>
            <w:bottom w:w="0" w:type="dxa"/>
            <w:right w:w="0" w:type="dxa"/>
          </w:tblCellMar>
        </w:tblPrEx>
        <w:trPr>
          <w:trHeight w:val="284"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砼搅拌机</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65</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59</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53</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51</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45</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41</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39</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32</w:t>
            </w:r>
          </w:p>
        </w:tc>
      </w:tr>
      <w:tr>
        <w:tblPrEx>
          <w:tblCellMar>
            <w:top w:w="0" w:type="dxa"/>
            <w:left w:w="0" w:type="dxa"/>
            <w:bottom w:w="0" w:type="dxa"/>
            <w:right w:w="0" w:type="dxa"/>
          </w:tblCellMar>
        </w:tblPrEx>
        <w:trPr>
          <w:trHeight w:val="283"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拖拉机</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65</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59</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53</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51</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45</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41</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39</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32</w:t>
            </w:r>
          </w:p>
        </w:tc>
      </w:tr>
      <w:tr>
        <w:tblPrEx>
          <w:tblCellMar>
            <w:top w:w="0" w:type="dxa"/>
            <w:left w:w="0" w:type="dxa"/>
            <w:bottom w:w="0" w:type="dxa"/>
            <w:right w:w="0" w:type="dxa"/>
          </w:tblCellMar>
        </w:tblPrEx>
        <w:trPr>
          <w:trHeight w:val="281"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推土机</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65</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59</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53</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51</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45</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41</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39</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 xml:space="preserve">6 </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32</w:t>
            </w:r>
          </w:p>
        </w:tc>
      </w:tr>
      <w:tr>
        <w:tblPrEx>
          <w:tblCellMar>
            <w:top w:w="0" w:type="dxa"/>
            <w:left w:w="0" w:type="dxa"/>
            <w:bottom w:w="0" w:type="dxa"/>
            <w:right w:w="0" w:type="dxa"/>
          </w:tblCellMar>
        </w:tblPrEx>
        <w:trPr>
          <w:trHeight w:val="283"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eastAsia="等线" w:cs="Times New Roman"/>
                <w:color w:val="auto"/>
                <w:sz w:val="21"/>
                <w:szCs w:val="21"/>
              </w:rPr>
            </w:pPr>
            <w:r>
              <w:rPr>
                <w:rFonts w:eastAsia="等线" w:cs="Times New Roman"/>
                <w:color w:val="auto"/>
                <w:sz w:val="21"/>
                <w:szCs w:val="21"/>
              </w:rPr>
              <w:t>3m</w:t>
            </w:r>
            <w:r>
              <w:rPr>
                <w:rFonts w:eastAsia="等线" w:cs="Times New Roman"/>
                <w:color w:val="auto"/>
                <w:sz w:val="21"/>
                <w:szCs w:val="21"/>
                <w:vertAlign w:val="superscript"/>
              </w:rPr>
              <w:t>3</w:t>
            </w:r>
            <w:r>
              <w:rPr>
                <w:rFonts w:cs="Times New Roman"/>
                <w:color w:val="auto"/>
                <w:sz w:val="21"/>
                <w:szCs w:val="21"/>
              </w:rPr>
              <w:t>挖掘机</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75</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69</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63</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61</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55</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51</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49</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18</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100</w:t>
            </w:r>
          </w:p>
        </w:tc>
      </w:tr>
      <w:tr>
        <w:tblPrEx>
          <w:tblCellMar>
            <w:top w:w="0" w:type="dxa"/>
            <w:left w:w="0" w:type="dxa"/>
            <w:bottom w:w="0" w:type="dxa"/>
            <w:right w:w="0" w:type="dxa"/>
          </w:tblCellMar>
        </w:tblPrEx>
        <w:trPr>
          <w:trHeight w:val="283"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eastAsia="等线" w:cs="Times New Roman"/>
                <w:color w:val="auto"/>
                <w:sz w:val="21"/>
                <w:szCs w:val="21"/>
              </w:rPr>
            </w:pPr>
            <w:r>
              <w:rPr>
                <w:rFonts w:eastAsia="等线" w:cs="Times New Roman"/>
                <w:color w:val="auto"/>
                <w:sz w:val="21"/>
                <w:szCs w:val="21"/>
              </w:rPr>
              <w:t>1m</w:t>
            </w:r>
            <w:r>
              <w:rPr>
                <w:rFonts w:eastAsia="等线" w:cs="Times New Roman"/>
                <w:color w:val="auto"/>
                <w:sz w:val="21"/>
                <w:szCs w:val="21"/>
                <w:vertAlign w:val="superscript"/>
              </w:rPr>
              <w:t>3</w:t>
            </w:r>
            <w:r>
              <w:rPr>
                <w:rFonts w:cs="Times New Roman"/>
                <w:color w:val="auto"/>
                <w:sz w:val="21"/>
                <w:szCs w:val="21"/>
              </w:rPr>
              <w:t>挖掘机</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75</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69</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63</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61</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55</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51</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49</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18</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100</w:t>
            </w:r>
          </w:p>
        </w:tc>
      </w:tr>
      <w:tr>
        <w:tblPrEx>
          <w:tblCellMar>
            <w:top w:w="0" w:type="dxa"/>
            <w:left w:w="0" w:type="dxa"/>
            <w:bottom w:w="0" w:type="dxa"/>
            <w:right w:w="0" w:type="dxa"/>
          </w:tblCellMar>
        </w:tblPrEx>
        <w:trPr>
          <w:trHeight w:val="281"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手风钻</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60</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54</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48</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46</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40</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36</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34</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18</w:t>
            </w:r>
          </w:p>
        </w:tc>
      </w:tr>
      <w:tr>
        <w:tblPrEx>
          <w:tblCellMar>
            <w:top w:w="0" w:type="dxa"/>
            <w:left w:w="0" w:type="dxa"/>
            <w:bottom w:w="0" w:type="dxa"/>
            <w:right w:w="0" w:type="dxa"/>
          </w:tblCellMar>
        </w:tblPrEx>
        <w:trPr>
          <w:trHeight w:val="283"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装载机</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60</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54</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48</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46</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40</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36</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34</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18</w:t>
            </w:r>
          </w:p>
        </w:tc>
      </w:tr>
      <w:tr>
        <w:tblPrEx>
          <w:tblCellMar>
            <w:top w:w="0" w:type="dxa"/>
            <w:left w:w="0" w:type="dxa"/>
            <w:bottom w:w="0" w:type="dxa"/>
            <w:right w:w="0" w:type="dxa"/>
          </w:tblCellMar>
        </w:tblPrEx>
        <w:trPr>
          <w:trHeight w:val="283"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地质钻机</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70</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64</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58</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56</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50</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46</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44</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10</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56</w:t>
            </w:r>
          </w:p>
        </w:tc>
      </w:tr>
      <w:tr>
        <w:tblPrEx>
          <w:tblCellMar>
            <w:top w:w="0" w:type="dxa"/>
            <w:left w:w="0" w:type="dxa"/>
            <w:bottom w:w="0" w:type="dxa"/>
            <w:right w:w="0" w:type="dxa"/>
          </w:tblCellMar>
        </w:tblPrEx>
        <w:trPr>
          <w:trHeight w:val="281"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蛙式打夯机</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65</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59</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53</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51</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45</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41</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39</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32</w:t>
            </w:r>
          </w:p>
        </w:tc>
      </w:tr>
      <w:tr>
        <w:tblPrEx>
          <w:tblCellMar>
            <w:top w:w="0" w:type="dxa"/>
            <w:left w:w="0" w:type="dxa"/>
            <w:bottom w:w="0" w:type="dxa"/>
            <w:right w:w="0" w:type="dxa"/>
          </w:tblCellMar>
        </w:tblPrEx>
        <w:trPr>
          <w:trHeight w:val="283"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插入式振捣器</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65</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59</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53</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51</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45</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41</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39</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32</w:t>
            </w:r>
          </w:p>
        </w:tc>
      </w:tr>
      <w:tr>
        <w:tblPrEx>
          <w:tblCellMar>
            <w:top w:w="0" w:type="dxa"/>
            <w:left w:w="0" w:type="dxa"/>
            <w:bottom w:w="0" w:type="dxa"/>
            <w:right w:w="0" w:type="dxa"/>
          </w:tblCellMar>
        </w:tblPrEx>
        <w:trPr>
          <w:trHeight w:val="283" w:hRule="exact"/>
          <w:jc w:val="center"/>
        </w:trPr>
        <w:tc>
          <w:tcPr>
            <w:tcW w:w="1543" w:type="dxa"/>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振动碾</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60</w:t>
            </w:r>
          </w:p>
        </w:tc>
        <w:tc>
          <w:tcPr>
            <w:tcW w:w="706"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54</w:t>
            </w:r>
          </w:p>
        </w:tc>
        <w:tc>
          <w:tcPr>
            <w:tcW w:w="711"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48</w:t>
            </w:r>
          </w:p>
        </w:tc>
        <w:tc>
          <w:tcPr>
            <w:tcW w:w="70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46</w:t>
            </w:r>
          </w:p>
        </w:tc>
        <w:tc>
          <w:tcPr>
            <w:tcW w:w="717"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40</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36</w:t>
            </w:r>
          </w:p>
        </w:tc>
        <w:tc>
          <w:tcPr>
            <w:tcW w:w="850"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34</w:t>
            </w:r>
          </w:p>
        </w:tc>
        <w:tc>
          <w:tcPr>
            <w:tcW w:w="566"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4"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4"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w:t>
            </w:r>
          </w:p>
        </w:tc>
        <w:tc>
          <w:tcPr>
            <w:tcW w:w="904" w:type="dxa"/>
            <w:tcBorders>
              <w:top w:val="single" w:color="000000" w:sz="4" w:space="0"/>
              <w:left w:val="single" w:color="000000" w:sz="4" w:space="0"/>
              <w:bottom w:val="single" w:color="000000" w:sz="4"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18</w:t>
            </w:r>
          </w:p>
        </w:tc>
      </w:tr>
      <w:tr>
        <w:tblPrEx>
          <w:tblCellMar>
            <w:top w:w="0" w:type="dxa"/>
            <w:left w:w="0" w:type="dxa"/>
            <w:bottom w:w="0" w:type="dxa"/>
            <w:right w:w="0" w:type="dxa"/>
          </w:tblCellMar>
        </w:tblPrEx>
        <w:trPr>
          <w:trHeight w:val="293" w:hRule="exact"/>
          <w:jc w:val="center"/>
        </w:trPr>
        <w:tc>
          <w:tcPr>
            <w:tcW w:w="1543" w:type="dxa"/>
            <w:tcBorders>
              <w:top w:val="single" w:color="000000" w:sz="4" w:space="0"/>
              <w:left w:val="nil"/>
              <w:bottom w:val="single" w:color="000000" w:sz="12" w:space="0"/>
              <w:right w:val="single" w:color="000000" w:sz="4" w:space="0"/>
            </w:tcBorders>
            <w:vAlign w:val="center"/>
          </w:tcPr>
          <w:p>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砂浆拌合机</w:t>
            </w:r>
          </w:p>
        </w:tc>
        <w:tc>
          <w:tcPr>
            <w:tcW w:w="708" w:type="dxa"/>
            <w:tcBorders>
              <w:top w:val="single" w:color="000000" w:sz="4" w:space="0"/>
              <w:left w:val="single" w:color="000000" w:sz="4" w:space="0"/>
              <w:bottom w:val="single" w:color="000000" w:sz="12"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65</w:t>
            </w:r>
          </w:p>
        </w:tc>
        <w:tc>
          <w:tcPr>
            <w:tcW w:w="706" w:type="dxa"/>
            <w:tcBorders>
              <w:top w:val="single" w:color="000000" w:sz="4" w:space="0"/>
              <w:left w:val="single" w:color="000000" w:sz="4" w:space="0"/>
              <w:bottom w:val="single" w:color="000000" w:sz="12"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59</w:t>
            </w:r>
          </w:p>
        </w:tc>
        <w:tc>
          <w:tcPr>
            <w:tcW w:w="711" w:type="dxa"/>
            <w:tcBorders>
              <w:top w:val="single" w:color="000000" w:sz="4" w:space="0"/>
              <w:left w:val="single" w:color="000000" w:sz="4" w:space="0"/>
              <w:bottom w:val="single" w:color="000000" w:sz="12"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53</w:t>
            </w:r>
          </w:p>
        </w:tc>
        <w:tc>
          <w:tcPr>
            <w:tcW w:w="708" w:type="dxa"/>
            <w:tcBorders>
              <w:top w:val="single" w:color="000000" w:sz="4" w:space="0"/>
              <w:left w:val="single" w:color="000000" w:sz="4" w:space="0"/>
              <w:bottom w:val="single" w:color="000000" w:sz="12"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51</w:t>
            </w:r>
          </w:p>
        </w:tc>
        <w:tc>
          <w:tcPr>
            <w:tcW w:w="717" w:type="dxa"/>
            <w:tcBorders>
              <w:top w:val="single" w:color="000000" w:sz="4" w:space="0"/>
              <w:left w:val="single" w:color="000000" w:sz="4" w:space="0"/>
              <w:bottom w:val="single" w:color="000000" w:sz="12"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45</w:t>
            </w:r>
          </w:p>
        </w:tc>
        <w:tc>
          <w:tcPr>
            <w:tcW w:w="850" w:type="dxa"/>
            <w:tcBorders>
              <w:top w:val="single" w:color="000000" w:sz="4" w:space="0"/>
              <w:left w:val="single" w:color="000000" w:sz="4" w:space="0"/>
              <w:bottom w:val="single" w:color="000000" w:sz="12"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41</w:t>
            </w:r>
          </w:p>
        </w:tc>
        <w:tc>
          <w:tcPr>
            <w:tcW w:w="850" w:type="dxa"/>
            <w:tcBorders>
              <w:top w:val="single" w:color="000000" w:sz="4" w:space="0"/>
              <w:left w:val="single" w:color="000000" w:sz="4" w:space="0"/>
              <w:bottom w:val="single" w:color="000000" w:sz="12"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39</w:t>
            </w:r>
          </w:p>
        </w:tc>
        <w:tc>
          <w:tcPr>
            <w:tcW w:w="566" w:type="dxa"/>
            <w:tcBorders>
              <w:top w:val="single" w:color="000000" w:sz="4" w:space="0"/>
              <w:left w:val="single" w:color="000000" w:sz="4" w:space="0"/>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70</w:t>
            </w:r>
          </w:p>
        </w:tc>
        <w:tc>
          <w:tcPr>
            <w:tcW w:w="567" w:type="dxa"/>
            <w:tcBorders>
              <w:top w:val="single" w:color="000000" w:sz="4" w:space="0"/>
              <w:left w:val="single" w:color="000000" w:sz="4" w:space="0"/>
              <w:bottom w:val="single" w:color="000000" w:sz="12" w:space="0"/>
              <w:right w:val="single" w:color="000000" w:sz="4" w:space="0"/>
            </w:tcBorders>
            <w:vAlign w:val="center"/>
          </w:tcPr>
          <w:p>
            <w:pPr>
              <w:kinsoku w:val="0"/>
              <w:overflowPunct w:val="0"/>
              <w:snapToGrid w:val="0"/>
              <w:spacing w:line="240" w:lineRule="auto"/>
              <w:ind w:firstLine="0" w:firstLineChars="0"/>
              <w:jc w:val="center"/>
              <w:rPr>
                <w:rFonts w:cs="Times New Roman"/>
                <w:color w:val="auto"/>
              </w:rPr>
            </w:pPr>
            <w:r>
              <w:rPr>
                <w:rFonts w:cs="Times New Roman"/>
                <w:color w:val="auto"/>
                <w:sz w:val="21"/>
                <w:szCs w:val="21"/>
              </w:rPr>
              <w:t>55</w:t>
            </w:r>
          </w:p>
        </w:tc>
        <w:tc>
          <w:tcPr>
            <w:tcW w:w="668" w:type="dxa"/>
            <w:tcBorders>
              <w:top w:val="single" w:color="000000" w:sz="4" w:space="0"/>
              <w:left w:val="single" w:color="000000" w:sz="4" w:space="0"/>
              <w:bottom w:val="single" w:color="000000" w:sz="12" w:space="0"/>
              <w:right w:val="single" w:color="000000" w:sz="4" w:space="0"/>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6</w:t>
            </w:r>
          </w:p>
        </w:tc>
        <w:tc>
          <w:tcPr>
            <w:tcW w:w="904" w:type="dxa"/>
            <w:tcBorders>
              <w:top w:val="single" w:color="000000" w:sz="4" w:space="0"/>
              <w:left w:val="single" w:color="000000" w:sz="4" w:space="0"/>
              <w:bottom w:val="single" w:color="000000" w:sz="12" w:space="0"/>
              <w:right w:val="nil"/>
            </w:tcBorders>
            <w:vAlign w:val="bottom"/>
          </w:tcPr>
          <w:p>
            <w:pPr>
              <w:kinsoku w:val="0"/>
              <w:overflowPunct w:val="0"/>
              <w:snapToGrid w:val="0"/>
              <w:spacing w:line="240" w:lineRule="auto"/>
              <w:ind w:firstLine="0" w:firstLineChars="0"/>
              <w:jc w:val="center"/>
              <w:rPr>
                <w:rFonts w:cs="Times New Roman"/>
                <w:color w:val="auto"/>
                <w:sz w:val="21"/>
                <w:szCs w:val="21"/>
              </w:rPr>
            </w:pPr>
            <w:r>
              <w:rPr>
                <w:rFonts w:cs="Times New Roman"/>
                <w:color w:val="auto"/>
                <w:sz w:val="21"/>
                <w:szCs w:val="21"/>
              </w:rPr>
              <w:t>32</w:t>
            </w:r>
          </w:p>
        </w:tc>
      </w:tr>
    </w:tbl>
    <w:p>
      <w:pPr>
        <w:ind w:firstLine="480"/>
        <w:outlineLvl w:val="3"/>
        <w:rPr>
          <w:rFonts w:cs="Times New Roman"/>
          <w:color w:val="auto"/>
        </w:rPr>
      </w:pPr>
      <w:r>
        <w:rPr>
          <w:rFonts w:cs="Times New Roman"/>
          <w:color w:val="auto"/>
        </w:rPr>
        <w:t>4</w:t>
      </w:r>
      <w:r>
        <w:rPr>
          <w:rFonts w:hint="eastAsia" w:cs="Times New Roman"/>
          <w:color w:val="auto"/>
        </w:rPr>
        <w:t>.</w:t>
      </w:r>
      <w:r>
        <w:rPr>
          <w:rFonts w:cs="Times New Roman"/>
          <w:color w:val="auto"/>
        </w:rPr>
        <w:t>声环境影响评价</w:t>
      </w:r>
    </w:p>
    <w:p>
      <w:pPr>
        <w:snapToGrid w:val="0"/>
        <w:ind w:firstLine="480"/>
        <w:rPr>
          <w:rFonts w:cs="Times New Roman"/>
          <w:color w:val="auto"/>
        </w:rPr>
      </w:pPr>
      <w:r>
        <w:rPr>
          <w:rFonts w:cs="Times New Roman"/>
          <w:color w:val="auto"/>
        </w:rPr>
        <w:t>由上表计算结果可知，施工机械噪声在无遮挡情况下，如果使用单台机械，对环境的最大影响范围为白天18m，夜间100m，在此距离之外可满足《建筑施工场界环境噪声排放标准》（GB12523-2011）的要求。</w:t>
      </w:r>
    </w:p>
    <w:p>
      <w:pPr>
        <w:snapToGrid w:val="0"/>
        <w:ind w:firstLine="480"/>
        <w:rPr>
          <w:rFonts w:cs="Times New Roman"/>
          <w:color w:val="auto"/>
        </w:rPr>
      </w:pPr>
      <w:r>
        <w:rPr>
          <w:rFonts w:cs="Times New Roman"/>
          <w:color w:val="auto"/>
        </w:rPr>
        <w:t>施工区域周边分布有居民，将不可避免受到本项目施工噪声的影响，因此，必须严格采取措施，最大限度地降低施工噪声对环境保护目标的影响。施工单位严格落实降噪措施后，可以削减噪声约5~10dB（A）左右，夜间不施工可以避免夜间噪声影响，施工期施工噪声能够满足《建筑施工场界环境噪声排放标准》（GB12523-2011）中噪声限值要求，同时不造成敏感点噪声超标，避免对周围居民产生扰民现象。总之，施工期噪声对周边环境敏感点的影响是短暂的，随着工程竣工，施工噪声的影响将不再存在。</w:t>
      </w:r>
    </w:p>
    <w:p>
      <w:pPr>
        <w:pStyle w:val="4"/>
        <w:numPr>
          <w:ilvl w:val="2"/>
          <w:numId w:val="0"/>
        </w:numPr>
        <w:snapToGrid w:val="0"/>
        <w:ind w:firstLine="480" w:firstLineChars="200"/>
        <w:rPr>
          <w:rFonts w:cs="Times New Roman"/>
          <w:color w:val="auto"/>
        </w:rPr>
      </w:pPr>
      <w:bookmarkStart w:id="61" w:name="_Toc455501983"/>
      <w:bookmarkStart w:id="62" w:name="_Toc1079"/>
      <w:bookmarkStart w:id="63" w:name="_Toc21659"/>
      <w:bookmarkStart w:id="64" w:name="_Toc491597226"/>
      <w:bookmarkStart w:id="65" w:name="_Toc31458"/>
      <w:r>
        <w:rPr>
          <w:rFonts w:cs="Times New Roman"/>
          <w:color w:val="auto"/>
        </w:rPr>
        <w:t>5.1.5施工期固废环境影响分析</w:t>
      </w:r>
      <w:bookmarkEnd w:id="61"/>
      <w:bookmarkEnd w:id="62"/>
      <w:bookmarkEnd w:id="63"/>
      <w:bookmarkEnd w:id="64"/>
      <w:bookmarkEnd w:id="65"/>
    </w:p>
    <w:p>
      <w:pPr>
        <w:snapToGrid w:val="0"/>
        <w:ind w:firstLine="480"/>
        <w:rPr>
          <w:rFonts w:cs="Times New Roman"/>
          <w:color w:val="auto"/>
        </w:rPr>
      </w:pPr>
      <w:r>
        <w:rPr>
          <w:rFonts w:cs="Times New Roman"/>
          <w:color w:val="auto"/>
        </w:rPr>
        <w:t>施工期固体废物包括：工程开挖产生的弃土、施工人员的生活垃圾等。</w:t>
      </w:r>
    </w:p>
    <w:p>
      <w:pPr>
        <w:snapToGrid w:val="0"/>
        <w:ind w:firstLine="480"/>
        <w:outlineLvl w:val="3"/>
        <w:rPr>
          <w:rFonts w:cs="Times New Roman"/>
          <w:color w:val="auto"/>
        </w:rPr>
      </w:pPr>
      <w:r>
        <w:rPr>
          <w:rFonts w:cs="Times New Roman"/>
          <w:color w:val="auto"/>
        </w:rPr>
        <w:t>1</w:t>
      </w:r>
      <w:r>
        <w:rPr>
          <w:rFonts w:hint="eastAsia" w:cs="Times New Roman"/>
          <w:color w:val="auto"/>
        </w:rPr>
        <w:t>.</w:t>
      </w:r>
      <w:r>
        <w:rPr>
          <w:rFonts w:cs="Times New Roman"/>
          <w:color w:val="auto"/>
        </w:rPr>
        <w:t>弃土石渣</w:t>
      </w:r>
    </w:p>
    <w:p>
      <w:pPr>
        <w:snapToGrid w:val="0"/>
        <w:ind w:firstLine="480"/>
        <w:rPr>
          <w:rFonts w:cs="Times New Roman"/>
          <w:color w:val="auto"/>
        </w:rPr>
      </w:pPr>
      <w:r>
        <w:rPr>
          <w:rFonts w:cs="Times New Roman"/>
          <w:color w:val="auto"/>
        </w:rPr>
        <w:t>本工程剩余开挖料</w:t>
      </w:r>
      <w:r>
        <w:rPr>
          <w:rFonts w:hint="eastAsia" w:cs="Times New Roman"/>
          <w:color w:val="auto"/>
          <w:lang w:val="en-US" w:eastAsia="zh-CN"/>
        </w:rPr>
        <w:t>77448.68</w:t>
      </w:r>
      <w:r>
        <w:rPr>
          <w:rFonts w:cs="Times New Roman"/>
          <w:color w:val="auto"/>
        </w:rPr>
        <w:t>m</w:t>
      </w:r>
      <w:r>
        <w:rPr>
          <w:rFonts w:cs="Times New Roman"/>
          <w:color w:val="auto"/>
          <w:vertAlign w:val="superscript"/>
        </w:rPr>
        <w:t>3</w:t>
      </w:r>
      <w:r>
        <w:rPr>
          <w:rFonts w:cs="Times New Roman"/>
          <w:color w:val="auto"/>
        </w:rPr>
        <w:t>。设计临时堆土场</w:t>
      </w:r>
      <w:r>
        <w:rPr>
          <w:rFonts w:hint="eastAsia" w:cs="Times New Roman"/>
          <w:color w:val="auto"/>
          <w:lang w:val="en-US" w:eastAsia="zh-CN"/>
        </w:rPr>
        <w:t>16</w:t>
      </w:r>
      <w:r>
        <w:rPr>
          <w:rFonts w:cs="Times New Roman"/>
          <w:color w:val="auto"/>
        </w:rPr>
        <w:t>处，其中：一般开挖土方堆土场</w:t>
      </w:r>
      <w:r>
        <w:rPr>
          <w:rFonts w:hint="eastAsia" w:cs="Times New Roman"/>
          <w:color w:val="auto"/>
          <w:lang w:val="en-US" w:eastAsia="zh-CN"/>
        </w:rPr>
        <w:t>8</w:t>
      </w:r>
      <w:r>
        <w:rPr>
          <w:rFonts w:cs="Times New Roman"/>
          <w:color w:val="auto"/>
        </w:rPr>
        <w:t>处，表土堆土场</w:t>
      </w:r>
      <w:r>
        <w:rPr>
          <w:rFonts w:hint="eastAsia" w:cs="Times New Roman"/>
          <w:color w:val="auto"/>
          <w:lang w:val="en-US" w:eastAsia="zh-CN"/>
        </w:rPr>
        <w:t>8处</w:t>
      </w:r>
      <w:r>
        <w:rPr>
          <w:rFonts w:hint="eastAsia" w:cs="Times New Roman"/>
          <w:color w:val="auto"/>
          <w:lang w:eastAsia="zh-CN"/>
        </w:rPr>
        <w:t>，</w:t>
      </w:r>
      <w:r>
        <w:rPr>
          <w:rFonts w:hint="eastAsia" w:cs="Times New Roman"/>
          <w:color w:val="auto"/>
        </w:rPr>
        <w:t>弃土石渣全部用于场地回填平整</w:t>
      </w:r>
      <w:r>
        <w:rPr>
          <w:rFonts w:hint="eastAsia" w:cs="Times New Roman"/>
          <w:color w:val="auto"/>
          <w:lang w:eastAsia="zh-CN"/>
        </w:rPr>
        <w:t>，项目施工完毕后，对临时堆土场区进行恢复，进行土地平整并撒播草进行绿化</w:t>
      </w:r>
      <w:r>
        <w:rPr>
          <w:rFonts w:hint="eastAsia"/>
          <w:color w:val="auto"/>
          <w:sz w:val="23"/>
          <w:szCs w:val="23"/>
        </w:rPr>
        <w:t>。</w:t>
      </w:r>
    </w:p>
    <w:p>
      <w:pPr>
        <w:snapToGrid w:val="0"/>
        <w:ind w:firstLine="480"/>
        <w:outlineLvl w:val="3"/>
        <w:rPr>
          <w:rFonts w:cs="Times New Roman"/>
          <w:color w:val="auto"/>
        </w:rPr>
      </w:pPr>
      <w:r>
        <w:rPr>
          <w:rFonts w:hint="eastAsia" w:cs="Times New Roman"/>
          <w:color w:val="auto"/>
          <w:lang w:val="en-US" w:eastAsia="zh-CN"/>
        </w:rPr>
        <w:t>2</w:t>
      </w:r>
      <w:r>
        <w:rPr>
          <w:rFonts w:hint="eastAsia" w:cs="Times New Roman"/>
          <w:color w:val="auto"/>
        </w:rPr>
        <w:t>.</w:t>
      </w:r>
      <w:r>
        <w:rPr>
          <w:rFonts w:cs="Times New Roman"/>
          <w:color w:val="auto"/>
        </w:rPr>
        <w:t>生活垃圾</w:t>
      </w:r>
    </w:p>
    <w:p>
      <w:pPr>
        <w:snapToGrid w:val="0"/>
        <w:ind w:firstLine="480"/>
        <w:rPr>
          <w:rFonts w:cs="Times New Roman"/>
          <w:color w:val="auto"/>
        </w:rPr>
      </w:pPr>
      <w:r>
        <w:rPr>
          <w:rFonts w:cs="Times New Roman"/>
          <w:color w:val="auto"/>
        </w:rPr>
        <w:t>施工期预计垃圾产生量为25.5t，</w:t>
      </w:r>
      <w:r>
        <w:rPr>
          <w:rFonts w:cs="Times New Roman"/>
          <w:color w:val="auto"/>
        </w:rPr>
        <w:t>集中收集，交由当地的生活垃圾清运系统统一清运至垃圾填埋场处置。施工营地内设置相应的分类垃圾箱，生活垃圾经分类收集后，暂存于分类垃圾箱内，指派专门负责收集清运。经采取上述措施后，本项目产生的生活垃圾不会对周围环境产生影响。</w:t>
      </w:r>
    </w:p>
    <w:p>
      <w:pPr>
        <w:pStyle w:val="4"/>
        <w:numPr>
          <w:ilvl w:val="2"/>
          <w:numId w:val="0"/>
        </w:numPr>
        <w:snapToGrid w:val="0"/>
        <w:ind w:firstLine="480" w:firstLineChars="200"/>
        <w:rPr>
          <w:rFonts w:cs="Times New Roman"/>
          <w:color w:val="auto"/>
        </w:rPr>
      </w:pPr>
      <w:r>
        <w:rPr>
          <w:rFonts w:cs="Times New Roman"/>
          <w:color w:val="auto"/>
        </w:rPr>
        <w:t>5.1.6施工</w:t>
      </w:r>
      <w:r>
        <w:rPr>
          <w:rFonts w:hint="eastAsia" w:cs="Times New Roman"/>
          <w:color w:val="auto"/>
        </w:rPr>
        <w:t>期</w:t>
      </w:r>
      <w:r>
        <w:rPr>
          <w:rFonts w:cs="Times New Roman"/>
          <w:color w:val="auto"/>
        </w:rPr>
        <w:t>生态环境影响分析</w:t>
      </w:r>
    </w:p>
    <w:p>
      <w:pPr>
        <w:snapToGrid w:val="0"/>
        <w:ind w:firstLine="480"/>
        <w:rPr>
          <w:rFonts w:cs="Times New Roman"/>
          <w:color w:val="auto"/>
        </w:rPr>
      </w:pPr>
      <w:r>
        <w:rPr>
          <w:rFonts w:cs="Times New Roman"/>
          <w:color w:val="auto"/>
        </w:rPr>
        <w:t>本项目对生态环境影响有直接影响和间接影响、有利影响和不利影响、长期影响和短期影响之分。施工期对生态环境的影响最为严重，主要以直接、不利和短期影响为主，营运期为有利影响为主。</w:t>
      </w:r>
    </w:p>
    <w:p>
      <w:pPr>
        <w:snapToGrid w:val="0"/>
        <w:ind w:firstLine="480"/>
        <w:outlineLvl w:val="3"/>
        <w:rPr>
          <w:rFonts w:cs="Times New Roman"/>
          <w:color w:val="auto"/>
        </w:rPr>
      </w:pPr>
      <w:r>
        <w:rPr>
          <w:rFonts w:hint="eastAsia" w:cs="Times New Roman"/>
          <w:color w:val="auto"/>
        </w:rPr>
        <w:t>1.水土流失影响</w:t>
      </w:r>
    </w:p>
    <w:p>
      <w:pPr>
        <w:snapToGrid w:val="0"/>
        <w:ind w:firstLine="480"/>
        <w:rPr>
          <w:rFonts w:cs="Times New Roman"/>
          <w:color w:val="auto"/>
        </w:rPr>
      </w:pPr>
      <w:r>
        <w:rPr>
          <w:rFonts w:cs="Times New Roman"/>
          <w:color w:val="auto"/>
        </w:rPr>
        <w:t>（1）水土流失影响分析</w:t>
      </w:r>
    </w:p>
    <w:p>
      <w:pPr>
        <w:snapToGrid w:val="0"/>
        <w:ind w:firstLine="480"/>
        <w:rPr>
          <w:rFonts w:cs="Times New Roman"/>
          <w:color w:val="auto"/>
        </w:rPr>
      </w:pPr>
      <w:r>
        <w:rPr>
          <w:rFonts w:cs="Times New Roman"/>
          <w:color w:val="auto"/>
        </w:rPr>
        <w:t>水土流失对项目区当地的生态环境、生活环境、经济发展都会造成极大的危害。主要体现在：</w:t>
      </w:r>
    </w:p>
    <w:p>
      <w:pPr>
        <w:snapToGrid w:val="0"/>
        <w:ind w:firstLine="480"/>
        <w:rPr>
          <w:rFonts w:cs="Times New Roman"/>
          <w:color w:val="auto"/>
        </w:rPr>
      </w:pPr>
      <w:r>
        <w:rPr>
          <w:rFonts w:hint="eastAsia" w:cs="Times New Roman"/>
          <w:color w:val="auto"/>
        </w:rPr>
        <w:t>①</w:t>
      </w:r>
      <w:r>
        <w:rPr>
          <w:rFonts w:cs="Times New Roman"/>
          <w:color w:val="auto"/>
        </w:rPr>
        <w:t>项目建设对原生地貌产生破坏、植物损毁，使其截留降水、涵蓄水分、滞缓径流、固土拦泥的作用降低，降低土壤的抗侵蚀能力，造成水土保持功能下降，加剧水土流失，造成水土资源浪费。</w:t>
      </w:r>
    </w:p>
    <w:p>
      <w:pPr>
        <w:snapToGrid w:val="0"/>
        <w:ind w:firstLine="480"/>
        <w:rPr>
          <w:rFonts w:cs="Times New Roman"/>
          <w:color w:val="auto"/>
        </w:rPr>
      </w:pPr>
      <w:r>
        <w:rPr>
          <w:rFonts w:hint="eastAsia" w:cs="Times New Roman"/>
          <w:color w:val="auto"/>
        </w:rPr>
        <w:t>②</w:t>
      </w:r>
      <w:r>
        <w:rPr>
          <w:rFonts w:cs="Times New Roman"/>
          <w:color w:val="auto"/>
        </w:rPr>
        <w:t>工程施工形成大量的松散土方，在大风作用下可能形成扬尘，造成面源污染；松散土方的临时堆放期间如不采取水土流失防治措施，在暴雨径流作用下，极易引发水土流失。</w:t>
      </w:r>
    </w:p>
    <w:p>
      <w:pPr>
        <w:snapToGrid w:val="0"/>
        <w:ind w:firstLine="480"/>
        <w:rPr>
          <w:rFonts w:cs="Times New Roman"/>
          <w:color w:val="auto"/>
        </w:rPr>
      </w:pPr>
      <w:r>
        <w:rPr>
          <w:rFonts w:hint="eastAsia" w:cs="Times New Roman"/>
          <w:color w:val="auto"/>
        </w:rPr>
        <w:t>③</w:t>
      </w:r>
      <w:r>
        <w:rPr>
          <w:rFonts w:cs="Times New Roman"/>
          <w:color w:val="auto"/>
        </w:rPr>
        <w:t>项目施工期间土方挖工程量较大，若不采取有效的水土保持措施，恶劣天气或工况条件下容易造成边坡冲刷、土方淤积、场地积水等情况，影响主体工程施工安全及进度。</w:t>
      </w:r>
    </w:p>
    <w:p>
      <w:pPr>
        <w:snapToGrid w:val="0"/>
        <w:ind w:firstLine="480"/>
        <w:rPr>
          <w:rFonts w:cs="Times New Roman"/>
          <w:color w:val="auto"/>
        </w:rPr>
      </w:pPr>
      <w:r>
        <w:rPr>
          <w:rFonts w:cs="Times New Roman"/>
          <w:color w:val="auto"/>
        </w:rPr>
        <w:t>因此，必须注重减少因项目建设造成的人为水土流失，在项目开发建设的同时有效的保护项目区的自然环境。</w:t>
      </w:r>
    </w:p>
    <w:p>
      <w:pPr>
        <w:snapToGrid w:val="0"/>
        <w:ind w:firstLine="480"/>
        <w:outlineLvl w:val="3"/>
        <w:rPr>
          <w:rFonts w:cs="Times New Roman"/>
          <w:color w:val="auto"/>
        </w:rPr>
      </w:pPr>
      <w:r>
        <w:rPr>
          <w:rFonts w:hint="eastAsia" w:cs="Times New Roman"/>
          <w:color w:val="auto"/>
        </w:rPr>
        <w:t>2.陆生植物影响分析</w:t>
      </w:r>
    </w:p>
    <w:p>
      <w:pPr>
        <w:snapToGrid w:val="0"/>
        <w:ind w:firstLine="480"/>
        <w:rPr>
          <w:rFonts w:cs="Times New Roman"/>
          <w:color w:val="auto"/>
        </w:rPr>
      </w:pPr>
      <w:r>
        <w:rPr>
          <w:rFonts w:cs="Times New Roman"/>
          <w:color w:val="auto"/>
        </w:rPr>
        <w:t>根据调查的结果，</w:t>
      </w:r>
      <w:r>
        <w:rPr>
          <w:rFonts w:cs="Times New Roman"/>
          <w:color w:val="auto"/>
        </w:rPr>
        <w:t>项目占地范围内的植被以</w:t>
      </w:r>
      <w:r>
        <w:rPr>
          <w:rFonts w:hint="eastAsia" w:cs="Times New Roman"/>
          <w:color w:val="auto"/>
          <w:lang w:val="en-US" w:eastAsia="zh-CN"/>
        </w:rPr>
        <w:t>河滩地</w:t>
      </w:r>
      <w:r>
        <w:rPr>
          <w:rFonts w:cs="Times New Roman"/>
          <w:color w:val="auto"/>
        </w:rPr>
        <w:t>地、</w:t>
      </w:r>
      <w:r>
        <w:rPr>
          <w:rFonts w:hint="eastAsia" w:cs="Times New Roman"/>
          <w:color w:val="auto"/>
          <w:lang w:val="en-US" w:eastAsia="zh-CN"/>
        </w:rPr>
        <w:t>林地</w:t>
      </w:r>
      <w:r>
        <w:rPr>
          <w:rFonts w:cs="Times New Roman"/>
          <w:color w:val="auto"/>
        </w:rPr>
        <w:t>为主，</w:t>
      </w:r>
      <w:r>
        <w:rPr>
          <w:rFonts w:cs="Times New Roman"/>
          <w:color w:val="auto"/>
        </w:rPr>
        <w:t>人工培育植物物种占据绝对优势，在路旁、田间可常见杂草物种。在本次现场踏勘过程中，生态环境评价范围内没有发现有受国家和地方保护的珍稀野生植物物种。因此，项目建设造成植被面积损失对植物物种的影响主要是造成其数量上的减少，并不会导致物种的消失，不会对区域内植物资源和植物物种多样性产生明显的不良影响，亦不会对植物种类及其分布造成不利影响。</w:t>
      </w:r>
    </w:p>
    <w:p>
      <w:pPr>
        <w:snapToGrid w:val="0"/>
        <w:ind w:firstLine="480"/>
        <w:rPr>
          <w:rFonts w:cs="Times New Roman"/>
          <w:color w:val="auto"/>
        </w:rPr>
      </w:pPr>
      <w:r>
        <w:rPr>
          <w:rFonts w:hint="eastAsia" w:cs="Times New Roman"/>
          <w:color w:val="auto"/>
        </w:rPr>
        <w:t>从现状调查情况可知，项目区域直接影响区域主要</w:t>
      </w:r>
      <w:r>
        <w:rPr>
          <w:rFonts w:hint="eastAsia" w:cs="Times New Roman"/>
          <w:color w:val="auto"/>
          <w:lang w:val="en-US" w:eastAsia="zh-CN"/>
        </w:rPr>
        <w:t>河滩地、林地</w:t>
      </w:r>
      <w:r>
        <w:rPr>
          <w:rFonts w:cs="Times New Roman"/>
          <w:color w:val="auto"/>
        </w:rPr>
        <w:t>为主</w:t>
      </w:r>
      <w:r>
        <w:rPr>
          <w:rFonts w:hint="eastAsia" w:cs="Times New Roman"/>
          <w:color w:val="auto"/>
        </w:rPr>
        <w:t>，</w:t>
      </w:r>
      <w:r>
        <w:rPr>
          <w:rFonts w:hint="eastAsia" w:cs="Times New Roman"/>
          <w:color w:val="auto"/>
        </w:rPr>
        <w:t>较少成片的林地，因此工程损毁植被面积较少。对于临时占地，如施工便道、施工场所等，工程结束后将逐步恢复植被。因此，工程建设对区域植被影响较小。</w:t>
      </w:r>
    </w:p>
    <w:p>
      <w:pPr>
        <w:snapToGrid w:val="0"/>
        <w:ind w:firstLine="480"/>
        <w:outlineLvl w:val="3"/>
        <w:rPr>
          <w:rFonts w:cs="Times New Roman"/>
          <w:color w:val="auto"/>
        </w:rPr>
      </w:pPr>
      <w:r>
        <w:rPr>
          <w:rFonts w:hint="eastAsia" w:cs="Times New Roman"/>
          <w:color w:val="auto"/>
        </w:rPr>
        <w:t>3</w:t>
      </w:r>
      <w:r>
        <w:rPr>
          <w:rFonts w:cs="Times New Roman"/>
          <w:color w:val="auto"/>
        </w:rPr>
        <w:t>.</w:t>
      </w:r>
      <w:r>
        <w:rPr>
          <w:rFonts w:hint="eastAsia" w:cs="Times New Roman"/>
          <w:color w:val="auto"/>
        </w:rPr>
        <w:t>陆生动物影响分析</w:t>
      </w:r>
    </w:p>
    <w:p>
      <w:pPr>
        <w:snapToGrid w:val="0"/>
        <w:ind w:firstLine="480"/>
        <w:rPr>
          <w:rFonts w:cs="Times New Roman"/>
          <w:color w:val="auto"/>
        </w:rPr>
      </w:pPr>
      <w:r>
        <w:rPr>
          <w:rFonts w:cs="Times New Roman"/>
          <w:color w:val="auto"/>
        </w:rPr>
        <w:t>工程沿线野生动物主要为老鼠、麻雀、燕子等，群落结构与物种组成较为简单。已无珍稀特有野生动物。</w:t>
      </w:r>
    </w:p>
    <w:p>
      <w:pPr>
        <w:snapToGrid w:val="0"/>
        <w:ind w:firstLine="480"/>
        <w:rPr>
          <w:rFonts w:cs="Times New Roman"/>
          <w:color w:val="auto"/>
        </w:rPr>
      </w:pPr>
      <w:r>
        <w:rPr>
          <w:rFonts w:cs="Times New Roman"/>
          <w:color w:val="auto"/>
        </w:rPr>
        <w:t>施工期对野生动物的影响主要表现为：施工人员的施工活动、生活活动对动物栖息地生境的干扰和破坏，施工机械噪声对动物的干扰。</w:t>
      </w:r>
    </w:p>
    <w:p>
      <w:pPr>
        <w:snapToGrid w:val="0"/>
        <w:ind w:firstLine="480"/>
        <w:rPr>
          <w:rFonts w:cs="Times New Roman"/>
          <w:color w:val="auto"/>
        </w:rPr>
      </w:pPr>
      <w:r>
        <w:rPr>
          <w:rFonts w:cs="Times New Roman"/>
          <w:color w:val="auto"/>
        </w:rPr>
        <w:t>工程占地缩小了野生动物的栖息空间，阻隔了部分野生动物的活动区域、迁移途径、觅食范围等，从而对动物的生存产生一定的影响。由于评价区植被类型基本一致，变化不大，在大的尺度上具有相同的生境，因此评价区内有许多动物的替代生境，动物比较容易找到栖息场所，当植被恢复后，它们仍可回到原来的领域。</w:t>
      </w:r>
    </w:p>
    <w:p>
      <w:pPr>
        <w:snapToGrid w:val="0"/>
        <w:ind w:firstLine="480"/>
        <w:rPr>
          <w:rFonts w:cs="Times New Roman"/>
          <w:color w:val="auto"/>
        </w:rPr>
      </w:pPr>
      <w:r>
        <w:rPr>
          <w:rFonts w:cs="Times New Roman"/>
          <w:color w:val="auto"/>
        </w:rPr>
        <w:t>施工人员集中施工和机械噪声对鸟类的影响较大，这些动物在施工期间将被迫向远离施工范围的地区迁移，但这种影响仅限于施工期。</w:t>
      </w:r>
    </w:p>
    <w:p>
      <w:pPr>
        <w:snapToGrid w:val="0"/>
        <w:ind w:firstLine="480"/>
        <w:rPr>
          <w:rFonts w:cs="Times New Roman"/>
          <w:color w:val="auto"/>
        </w:rPr>
      </w:pPr>
      <w:r>
        <w:rPr>
          <w:rFonts w:cs="Times New Roman"/>
          <w:color w:val="auto"/>
        </w:rPr>
        <w:t>项目施工范围小，工程建设影响的范围不大且影响时间短，因此对野生动物不会造成大的影响。</w:t>
      </w:r>
    </w:p>
    <w:p>
      <w:pPr>
        <w:snapToGrid w:val="0"/>
        <w:ind w:firstLine="480"/>
        <w:outlineLvl w:val="3"/>
        <w:rPr>
          <w:rFonts w:cs="Times New Roman"/>
          <w:color w:val="auto"/>
        </w:rPr>
      </w:pPr>
      <w:r>
        <w:rPr>
          <w:rFonts w:hint="eastAsia" w:cs="Times New Roman"/>
          <w:color w:val="auto"/>
        </w:rPr>
        <w:t>4.水生生物影响分析</w:t>
      </w:r>
    </w:p>
    <w:p>
      <w:pPr>
        <w:snapToGrid w:val="0"/>
        <w:ind w:firstLine="480"/>
        <w:rPr>
          <w:rFonts w:cs="Times New Roman"/>
          <w:color w:val="auto"/>
        </w:rPr>
      </w:pPr>
      <w:r>
        <w:rPr>
          <w:rFonts w:hint="eastAsia" w:cs="Times New Roman"/>
          <w:color w:val="auto"/>
        </w:rPr>
        <w:t>（</w:t>
      </w:r>
      <w:r>
        <w:rPr>
          <w:rFonts w:cs="Times New Roman"/>
          <w:color w:val="auto"/>
        </w:rPr>
        <w:t>1</w:t>
      </w:r>
      <w:r>
        <w:rPr>
          <w:rFonts w:hint="eastAsia" w:cs="Times New Roman"/>
          <w:color w:val="auto"/>
        </w:rPr>
        <w:t>）对水生生境的影响</w:t>
      </w:r>
    </w:p>
    <w:p>
      <w:pPr>
        <w:snapToGrid w:val="0"/>
        <w:ind w:firstLine="480"/>
        <w:rPr>
          <w:rFonts w:cs="Times New Roman"/>
          <w:color w:val="auto"/>
        </w:rPr>
      </w:pPr>
      <w:r>
        <w:rPr>
          <w:rFonts w:hint="eastAsia" w:cs="Times New Roman"/>
          <w:color w:val="auto"/>
        </w:rPr>
        <w:t>根据工程内容，本项目施工过程中</w:t>
      </w:r>
      <w:r>
        <w:rPr>
          <w:rFonts w:hint="eastAsia" w:cs="Times New Roman"/>
          <w:color w:val="auto"/>
          <w:lang w:val="en-US" w:eastAsia="zh-CN"/>
        </w:rPr>
        <w:t>生态</w:t>
      </w:r>
      <w:r>
        <w:rPr>
          <w:rFonts w:hint="eastAsia" w:cs="Times New Roman"/>
          <w:color w:val="auto"/>
        </w:rPr>
        <w:t>护岸工程对水生生境的影响较大。护岸施工过程会占压河床底质，使河道近岸部分区域的水生生物栖息环境受到一定影响；清淤工程会对水体进行直接扰动，改变水生生物栖息环境。</w:t>
      </w:r>
    </w:p>
    <w:p>
      <w:pPr>
        <w:snapToGrid w:val="0"/>
        <w:ind w:firstLine="480"/>
        <w:rPr>
          <w:rFonts w:cs="Times New Roman"/>
          <w:color w:val="auto"/>
        </w:rPr>
      </w:pPr>
      <w:r>
        <w:rPr>
          <w:rFonts w:hint="eastAsia" w:cs="Times New Roman"/>
          <w:color w:val="auto"/>
        </w:rPr>
        <w:t>这些工程施工时会造成工程区局部悬浮物浓度增加，水体透明度下降，底栖生物损失，鱼类栖息、活动受干扰等影响。由于工程分散分布，分段施工，施工期对水生境的总体影响较小。工程运行期，底栖生物的栖息环境得到逐步恢复，对水生生境的稳定和改善产生一定积极作用。</w:t>
      </w:r>
    </w:p>
    <w:p>
      <w:pPr>
        <w:snapToGrid w:val="0"/>
        <w:ind w:firstLine="480"/>
        <w:rPr>
          <w:rFonts w:cs="Times New Roman"/>
          <w:color w:val="auto"/>
        </w:rPr>
      </w:pPr>
      <w:r>
        <w:rPr>
          <w:rFonts w:hint="eastAsia" w:cs="Times New Roman"/>
          <w:color w:val="auto"/>
        </w:rPr>
        <w:t>（</w:t>
      </w:r>
      <w:r>
        <w:rPr>
          <w:rFonts w:cs="Times New Roman"/>
          <w:color w:val="auto"/>
        </w:rPr>
        <w:t>2</w:t>
      </w:r>
      <w:r>
        <w:rPr>
          <w:rFonts w:hint="eastAsia" w:cs="Times New Roman"/>
          <w:color w:val="auto"/>
        </w:rPr>
        <w:t>）对浮游植物的影响</w:t>
      </w:r>
    </w:p>
    <w:p>
      <w:pPr>
        <w:snapToGrid w:val="0"/>
        <w:ind w:firstLine="480"/>
        <w:rPr>
          <w:rFonts w:cs="Times New Roman"/>
          <w:color w:val="auto"/>
        </w:rPr>
      </w:pPr>
      <w:r>
        <w:rPr>
          <w:rFonts w:hint="eastAsia" w:cs="Times New Roman"/>
          <w:color w:val="auto"/>
        </w:rPr>
        <w:t>浮游植物的产量（初级生产力）决定着植食性浮游动物的产量（次级生产力），而后者又决定着小型鱼类的产量（</w:t>
      </w:r>
      <w:r>
        <w:rPr>
          <w:rFonts w:cs="Times New Roman"/>
          <w:color w:val="auto"/>
        </w:rPr>
        <w:t>3</w:t>
      </w:r>
      <w:r>
        <w:rPr>
          <w:rFonts w:hint="eastAsia" w:cs="Times New Roman"/>
          <w:color w:val="auto"/>
        </w:rPr>
        <w:t>级生产力）和大型鱼类的产量（终级生产力）。因此，浮游植物初级生产力是水体生物生产力基础，是水生态系统食物网的结构和功能的基础环节，不但要为鱼类直接和间接提供天然活饵料，而且还是水体溶氧的主要制造者。</w:t>
      </w:r>
    </w:p>
    <w:p>
      <w:pPr>
        <w:snapToGrid w:val="0"/>
        <w:ind w:firstLine="480"/>
        <w:rPr>
          <w:rFonts w:cs="Times New Roman"/>
          <w:color w:val="auto"/>
        </w:rPr>
      </w:pPr>
      <w:r>
        <w:rPr>
          <w:rFonts w:hint="eastAsia" w:cs="Times New Roman"/>
          <w:color w:val="auto"/>
        </w:rPr>
        <w:t>本项目对河道采取生态修复工程，会对水体产生一定的扰动。施工点沿岸线形成一定宽幅的浑浊带，水体含沙量明显增加，水体透明度下降，改变了水下的光照条件，若浓度过大，改变水生生物的生存条件，也有可能会影响到工程近岸水域浮游植物的光合作用，并影响到藻类的种类组成和群落结构，进而影响以浮游植物为食的浮游动物的丰度，间接影响桡足类和枝角类浮游动物的摄食率，最终影响其发育和变态。</w:t>
      </w:r>
    </w:p>
    <w:p>
      <w:pPr>
        <w:snapToGrid w:val="0"/>
        <w:ind w:firstLine="480"/>
        <w:rPr>
          <w:rFonts w:cs="Times New Roman"/>
          <w:color w:val="auto"/>
        </w:rPr>
      </w:pPr>
      <w:r>
        <w:rPr>
          <w:rFonts w:hint="eastAsia" w:cs="Times New Roman"/>
          <w:color w:val="auto"/>
        </w:rPr>
        <w:t>由于工程分散分段实施，水域悬浮物浓度增加量相对较小，该部分增加的悬浮物引起水体透明度和水质的长时间变化有限，属局部暂时性、可逆影响。工程运行后，水利工程设施投入使用，岸带附近水域逐渐恢复正常水平，硅藻、绿藻，蓝藻等种类组成格局随之逐步恢复。</w:t>
      </w:r>
    </w:p>
    <w:p>
      <w:pPr>
        <w:pStyle w:val="7"/>
        <w:kinsoku w:val="0"/>
        <w:overflowPunct w:val="0"/>
        <w:snapToGrid w:val="0"/>
        <w:spacing w:after="0"/>
        <w:ind w:firstLine="480"/>
        <w:rPr>
          <w:rFonts w:cs="Times New Roman"/>
          <w:color w:val="auto"/>
        </w:rPr>
      </w:pPr>
      <w:r>
        <w:rPr>
          <w:rFonts w:hint="eastAsia" w:cs="Times New Roman"/>
          <w:color w:val="auto"/>
        </w:rPr>
        <w:t>（</w:t>
      </w:r>
      <w:r>
        <w:rPr>
          <w:rFonts w:cs="Times New Roman"/>
          <w:color w:val="auto"/>
        </w:rPr>
        <w:t>3</w:t>
      </w:r>
      <w:r>
        <w:rPr>
          <w:rFonts w:hint="eastAsia" w:cs="Times New Roman"/>
          <w:color w:val="auto"/>
        </w:rPr>
        <w:t>）对浮游动物的影响</w:t>
      </w:r>
    </w:p>
    <w:p>
      <w:pPr>
        <w:pStyle w:val="7"/>
        <w:kinsoku w:val="0"/>
        <w:overflowPunct w:val="0"/>
        <w:snapToGrid w:val="0"/>
        <w:spacing w:after="0"/>
        <w:ind w:firstLine="480"/>
        <w:rPr>
          <w:color w:val="auto"/>
        </w:rPr>
      </w:pPr>
      <w:r>
        <w:rPr>
          <w:rFonts w:hint="eastAsia" w:cs="Times New Roman"/>
          <w:color w:val="auto"/>
        </w:rPr>
        <w:t>水体中浮游植物是鱼、虾、贝类等水产生物的饵料基础，也是水域中次级生产力</w:t>
      </w:r>
      <w:r>
        <w:rPr>
          <w:rFonts w:hint="eastAsia"/>
          <w:color w:val="auto"/>
        </w:rPr>
        <w:t>浮游动物的饵料。施工期间因悬浮物增加，浮游植物生物量的降低，必然会一定程度上减少浮游动物的数量和生物量，并影响浮游动物的摄食率，最终影响其繁殖、发育和变态，进而对局部区域内渔业资源产生一定的影响。</w:t>
      </w:r>
    </w:p>
    <w:p>
      <w:pPr>
        <w:pStyle w:val="7"/>
        <w:kinsoku w:val="0"/>
        <w:overflowPunct w:val="0"/>
        <w:snapToGrid w:val="0"/>
        <w:spacing w:after="0"/>
        <w:ind w:firstLine="480"/>
        <w:rPr>
          <w:color w:val="auto"/>
        </w:rPr>
      </w:pPr>
      <w:r>
        <w:rPr>
          <w:rFonts w:hint="eastAsia"/>
          <w:color w:val="auto"/>
        </w:rPr>
        <w:t>工程施工对水体的扰动使局部水域中浮游动物的种类组成数、密度和生物量有所降低，进而导致浮游动物优势种类发生转变，群落多样性降低，但这种影响是暂时的，是可逆的，施工期结束后，水体中浮游动物密度和生物量将逐渐恢复。</w:t>
      </w:r>
    </w:p>
    <w:p>
      <w:pPr>
        <w:pStyle w:val="7"/>
        <w:kinsoku w:val="0"/>
        <w:overflowPunct w:val="0"/>
        <w:snapToGrid w:val="0"/>
        <w:spacing w:after="0"/>
        <w:ind w:right="176" w:firstLine="480"/>
        <w:rPr>
          <w:color w:val="auto"/>
        </w:rPr>
      </w:pPr>
      <w:r>
        <w:rPr>
          <w:rFonts w:hint="eastAsia"/>
          <w:color w:val="auto"/>
        </w:rPr>
        <w:t>施工结束后，水质改善，水体透明度增加、表层水温增加，在一定程度上有利于原生动物、轮虫及浮游甲壳动物的繁殖，浮游动物的种群结构将发生变化，水体中浮游动物的优势种也将发生改变，优势种类将逐步向清水型生物过渡，且浮游动物群落的生物多样性趋于增加。</w:t>
      </w:r>
    </w:p>
    <w:p>
      <w:pPr>
        <w:pStyle w:val="7"/>
        <w:kinsoku w:val="0"/>
        <w:overflowPunct w:val="0"/>
        <w:snapToGrid w:val="0"/>
        <w:spacing w:after="0"/>
        <w:ind w:right="176" w:firstLine="472"/>
        <w:rPr>
          <w:color w:val="auto"/>
          <w:spacing w:val="-2"/>
        </w:rPr>
      </w:pPr>
      <w:r>
        <w:rPr>
          <w:rFonts w:hint="eastAsia"/>
          <w:color w:val="auto"/>
          <w:spacing w:val="-2"/>
        </w:rPr>
        <w:t>（</w:t>
      </w:r>
      <w:r>
        <w:rPr>
          <w:color w:val="auto"/>
          <w:spacing w:val="-2"/>
        </w:rPr>
        <w:t>4</w:t>
      </w:r>
      <w:r>
        <w:rPr>
          <w:rFonts w:hint="eastAsia"/>
          <w:color w:val="auto"/>
          <w:spacing w:val="-2"/>
        </w:rPr>
        <w:t>）底栖动物</w:t>
      </w:r>
    </w:p>
    <w:p>
      <w:pPr>
        <w:pStyle w:val="7"/>
        <w:kinsoku w:val="0"/>
        <w:overflowPunct w:val="0"/>
        <w:snapToGrid w:val="0"/>
        <w:spacing w:after="0"/>
        <w:ind w:right="176" w:firstLine="472"/>
        <w:rPr>
          <w:color w:val="auto"/>
          <w:spacing w:val="-2"/>
        </w:rPr>
      </w:pPr>
      <w:r>
        <w:rPr>
          <w:rFonts w:hint="eastAsia"/>
          <w:color w:val="auto"/>
          <w:spacing w:val="-2"/>
        </w:rPr>
        <w:t>工程施工对河道底质造成破坏，造成底栖动物损失，这主要包括两个方面。施工时除游泳能力较强的底栖鱼类、虾类外，栖息于清淤区域的其他底栖动物将直接被移出，造成底栖动物直接损失，</w:t>
      </w:r>
      <w:r>
        <w:rPr>
          <w:rFonts w:hint="eastAsia"/>
          <w:color w:val="auto"/>
          <w:spacing w:val="-2"/>
          <w:lang w:val="en-US" w:eastAsia="zh-CN"/>
        </w:rPr>
        <w:t>河道</w:t>
      </w:r>
      <w:r>
        <w:rPr>
          <w:rFonts w:hint="eastAsia"/>
          <w:color w:val="auto"/>
          <w:spacing w:val="-2"/>
        </w:rPr>
        <w:t>施工对底栖动物区系、种群、种群结构和生态位产生较大的影响，底栖动物的种类、数量及生物量都将有较大幅度的降低，部分施工区域底栖动物原有生态位将完全被打破。</w:t>
      </w:r>
    </w:p>
    <w:p>
      <w:pPr>
        <w:pStyle w:val="7"/>
        <w:kinsoku w:val="0"/>
        <w:overflowPunct w:val="0"/>
        <w:snapToGrid w:val="0"/>
        <w:spacing w:after="0"/>
        <w:ind w:right="176" w:firstLine="472"/>
        <w:rPr>
          <w:color w:val="auto"/>
          <w:spacing w:val="-2"/>
        </w:rPr>
      </w:pPr>
      <w:r>
        <w:rPr>
          <w:rFonts w:hint="eastAsia"/>
          <w:color w:val="auto"/>
          <w:spacing w:val="-2"/>
        </w:rPr>
        <w:t>底栖动物是长期在水体底部泥沙、石块中或其他水底物体上生活的动物。</w:t>
      </w:r>
      <w:r>
        <w:rPr>
          <w:rFonts w:hint="eastAsia"/>
          <w:color w:val="auto"/>
          <w:spacing w:val="-2"/>
          <w:lang w:val="en-US" w:eastAsia="zh-CN"/>
        </w:rPr>
        <w:t>河道</w:t>
      </w:r>
      <w:r>
        <w:rPr>
          <w:rFonts w:hint="eastAsia"/>
          <w:color w:val="auto"/>
          <w:spacing w:val="-2"/>
        </w:rPr>
        <w:t>施工直接改变其生活环境，从而对底栖动物种类、数量、分布产生较大的影响，底栖动物随着挖出的淤泥，从施工区被人为转移，使施工区的底栖动物数量明显减少；部分种类因不适应新的环境而死亡，少部分适应性强的种类则存活下来。</w:t>
      </w:r>
    </w:p>
    <w:p>
      <w:pPr>
        <w:pStyle w:val="7"/>
        <w:kinsoku w:val="0"/>
        <w:overflowPunct w:val="0"/>
        <w:snapToGrid w:val="0"/>
        <w:spacing w:after="0"/>
        <w:ind w:right="176" w:firstLine="472"/>
        <w:rPr>
          <w:color w:val="auto"/>
          <w:spacing w:val="-2"/>
        </w:rPr>
      </w:pPr>
      <w:r>
        <w:rPr>
          <w:rFonts w:hint="eastAsia"/>
          <w:color w:val="auto"/>
          <w:spacing w:val="-2"/>
        </w:rPr>
        <w:t>施工结束后，随着时间的推移，由于生态效应将会逐渐形成新的平衡，底栖动物群落结构和生物量将逐渐恢复，优势种由污染类型的寡毛类向清洁型种类转变，底栖生境将会重建。</w:t>
      </w:r>
    </w:p>
    <w:p>
      <w:pPr>
        <w:pStyle w:val="7"/>
        <w:kinsoku w:val="0"/>
        <w:overflowPunct w:val="0"/>
        <w:snapToGrid w:val="0"/>
        <w:spacing w:after="0"/>
        <w:ind w:right="176" w:firstLine="472"/>
        <w:rPr>
          <w:color w:val="auto"/>
          <w:spacing w:val="-2"/>
        </w:rPr>
      </w:pPr>
      <w:r>
        <w:rPr>
          <w:rFonts w:hint="eastAsia"/>
          <w:color w:val="auto"/>
          <w:spacing w:val="-2"/>
        </w:rPr>
        <w:t>（</w:t>
      </w:r>
      <w:r>
        <w:rPr>
          <w:color w:val="auto"/>
          <w:spacing w:val="-2"/>
        </w:rPr>
        <w:t>5</w:t>
      </w:r>
      <w:r>
        <w:rPr>
          <w:rFonts w:hint="eastAsia"/>
          <w:color w:val="auto"/>
          <w:spacing w:val="-2"/>
        </w:rPr>
        <w:t>）对水生植物的影响</w:t>
      </w:r>
    </w:p>
    <w:p>
      <w:pPr>
        <w:pStyle w:val="7"/>
        <w:kinsoku w:val="0"/>
        <w:overflowPunct w:val="0"/>
        <w:snapToGrid w:val="0"/>
        <w:spacing w:after="0"/>
        <w:ind w:right="176" w:firstLine="472"/>
        <w:rPr>
          <w:color w:val="auto"/>
          <w:spacing w:val="-2"/>
        </w:rPr>
      </w:pPr>
      <w:r>
        <w:rPr>
          <w:rFonts w:hint="eastAsia"/>
          <w:color w:val="auto"/>
          <w:spacing w:val="-2"/>
        </w:rPr>
        <w:t>影响水生维管束植物生长与分布的主要限制因素是水深、透明度和沉积物。底泥是水生植物特别是沉水植物生根、繁殖并且能够稳定生长的基本条件，同时也是水生植物养分的主要来源。本工程施工对水生植物的影响主要体现在以下两个方面：首先施工区水生植物生境条件将直接破坏，施工区水生植物区系、种群、数量、种群结构和生态将受到较大程度的影响，施工范围内已有的水生植物将随着工程的实施而不复存在，原有生态系统将完全被打破；其次工程施工会在水体中产生大量的悬浮物，在施工点周围将会形成悬浮物浓度较高区域，降低水体透明度，从而影响该范围内的水生植物的生长和繁育，可能导致部分水生植物死亡。施工结束后随着悬浮物逐渐下降恢复到原有水平，待到生长季节，水体透明度合适时，这些水生植物仍会重新萌发、生长，施工区域内的水生植物可逐步得到恢复。</w:t>
      </w:r>
    </w:p>
    <w:p>
      <w:pPr>
        <w:pStyle w:val="7"/>
        <w:topLinePunct/>
        <w:snapToGrid w:val="0"/>
        <w:spacing w:after="0"/>
        <w:ind w:right="176" w:firstLine="480"/>
        <w:rPr>
          <w:color w:val="auto"/>
        </w:rPr>
      </w:pPr>
      <w:r>
        <w:rPr>
          <w:rFonts w:hint="eastAsia"/>
          <w:color w:val="auto"/>
        </w:rPr>
        <w:t>施工结束后，河道内的水生态环境能够满足部分种类（尤其是飘浮植物）的生存，河道内将逐渐形成水生维管束植物群落，河道内水生维管束植物群落种类数、覆盖率以及生物量随时间的推移将逐渐增加。水生维管束植物群落的形成，特别是一些沉水植物群落的构建有利于河道内水质的进一步改善。</w:t>
      </w:r>
    </w:p>
    <w:p>
      <w:pPr>
        <w:pStyle w:val="7"/>
        <w:topLinePunct/>
        <w:snapToGrid w:val="0"/>
        <w:spacing w:after="0"/>
        <w:ind w:right="176" w:firstLine="472"/>
        <w:rPr>
          <w:color w:val="auto"/>
          <w:spacing w:val="-2"/>
        </w:rPr>
      </w:pPr>
      <w:r>
        <w:rPr>
          <w:rFonts w:hint="eastAsia"/>
          <w:color w:val="auto"/>
          <w:spacing w:val="-2"/>
        </w:rPr>
        <w:t>（</w:t>
      </w:r>
      <w:r>
        <w:rPr>
          <w:color w:val="auto"/>
          <w:spacing w:val="-2"/>
        </w:rPr>
        <w:t>6</w:t>
      </w:r>
      <w:r>
        <w:rPr>
          <w:rFonts w:hint="eastAsia"/>
          <w:color w:val="auto"/>
          <w:spacing w:val="-2"/>
        </w:rPr>
        <w:t>）鱼类</w:t>
      </w:r>
    </w:p>
    <w:p>
      <w:pPr>
        <w:pStyle w:val="7"/>
        <w:topLinePunct/>
        <w:snapToGrid w:val="0"/>
        <w:spacing w:after="0"/>
        <w:ind w:right="176" w:firstLine="472"/>
        <w:rPr>
          <w:color w:val="auto"/>
          <w:spacing w:val="-2"/>
        </w:rPr>
      </w:pPr>
      <w:r>
        <w:rPr>
          <w:rFonts w:hint="eastAsia"/>
          <w:color w:val="auto"/>
          <w:spacing w:val="-2"/>
        </w:rPr>
        <w:t>项目区域非重要水生生物的自然产卵场、索饵场、越冬场和回游通道。</w:t>
      </w:r>
    </w:p>
    <w:p>
      <w:pPr>
        <w:pStyle w:val="7"/>
        <w:topLinePunct/>
        <w:snapToGrid w:val="0"/>
        <w:spacing w:after="0"/>
        <w:ind w:right="176" w:firstLine="472"/>
        <w:rPr>
          <w:color w:val="auto"/>
          <w:spacing w:val="-2"/>
        </w:rPr>
      </w:pPr>
      <w:r>
        <w:rPr>
          <w:color w:val="auto"/>
          <w:spacing w:val="-2"/>
        </w:rPr>
        <w:t>1</w:t>
      </w:r>
      <w:r>
        <w:rPr>
          <w:rFonts w:hint="eastAsia"/>
          <w:color w:val="auto"/>
          <w:spacing w:val="-2"/>
        </w:rPr>
        <w:t>）对鱼类种群结构的影响</w:t>
      </w:r>
    </w:p>
    <w:p>
      <w:pPr>
        <w:pStyle w:val="7"/>
        <w:topLinePunct/>
        <w:snapToGrid w:val="0"/>
        <w:spacing w:after="0"/>
        <w:ind w:right="176" w:firstLine="472"/>
        <w:rPr>
          <w:color w:val="auto"/>
          <w:spacing w:val="-2"/>
        </w:rPr>
      </w:pPr>
      <w:r>
        <w:rPr>
          <w:rFonts w:hint="eastAsia"/>
          <w:color w:val="auto"/>
          <w:spacing w:val="-2"/>
        </w:rPr>
        <w:t>鱼类对其自身栖息地的选择都是在经过长时间送化和演变中不断适应确定下来的，其中水温、底质、水深、流速、悬浮物等条件都是鱼类选择的最适合自身生存、索饵、产卵、越冬的因素。工程施工主要是</w:t>
      </w:r>
      <w:r>
        <w:rPr>
          <w:rFonts w:hint="eastAsia"/>
          <w:color w:val="auto"/>
          <w:spacing w:val="-2"/>
          <w:lang w:val="en-US" w:eastAsia="zh-CN"/>
        </w:rPr>
        <w:t>生态缓冲带和人工湿地</w:t>
      </w:r>
      <w:r>
        <w:rPr>
          <w:rFonts w:hint="eastAsia"/>
          <w:color w:val="auto"/>
          <w:spacing w:val="-2"/>
        </w:rPr>
        <w:t>等工程的施工，产生的悬浮物、油污、生产废水、噪声等污染会影响鱼类的生存和发育，但鱼类有一定的适应能力，对局部性的污染物会规避，建成后水质好转，区域水系的连通性提高，工程运行不增观对鱼类的栖息环境及迁徙活动的影响。</w:t>
      </w:r>
    </w:p>
    <w:p>
      <w:pPr>
        <w:pStyle w:val="7"/>
        <w:topLinePunct/>
        <w:snapToGrid w:val="0"/>
        <w:spacing w:after="0"/>
        <w:ind w:right="176" w:firstLine="472"/>
        <w:rPr>
          <w:color w:val="auto"/>
          <w:spacing w:val="-2"/>
        </w:rPr>
      </w:pPr>
      <w:r>
        <w:rPr>
          <w:rFonts w:hint="eastAsia"/>
          <w:color w:val="auto"/>
          <w:spacing w:val="-2"/>
        </w:rPr>
        <w:t>工程施工结束后，附近水域的水深、水温、流速、溶解氧等环境因素总体上能够基本保持现状水平。因此，工程建设对鱼类区系成分、种类变化影响是可逆的，在施工完成后鱼类区系将得到恢复。</w:t>
      </w:r>
    </w:p>
    <w:p>
      <w:pPr>
        <w:pStyle w:val="7"/>
        <w:kinsoku w:val="0"/>
        <w:overflowPunct w:val="0"/>
        <w:snapToGrid w:val="0"/>
        <w:spacing w:after="0"/>
        <w:ind w:right="176" w:firstLine="472"/>
        <w:rPr>
          <w:color w:val="auto"/>
          <w:spacing w:val="-2"/>
        </w:rPr>
      </w:pPr>
      <w:r>
        <w:rPr>
          <w:color w:val="auto"/>
          <w:spacing w:val="-2"/>
        </w:rPr>
        <w:t>2</w:t>
      </w:r>
      <w:r>
        <w:rPr>
          <w:rFonts w:hint="eastAsia"/>
          <w:color w:val="auto"/>
          <w:spacing w:val="-2"/>
        </w:rPr>
        <w:t>）对鱼类资源量的影响</w:t>
      </w:r>
    </w:p>
    <w:p>
      <w:pPr>
        <w:pStyle w:val="7"/>
        <w:topLinePunct/>
        <w:snapToGrid w:val="0"/>
        <w:spacing w:after="0"/>
        <w:ind w:right="176" w:firstLine="480"/>
        <w:rPr>
          <w:color w:val="auto"/>
          <w:kern w:val="0"/>
        </w:rPr>
      </w:pPr>
      <w:r>
        <w:rPr>
          <w:rFonts w:hint="eastAsia"/>
          <w:color w:val="auto"/>
          <w:kern w:val="0"/>
        </w:rPr>
        <w:t>工程施工将在短时间内会造成施工河段水质发生变化，施工点周边水域悬浮物浓度上升，其中的有害物质可能会对该水域的鱼类及其他水生生物产生毒性胁迫。水中悬浮物质含量过高，容易造成鱼类腮部聚集杂物，减损腮部呼吸功能，甚至导致鱼类窒息死亡。同时，水生维管束植物的空间分布特征和群落结构特征得受到影响，水生维管束植物不仅为鱼、虾、蟹类提供栖息、避敌场所，同是也是良好的饵料和产卵介质，施工期间对悬浮物浓度耐受性低的浮游植物、浮游动物等饵料生物的密度降低，从而影响仔幼鱼的生长。因此，施工区域的渔业生物早期资源将遭受损失，但损失量不大。而成鱼资源由于主动避让能力较强，受影响相对较小工程竣工及运行后，附近水域的生物生产力恢复现状水平。浮游生物、底栖动物生物量总体保持不变；保持原有的河流水文动力学特征，水文情势未发生明显变化，鱼类育幼的急流性、缓流性及近静水性鱼类索饵、产卵、洄游生境将总体保持现状，鱼类种类组成也将保持现状水平，不会发生明显的不利变化，适于水生生物及鱼类栖息、活动的空间基本未变，鱼类总资源量也将保持现有规模。</w:t>
      </w:r>
    </w:p>
    <w:p>
      <w:pPr>
        <w:pStyle w:val="7"/>
        <w:topLinePunct/>
        <w:snapToGrid w:val="0"/>
        <w:spacing w:after="0"/>
        <w:ind w:right="176" w:firstLine="480"/>
        <w:rPr>
          <w:color w:val="auto"/>
          <w:kern w:val="0"/>
        </w:rPr>
      </w:pPr>
      <w:r>
        <w:rPr>
          <w:color w:val="auto"/>
          <w:kern w:val="0"/>
        </w:rPr>
        <w:t>3</w:t>
      </w:r>
      <w:r>
        <w:rPr>
          <w:rFonts w:hint="eastAsia"/>
          <w:color w:val="auto"/>
          <w:kern w:val="0"/>
        </w:rPr>
        <w:t>）对鱼类繁殖及仔幼鱼的影响</w:t>
      </w:r>
    </w:p>
    <w:p>
      <w:pPr>
        <w:pStyle w:val="7"/>
        <w:topLinePunct/>
        <w:snapToGrid w:val="0"/>
        <w:spacing w:after="0"/>
        <w:ind w:right="176" w:firstLine="480"/>
        <w:rPr>
          <w:color w:val="auto"/>
          <w:kern w:val="0"/>
        </w:rPr>
      </w:pPr>
      <w:r>
        <w:rPr>
          <w:rFonts w:hint="eastAsia"/>
          <w:color w:val="auto"/>
          <w:kern w:val="0"/>
        </w:rPr>
        <w:t>水体中的泥沙将降低鱼类的生长率、孵化率、仔鱼成活率和捕食效率等。泥沙沉降后，覆盖了河底的鱼卵，使孵化率大幅度下降，同时，泥沙沉降后，掩埋了水底的石砾、碎石及水底其他不规则的类似物，从而破坏了鱼苗天然的庇护场所，降低仔鱼的成活率；泥沙还将降低鱼类对疾病的抵抗力，干扰其产卵，改变其习性等。</w:t>
      </w:r>
    </w:p>
    <w:p>
      <w:pPr>
        <w:pStyle w:val="7"/>
        <w:topLinePunct/>
        <w:snapToGrid w:val="0"/>
        <w:spacing w:after="0"/>
        <w:ind w:right="176" w:firstLine="480"/>
        <w:rPr>
          <w:color w:val="auto"/>
          <w:kern w:val="0"/>
        </w:rPr>
      </w:pPr>
      <w:r>
        <w:rPr>
          <w:rFonts w:hint="eastAsia"/>
          <w:color w:val="auto"/>
          <w:kern w:val="0"/>
        </w:rPr>
        <w:t>另外，施工机械油料泄漏到水体，真接给鱼类的生境和生存带来负面影响。工程建设会导致施工水域仔幼鱼庇护场的生态环境发生较大改变，饵料生物的种群结构和数量同时会减少，可能会导致原有索饵场消退或者产生新的索饵场，尤其在营养物质较为丰富的水域可能会形成新的索饵场，有利于喜静水、滤食性鱼类的摄食生长。</w:t>
      </w:r>
    </w:p>
    <w:p>
      <w:pPr>
        <w:pStyle w:val="7"/>
        <w:topLinePunct/>
        <w:snapToGrid w:val="0"/>
        <w:spacing w:after="0"/>
        <w:ind w:right="176" w:firstLine="480"/>
        <w:rPr>
          <w:color w:val="auto"/>
          <w:kern w:val="0"/>
        </w:rPr>
      </w:pPr>
      <w:r>
        <w:rPr>
          <w:rFonts w:hint="eastAsia"/>
          <w:color w:val="auto"/>
          <w:kern w:val="0"/>
        </w:rPr>
        <w:t>区域河流鱼类繁殖的主要时间在每年的</w:t>
      </w:r>
      <w:r>
        <w:rPr>
          <w:color w:val="auto"/>
          <w:kern w:val="0"/>
        </w:rPr>
        <w:t>4-8</w:t>
      </w:r>
      <w:r>
        <w:rPr>
          <w:rFonts w:hint="eastAsia"/>
          <w:color w:val="auto"/>
          <w:kern w:val="0"/>
        </w:rPr>
        <w:t>月，于</w:t>
      </w:r>
      <w:r>
        <w:rPr>
          <w:color w:val="auto"/>
          <w:kern w:val="0"/>
        </w:rPr>
        <w:t>6-7</w:t>
      </w:r>
      <w:r>
        <w:rPr>
          <w:rFonts w:hint="eastAsia"/>
          <w:color w:val="auto"/>
          <w:kern w:val="0"/>
        </w:rPr>
        <w:t>月为最盛。期间成熟鱼类将会在河段内寻找适宜的产卵场所。本工程护岸、</w:t>
      </w:r>
      <w:r>
        <w:rPr>
          <w:rFonts w:hint="eastAsia"/>
          <w:color w:val="auto"/>
          <w:kern w:val="0"/>
          <w:lang w:val="en-US" w:eastAsia="zh-CN"/>
        </w:rPr>
        <w:t>人工湿地</w:t>
      </w:r>
      <w:r>
        <w:rPr>
          <w:rFonts w:hint="eastAsia"/>
          <w:color w:val="auto"/>
          <w:kern w:val="0"/>
        </w:rPr>
        <w:t>工程安排在枯水期施工，尽量避免与鱼类繁殖的主要时间重叠，总体上不对鱼类产卵洄游等产生影响。</w:t>
      </w:r>
    </w:p>
    <w:p>
      <w:pPr>
        <w:pStyle w:val="4"/>
        <w:numPr>
          <w:ilvl w:val="2"/>
          <w:numId w:val="0"/>
        </w:numPr>
        <w:snapToGrid w:val="0"/>
        <w:ind w:firstLine="480" w:firstLineChars="200"/>
        <w:rPr>
          <w:rFonts w:cs="Times New Roman"/>
          <w:color w:val="auto"/>
        </w:rPr>
      </w:pPr>
      <w:r>
        <w:rPr>
          <w:rFonts w:cs="Times New Roman"/>
          <w:color w:val="auto"/>
        </w:rPr>
        <w:t>5.1.7施工</w:t>
      </w:r>
      <w:r>
        <w:rPr>
          <w:rFonts w:hint="eastAsia" w:cs="Times New Roman"/>
          <w:color w:val="auto"/>
        </w:rPr>
        <w:t>期对安康</w:t>
      </w:r>
      <w:r>
        <w:rPr>
          <w:rFonts w:hint="eastAsia" w:cs="Times New Roman"/>
          <w:color w:val="auto"/>
          <w:lang w:val="en-US" w:eastAsia="zh-CN"/>
        </w:rPr>
        <w:t>岚河</w:t>
      </w:r>
      <w:r>
        <w:rPr>
          <w:rFonts w:hint="eastAsia" w:cs="Times New Roman"/>
          <w:color w:val="auto"/>
        </w:rPr>
        <w:t>湿地</w:t>
      </w:r>
      <w:r>
        <w:rPr>
          <w:rFonts w:cs="Times New Roman"/>
          <w:color w:val="auto"/>
        </w:rPr>
        <w:t>分析</w:t>
      </w:r>
    </w:p>
    <w:p>
      <w:pPr>
        <w:pStyle w:val="61"/>
        <w:topLinePunct/>
        <w:snapToGrid w:val="0"/>
        <w:ind w:firstLine="480"/>
        <w:rPr>
          <w:rFonts w:cs="Times New Roman"/>
          <w:color w:val="auto"/>
          <w:kern w:val="0"/>
        </w:rPr>
      </w:pPr>
      <w:r>
        <w:rPr>
          <w:rFonts w:hint="eastAsia"/>
          <w:color w:val="auto"/>
          <w:kern w:val="0"/>
          <w:lang w:val="en-US" w:eastAsia="zh-CN"/>
        </w:rPr>
        <w:t>本项目生态</w:t>
      </w:r>
      <w:r>
        <w:rPr>
          <w:rFonts w:hint="eastAsia"/>
          <w:color w:val="auto"/>
          <w:kern w:val="0"/>
        </w:rPr>
        <w:t>护岸</w:t>
      </w:r>
      <w:r>
        <w:rPr>
          <w:rFonts w:hint="eastAsia"/>
          <w:color w:val="auto"/>
          <w:kern w:val="0"/>
          <w:lang w:eastAsia="zh-CN"/>
        </w:rPr>
        <w:t>、</w:t>
      </w:r>
      <w:r>
        <w:rPr>
          <w:rFonts w:hint="eastAsia"/>
          <w:color w:val="auto"/>
          <w:kern w:val="0"/>
          <w:lang w:val="en-US" w:eastAsia="zh-CN"/>
        </w:rPr>
        <w:t>人工湿地</w:t>
      </w:r>
      <w:r>
        <w:rPr>
          <w:rFonts w:hint="eastAsia"/>
          <w:color w:val="auto"/>
          <w:kern w:val="0"/>
        </w:rPr>
        <w:t>修建过程中，</w:t>
      </w:r>
      <w:r>
        <w:rPr>
          <w:rFonts w:hint="eastAsia" w:cs="Times New Roman"/>
          <w:color w:val="auto"/>
          <w:kern w:val="0"/>
        </w:rPr>
        <w:t>会占压河床底质，导致工程区段的植被和滩涂被占用，破坏了原本的植被、河流的生物链，从而破坏原有的湿地生态环境。</w:t>
      </w:r>
    </w:p>
    <w:p>
      <w:pPr>
        <w:pStyle w:val="61"/>
        <w:topLinePunct/>
        <w:snapToGrid w:val="0"/>
        <w:ind w:firstLine="480"/>
        <w:rPr>
          <w:rFonts w:cs="Times New Roman"/>
          <w:color w:val="auto"/>
          <w:kern w:val="0"/>
        </w:rPr>
      </w:pPr>
      <w:r>
        <w:rPr>
          <w:rFonts w:hint="eastAsia" w:cs="Times New Roman"/>
          <w:color w:val="auto"/>
          <w:kern w:val="0"/>
        </w:rPr>
        <w:t>根据现场调查，</w:t>
      </w:r>
      <w:r>
        <w:rPr>
          <w:rFonts w:hint="eastAsia" w:cs="Times New Roman"/>
          <w:color w:val="auto"/>
          <w:kern w:val="0"/>
          <w:lang w:val="en-US" w:eastAsia="zh-CN"/>
        </w:rPr>
        <w:t>岚河</w:t>
      </w:r>
      <w:r>
        <w:rPr>
          <w:rFonts w:hint="eastAsia" w:cs="Times New Roman"/>
          <w:color w:val="auto"/>
          <w:kern w:val="0"/>
        </w:rPr>
        <w:t>湿地主要由湿地植物、两栖类和爬行类以及各种水生动物及底栖无脊椎动物等组成。根据资料调查和走访，无湿地水鸟的繁殖地、越冬地或者重要的迁徙停歇地，无珍稀濒危水生野生动植物、国家和省重点保护的水生野生动物分布。</w:t>
      </w:r>
    </w:p>
    <w:p>
      <w:pPr>
        <w:pStyle w:val="7"/>
        <w:topLinePunct/>
        <w:snapToGrid w:val="0"/>
        <w:spacing w:after="0"/>
        <w:ind w:right="176" w:firstLine="480"/>
        <w:rPr>
          <w:rFonts w:cs="Times New Roman"/>
          <w:color w:val="auto"/>
          <w:kern w:val="0"/>
        </w:rPr>
      </w:pPr>
      <w:r>
        <w:rPr>
          <w:rFonts w:hint="eastAsia" w:cs="Times New Roman"/>
          <w:color w:val="auto"/>
          <w:kern w:val="0"/>
        </w:rPr>
        <w:t>本项目修筑生态</w:t>
      </w:r>
      <w:r>
        <w:rPr>
          <w:rFonts w:hint="eastAsia" w:cs="Times New Roman"/>
          <w:color w:val="auto"/>
          <w:kern w:val="0"/>
          <w:lang w:val="en-US" w:eastAsia="zh-CN"/>
        </w:rPr>
        <w:t>缓冲带</w:t>
      </w:r>
      <w:r>
        <w:rPr>
          <w:rFonts w:hint="eastAsia" w:cs="Times New Roman"/>
          <w:color w:val="auto"/>
          <w:kern w:val="0"/>
        </w:rPr>
        <w:t>，对岸坡的处理，以往一般多采用“硬处理”，也就是采用大片的干砌石、浆砌石或混凝土护坡，忽视生态的防护措施的研究和应用，生态</w:t>
      </w:r>
      <w:r>
        <w:rPr>
          <w:rFonts w:hint="eastAsia" w:cs="Times New Roman"/>
          <w:color w:val="auto"/>
          <w:kern w:val="0"/>
          <w:lang w:val="en-US" w:eastAsia="zh-CN"/>
        </w:rPr>
        <w:t>缓冲带</w:t>
      </w:r>
      <w:r>
        <w:rPr>
          <w:rFonts w:hint="eastAsia" w:cs="Times New Roman"/>
          <w:color w:val="auto"/>
          <w:kern w:val="0"/>
        </w:rPr>
        <w:t>是水陆生态系统内部及相互之间生态流流动的通道，因此，修筑生态</w:t>
      </w:r>
      <w:r>
        <w:rPr>
          <w:rFonts w:hint="eastAsia" w:cs="Times New Roman"/>
          <w:color w:val="auto"/>
          <w:kern w:val="0"/>
          <w:lang w:val="en-US" w:eastAsia="zh-CN"/>
        </w:rPr>
        <w:t>缓冲带</w:t>
      </w:r>
      <w:r>
        <w:rPr>
          <w:rFonts w:hint="eastAsia" w:cs="Times New Roman"/>
          <w:color w:val="auto"/>
          <w:kern w:val="0"/>
        </w:rPr>
        <w:t>，增加植被覆盖率，对一些野生动物生存是有利的，一定程度上修复了湿地生态系统。</w:t>
      </w:r>
    </w:p>
    <w:p>
      <w:pPr>
        <w:pStyle w:val="7"/>
        <w:topLinePunct/>
        <w:snapToGrid w:val="0"/>
        <w:spacing w:after="0"/>
        <w:ind w:right="176" w:firstLine="480"/>
        <w:rPr>
          <w:rFonts w:hint="eastAsia" w:cs="Times New Roman"/>
          <w:color w:val="auto"/>
          <w:kern w:val="0"/>
        </w:rPr>
      </w:pPr>
      <w:r>
        <w:rPr>
          <w:rFonts w:hint="eastAsia" w:cs="Times New Roman"/>
          <w:color w:val="auto"/>
          <w:kern w:val="0"/>
        </w:rPr>
        <w:t>涉及</w:t>
      </w:r>
      <w:r>
        <w:rPr>
          <w:rFonts w:hint="eastAsia" w:cs="Times New Roman"/>
          <w:color w:val="auto"/>
          <w:kern w:val="0"/>
          <w:lang w:val="en-US" w:eastAsia="zh-CN"/>
        </w:rPr>
        <w:t>岚河</w:t>
      </w:r>
      <w:r>
        <w:rPr>
          <w:rFonts w:hint="eastAsia" w:cs="Times New Roman"/>
          <w:color w:val="auto"/>
          <w:kern w:val="0"/>
        </w:rPr>
        <w:t>湿地的岸坡整治工程全长</w:t>
      </w:r>
      <w:r>
        <w:rPr>
          <w:rFonts w:hint="eastAsia" w:cs="Times New Roman"/>
          <w:color w:val="auto"/>
          <w:kern w:val="0"/>
          <w:lang w:val="en-US" w:eastAsia="zh-CN"/>
        </w:rPr>
        <w:t>8.7</w:t>
      </w:r>
      <w:r>
        <w:rPr>
          <w:rFonts w:hint="eastAsia" w:cs="Times New Roman"/>
          <w:color w:val="auto"/>
          <w:kern w:val="0"/>
        </w:rPr>
        <w:t>km，对</w:t>
      </w:r>
      <w:r>
        <w:rPr>
          <w:rFonts w:hint="eastAsia" w:cs="Times New Roman"/>
          <w:color w:val="auto"/>
          <w:kern w:val="0"/>
          <w:lang w:val="en-US" w:eastAsia="zh-CN"/>
        </w:rPr>
        <w:t>岚河</w:t>
      </w:r>
      <w:r>
        <w:rPr>
          <w:rFonts w:hint="eastAsia" w:cs="Times New Roman"/>
          <w:color w:val="auto"/>
          <w:kern w:val="0"/>
        </w:rPr>
        <w:t>湿地影响范围较小，且项目采用生态</w:t>
      </w:r>
      <w:r>
        <w:rPr>
          <w:rFonts w:hint="eastAsia" w:cs="Times New Roman"/>
          <w:color w:val="auto"/>
          <w:kern w:val="0"/>
          <w:lang w:val="en-US" w:eastAsia="zh-CN"/>
        </w:rPr>
        <w:t>护坡</w:t>
      </w:r>
      <w:r>
        <w:rPr>
          <w:rFonts w:hint="eastAsia" w:cs="Times New Roman"/>
          <w:color w:val="auto"/>
          <w:kern w:val="0"/>
        </w:rPr>
        <w:t>，并撒播草籽进行植被防护，建成后对一定程度上修复了湿地生态系统。项目区段为集镇所在地，人类活动频繁，</w:t>
      </w:r>
      <w:r>
        <w:rPr>
          <w:rFonts w:hint="eastAsia" w:cs="Times New Roman"/>
          <w:color w:val="auto"/>
          <w:kern w:val="0"/>
          <w:lang w:val="en-US" w:eastAsia="zh-CN"/>
        </w:rPr>
        <w:t>岚河</w:t>
      </w:r>
      <w:r>
        <w:rPr>
          <w:rFonts w:hint="eastAsia" w:cs="Times New Roman"/>
          <w:color w:val="auto"/>
          <w:kern w:val="0"/>
        </w:rPr>
        <w:t>湿地生态系统较为简单，均为当地优势物种，项目施工不会造成</w:t>
      </w:r>
      <w:r>
        <w:rPr>
          <w:rFonts w:hint="eastAsia" w:cs="Times New Roman"/>
          <w:color w:val="auto"/>
          <w:kern w:val="0"/>
          <w:lang w:val="en-US" w:eastAsia="zh-CN"/>
        </w:rPr>
        <w:t>岚河</w:t>
      </w:r>
      <w:r>
        <w:rPr>
          <w:rFonts w:hint="eastAsia" w:cs="Times New Roman"/>
          <w:color w:val="auto"/>
          <w:kern w:val="0"/>
        </w:rPr>
        <w:t>湿地系统严重的破坏。施工结束过经过人工和自然恢复，湿地系统逐渐重新建设平衡，湿地功能不变。</w:t>
      </w:r>
    </w:p>
    <w:p>
      <w:pPr>
        <w:pStyle w:val="7"/>
        <w:topLinePunct/>
        <w:snapToGrid w:val="0"/>
        <w:spacing w:after="0"/>
        <w:ind w:right="176" w:firstLine="480"/>
        <w:rPr>
          <w:rFonts w:cs="Times New Roman"/>
          <w:color w:val="auto"/>
          <w:kern w:val="0"/>
        </w:rPr>
      </w:pPr>
      <w:r>
        <w:rPr>
          <w:rFonts w:hint="eastAsia" w:cs="Times New Roman"/>
          <w:color w:val="auto"/>
          <w:kern w:val="0"/>
        </w:rPr>
        <w:t>施工期工程对水生生物产生一定影响，项目的实施可以有效改善水生生物生活环境，工程的实施能有效构建水生植物群落，因而施工不会降低植被生物量和生产力，对栖息于其中的野生动物的影响是短暂的。项目实施</w:t>
      </w:r>
      <w:r>
        <w:rPr>
          <w:rFonts w:hint="eastAsia" w:cs="Times New Roman"/>
          <w:color w:val="auto"/>
          <w:kern w:val="0"/>
          <w:lang w:val="en-US" w:eastAsia="zh-CN"/>
        </w:rPr>
        <w:t>后</w:t>
      </w:r>
      <w:r>
        <w:rPr>
          <w:rFonts w:hint="eastAsia" w:cs="Times New Roman"/>
          <w:color w:val="auto"/>
          <w:kern w:val="0"/>
        </w:rPr>
        <w:t>，不会因为项目实施而减少湿地面积，施工过程中产生的废水、废渣等可能影响水环境，间接对湿地生态系统的植物和动物产生影响。但这种影响可以通过合理有效的保护措施加以避免。运行期</w:t>
      </w:r>
      <w:r>
        <w:rPr>
          <w:rFonts w:hint="eastAsia" w:cs="Times New Roman"/>
          <w:color w:val="auto"/>
          <w:kern w:val="0"/>
          <w:lang w:val="en-US" w:eastAsia="zh-CN"/>
        </w:rPr>
        <w:t>岚河</w:t>
      </w:r>
      <w:r>
        <w:rPr>
          <w:rFonts w:hint="eastAsia" w:cs="Times New Roman"/>
          <w:color w:val="auto"/>
          <w:kern w:val="0"/>
        </w:rPr>
        <w:t>水环境得到改善，水生态得到修复，湿地功能得以加强，湿地系统中的植被生物多样性向正向发展，湿地生态系统更加稳定。</w:t>
      </w:r>
    </w:p>
    <w:p>
      <w:pPr>
        <w:pStyle w:val="3"/>
        <w:numPr>
          <w:ilvl w:val="1"/>
          <w:numId w:val="0"/>
        </w:numPr>
        <w:ind w:firstLine="560" w:firstLineChars="200"/>
        <w:rPr>
          <w:rFonts w:cs="Times New Roman"/>
          <w:b w:val="0"/>
          <w:color w:val="auto"/>
        </w:rPr>
      </w:pPr>
      <w:bookmarkStart w:id="66" w:name="_Toc142388380"/>
      <w:bookmarkStart w:id="67" w:name="_Toc31787"/>
      <w:bookmarkStart w:id="68" w:name="_Toc10369"/>
      <w:r>
        <w:rPr>
          <w:rFonts w:cs="Times New Roman"/>
          <w:b w:val="0"/>
          <w:color w:val="auto"/>
        </w:rPr>
        <w:t>5.2运行期环境影响预测与评价</w:t>
      </w:r>
      <w:bookmarkEnd w:id="66"/>
      <w:bookmarkEnd w:id="67"/>
    </w:p>
    <w:p>
      <w:pPr>
        <w:pStyle w:val="4"/>
        <w:numPr>
          <w:ilvl w:val="2"/>
          <w:numId w:val="0"/>
        </w:numPr>
        <w:snapToGrid w:val="0"/>
        <w:ind w:firstLine="480" w:firstLineChars="200"/>
        <w:rPr>
          <w:rFonts w:cs="Times New Roman"/>
          <w:color w:val="auto"/>
        </w:rPr>
      </w:pPr>
      <w:bookmarkStart w:id="69" w:name="_Toc31725"/>
      <w:r>
        <w:rPr>
          <w:rFonts w:cs="Times New Roman"/>
          <w:color w:val="auto"/>
        </w:rPr>
        <w:t>5.2.1大气环境影响预测与评价</w:t>
      </w:r>
      <w:bookmarkEnd w:id="69"/>
    </w:p>
    <w:p>
      <w:pPr>
        <w:snapToGrid w:val="0"/>
        <w:ind w:firstLine="480"/>
        <w:rPr>
          <w:rFonts w:cs="Times New Roman"/>
          <w:color w:val="auto"/>
        </w:rPr>
      </w:pPr>
      <w:r>
        <w:rPr>
          <w:rFonts w:cs="Times New Roman"/>
          <w:color w:val="auto"/>
        </w:rPr>
        <w:t>本项目为河道整治项目，在其正常运行情况下，无废气产生。</w:t>
      </w:r>
    </w:p>
    <w:p>
      <w:pPr>
        <w:pStyle w:val="4"/>
        <w:numPr>
          <w:ilvl w:val="2"/>
          <w:numId w:val="0"/>
        </w:numPr>
        <w:snapToGrid w:val="0"/>
        <w:ind w:firstLine="480" w:firstLineChars="200"/>
        <w:rPr>
          <w:rFonts w:cs="Times New Roman"/>
          <w:color w:val="auto"/>
        </w:rPr>
      </w:pPr>
      <w:bookmarkStart w:id="70" w:name="_Toc20632"/>
      <w:bookmarkStart w:id="71" w:name="_Toc455587406"/>
      <w:bookmarkStart w:id="72" w:name="_Toc13848"/>
      <w:bookmarkStart w:id="73" w:name="_Toc455587407"/>
      <w:r>
        <w:rPr>
          <w:rFonts w:cs="Times New Roman"/>
          <w:color w:val="auto"/>
        </w:rPr>
        <w:t>5.2.2地表水环境影响分析</w:t>
      </w:r>
      <w:bookmarkEnd w:id="70"/>
      <w:bookmarkEnd w:id="71"/>
      <w:bookmarkEnd w:id="72"/>
    </w:p>
    <w:bookmarkEnd w:id="73"/>
    <w:p>
      <w:pPr>
        <w:snapToGrid w:val="0"/>
        <w:ind w:firstLine="480"/>
        <w:rPr>
          <w:rFonts w:cs="Times New Roman"/>
          <w:color w:val="auto"/>
        </w:rPr>
      </w:pPr>
      <w:r>
        <w:rPr>
          <w:rFonts w:cs="Times New Roman"/>
          <w:color w:val="auto"/>
        </w:rPr>
        <w:t>1.水质影响分析</w:t>
      </w:r>
    </w:p>
    <w:p>
      <w:pPr>
        <w:snapToGrid w:val="0"/>
        <w:ind w:firstLine="480"/>
        <w:rPr>
          <w:rFonts w:cs="Times New Roman"/>
          <w:color w:val="auto"/>
        </w:rPr>
      </w:pPr>
      <w:r>
        <w:rPr>
          <w:rFonts w:cs="Times New Roman"/>
          <w:color w:val="auto"/>
        </w:rPr>
        <w:t>本项目运营期本身不排放污水。通过工程的实施，可减少水体内源污染，减少河道垃圾，从而达到改善水质的效果，对水环境的影响为正面有利影响。</w:t>
      </w:r>
    </w:p>
    <w:p>
      <w:pPr>
        <w:snapToGrid w:val="0"/>
        <w:ind w:firstLine="480"/>
        <w:rPr>
          <w:rFonts w:cs="Times New Roman"/>
          <w:color w:val="auto"/>
        </w:rPr>
      </w:pPr>
      <w:r>
        <w:rPr>
          <w:rFonts w:cs="Times New Roman"/>
          <w:color w:val="auto"/>
        </w:rPr>
        <w:t>2.水文情势影响分析</w:t>
      </w:r>
    </w:p>
    <w:p>
      <w:pPr>
        <w:snapToGrid w:val="0"/>
        <w:ind w:firstLine="480"/>
        <w:rPr>
          <w:rFonts w:cs="Times New Roman"/>
          <w:color w:val="auto"/>
        </w:rPr>
      </w:pPr>
      <w:r>
        <w:rPr>
          <w:rFonts w:cs="Times New Roman"/>
          <w:color w:val="auto"/>
        </w:rPr>
        <w:t>本工程的建设运行将对涉及河流的河道情势、水文情势和泥沙情势造成一定影响，从河道断面、流量、水位等主要要素出发，分析工程对河道情势、水文情势和泥沙情势的影响如下：</w:t>
      </w:r>
    </w:p>
    <w:p>
      <w:pPr>
        <w:snapToGrid w:val="0"/>
        <w:ind w:firstLine="480"/>
        <w:rPr>
          <w:rFonts w:cs="Times New Roman"/>
          <w:color w:val="auto"/>
        </w:rPr>
      </w:pPr>
      <w:r>
        <w:rPr>
          <w:rFonts w:cs="Times New Roman"/>
          <w:color w:val="auto"/>
        </w:rPr>
        <w:t>（1）河道断面扩大</w:t>
      </w:r>
    </w:p>
    <w:p>
      <w:pPr>
        <w:snapToGrid w:val="0"/>
        <w:ind w:firstLine="480"/>
        <w:rPr>
          <w:rFonts w:cs="Times New Roman"/>
          <w:color w:val="auto"/>
        </w:rPr>
      </w:pPr>
      <w:r>
        <w:rPr>
          <w:rFonts w:cs="Times New Roman"/>
          <w:color w:val="auto"/>
        </w:rPr>
        <w:t>通过河道整治等工程措施，减少淤泥、垃圾堆积，增强河流的泄洪能力和水动力，提高排水防涝能力，改善水环境，对水势稳定起到积极作用。</w:t>
      </w:r>
    </w:p>
    <w:p>
      <w:pPr>
        <w:snapToGrid w:val="0"/>
        <w:ind w:firstLine="480"/>
        <w:rPr>
          <w:rFonts w:cs="Times New Roman"/>
          <w:color w:val="auto"/>
        </w:rPr>
      </w:pPr>
      <w:r>
        <w:rPr>
          <w:rFonts w:cs="Times New Roman"/>
          <w:color w:val="auto"/>
        </w:rPr>
        <w:t>（2）水位流量变化</w:t>
      </w:r>
    </w:p>
    <w:p>
      <w:pPr>
        <w:snapToGrid w:val="0"/>
        <w:ind w:firstLine="480"/>
        <w:rPr>
          <w:rFonts w:cs="Times New Roman"/>
          <w:color w:val="auto"/>
        </w:rPr>
      </w:pPr>
      <w:r>
        <w:rPr>
          <w:rFonts w:cs="Times New Roman"/>
          <w:color w:val="auto"/>
        </w:rPr>
        <w:t>工程完成后，在相同的流量条件下将降低河道的水位，河道容量有所增大、调蓄能力有所增强。</w:t>
      </w:r>
    </w:p>
    <w:p>
      <w:pPr>
        <w:snapToGrid w:val="0"/>
        <w:ind w:firstLine="480"/>
        <w:rPr>
          <w:rFonts w:cs="Times New Roman"/>
          <w:color w:val="auto"/>
        </w:rPr>
      </w:pPr>
      <w:r>
        <w:rPr>
          <w:rFonts w:cs="Times New Roman"/>
          <w:color w:val="auto"/>
        </w:rPr>
        <w:t>（3）过流能力变化</w:t>
      </w:r>
    </w:p>
    <w:p>
      <w:pPr>
        <w:snapToGrid w:val="0"/>
        <w:ind w:firstLine="480"/>
        <w:rPr>
          <w:rFonts w:cs="Times New Roman"/>
          <w:color w:val="auto"/>
        </w:rPr>
      </w:pPr>
      <w:r>
        <w:rPr>
          <w:rFonts w:cs="Times New Roman"/>
          <w:color w:val="auto"/>
        </w:rPr>
        <w:t>工程建设规模考虑其排水流量、与上下游河道合理衔接，护岸工程满足防洪要求。因此，在河道的设计规模需满足其过流能力与防涝标准的条件下，工程实施后，河道疏浚使过流断面加大、阻水障碍减少，改善了河道的排水条件，在水位差相同的情况下，河道的过流能力有所增加，汛期排涝速度加快。</w:t>
      </w:r>
    </w:p>
    <w:p>
      <w:pPr>
        <w:snapToGrid w:val="0"/>
        <w:ind w:firstLine="480"/>
        <w:rPr>
          <w:rFonts w:cs="Times New Roman"/>
          <w:color w:val="auto"/>
        </w:rPr>
      </w:pPr>
      <w:r>
        <w:rPr>
          <w:rFonts w:cs="Times New Roman"/>
          <w:color w:val="auto"/>
        </w:rPr>
        <w:t>综上所述，本项目通过</w:t>
      </w:r>
      <w:r>
        <w:rPr>
          <w:rFonts w:hint="eastAsia" w:cs="Times New Roman"/>
          <w:color w:val="auto"/>
          <w:lang w:val="en-US" w:eastAsia="zh-CN"/>
        </w:rPr>
        <w:t>生态缓冲带、人工湿地</w:t>
      </w:r>
      <w:r>
        <w:rPr>
          <w:rFonts w:cs="Times New Roman"/>
          <w:color w:val="auto"/>
        </w:rPr>
        <w:t>工程等措施，</w:t>
      </w:r>
      <w:r>
        <w:rPr>
          <w:rFonts w:hint="eastAsia" w:cs="Times New Roman"/>
          <w:color w:val="auto"/>
          <w:lang w:val="en-US" w:eastAsia="zh-CN"/>
        </w:rPr>
        <w:t>项目区岚河流域</w:t>
      </w:r>
      <w:r>
        <w:rPr>
          <w:rFonts w:cs="Times New Roman"/>
          <w:color w:val="auto"/>
        </w:rPr>
        <w:t>水质得到改善，生态环境得到修复，呈现社会、生态等正效益。</w:t>
      </w:r>
    </w:p>
    <w:p>
      <w:pPr>
        <w:pStyle w:val="4"/>
        <w:numPr>
          <w:ilvl w:val="2"/>
          <w:numId w:val="0"/>
        </w:numPr>
        <w:snapToGrid w:val="0"/>
        <w:ind w:firstLine="480" w:firstLineChars="200"/>
        <w:rPr>
          <w:rFonts w:cs="Times New Roman"/>
          <w:color w:val="auto"/>
        </w:rPr>
      </w:pPr>
      <w:r>
        <w:rPr>
          <w:rFonts w:cs="Times New Roman"/>
          <w:color w:val="auto"/>
        </w:rPr>
        <w:t>5.2.3地下水环境影响分析</w:t>
      </w:r>
    </w:p>
    <w:p>
      <w:pPr>
        <w:snapToGrid w:val="0"/>
        <w:ind w:firstLine="480"/>
        <w:rPr>
          <w:rFonts w:cs="Times New Roman"/>
          <w:color w:val="auto"/>
        </w:rPr>
      </w:pPr>
      <w:r>
        <w:rPr>
          <w:rFonts w:cs="Times New Roman"/>
          <w:color w:val="auto"/>
        </w:rPr>
        <w:t>项目建设不会改变地表水与地下水的补排关系，不会对地下水水位造成影响。因此，项目运营期不会对地下水水质及水位造成影响</w:t>
      </w:r>
      <w:r>
        <w:rPr>
          <w:rFonts w:cs="Times New Roman"/>
          <w:iCs/>
          <w:color w:val="auto"/>
        </w:rPr>
        <w:t>。</w:t>
      </w:r>
    </w:p>
    <w:p>
      <w:pPr>
        <w:pStyle w:val="4"/>
        <w:numPr>
          <w:ilvl w:val="2"/>
          <w:numId w:val="0"/>
        </w:numPr>
        <w:snapToGrid w:val="0"/>
        <w:ind w:firstLine="480" w:firstLineChars="200"/>
        <w:rPr>
          <w:rFonts w:cs="Times New Roman"/>
          <w:color w:val="auto"/>
        </w:rPr>
      </w:pPr>
      <w:r>
        <w:rPr>
          <w:rFonts w:cs="Times New Roman"/>
          <w:color w:val="auto"/>
        </w:rPr>
        <w:t>5.2.4声环境影响预测与评价</w:t>
      </w:r>
    </w:p>
    <w:p>
      <w:pPr>
        <w:snapToGrid w:val="0"/>
        <w:ind w:firstLine="480"/>
        <w:rPr>
          <w:rFonts w:cs="Times New Roman"/>
          <w:color w:val="auto"/>
        </w:rPr>
      </w:pPr>
      <w:r>
        <w:rPr>
          <w:rFonts w:cs="Times New Roman"/>
          <w:color w:val="auto"/>
          <w:szCs w:val="22"/>
        </w:rPr>
        <w:t>项目水源涵养和水土保持工程中有生产辅道的建设，为非城市道路、非等级公路，社会车辆运输非主要功能，车流量较小，并具有不连续性，因此车辆过往产生的噪声对周边的敏感点村庄不会产生明显影响。</w:t>
      </w:r>
    </w:p>
    <w:p>
      <w:pPr>
        <w:pStyle w:val="4"/>
        <w:numPr>
          <w:ilvl w:val="2"/>
          <w:numId w:val="0"/>
        </w:numPr>
        <w:snapToGrid w:val="0"/>
        <w:ind w:firstLine="480" w:firstLineChars="200"/>
        <w:rPr>
          <w:rFonts w:cs="Times New Roman"/>
          <w:color w:val="auto"/>
        </w:rPr>
      </w:pPr>
      <w:r>
        <w:rPr>
          <w:rFonts w:cs="Times New Roman"/>
          <w:color w:val="auto"/>
        </w:rPr>
        <w:t>5.2.5固体废物影响分析</w:t>
      </w:r>
    </w:p>
    <w:p>
      <w:pPr>
        <w:snapToGrid w:val="0"/>
        <w:ind w:firstLine="480"/>
        <w:rPr>
          <w:rFonts w:cs="Times New Roman"/>
          <w:color w:val="auto"/>
        </w:rPr>
      </w:pPr>
      <w:r>
        <w:rPr>
          <w:rFonts w:cs="Times New Roman"/>
          <w:color w:val="auto"/>
        </w:rPr>
        <w:t>本项目为</w:t>
      </w:r>
      <w:r>
        <w:rPr>
          <w:rFonts w:hint="eastAsia" w:cs="Times New Roman"/>
          <w:color w:val="auto"/>
          <w:lang w:val="en-US" w:eastAsia="zh-CN"/>
        </w:rPr>
        <w:t>河湖</w:t>
      </w:r>
      <w:r>
        <w:rPr>
          <w:rFonts w:cs="Times New Roman"/>
          <w:color w:val="auto"/>
        </w:rPr>
        <w:t>整治项目，在其正常运行情况下，无固体废物产生。</w:t>
      </w:r>
    </w:p>
    <w:p>
      <w:pPr>
        <w:pStyle w:val="4"/>
        <w:numPr>
          <w:ilvl w:val="2"/>
          <w:numId w:val="0"/>
        </w:numPr>
        <w:snapToGrid w:val="0"/>
        <w:ind w:firstLine="480" w:firstLineChars="200"/>
        <w:rPr>
          <w:rFonts w:cs="Times New Roman"/>
          <w:color w:val="auto"/>
        </w:rPr>
      </w:pPr>
      <w:r>
        <w:rPr>
          <w:rFonts w:cs="Times New Roman"/>
          <w:color w:val="auto"/>
        </w:rPr>
        <w:t>5.2.6运行期生态环境影响</w:t>
      </w:r>
    </w:p>
    <w:p>
      <w:pPr>
        <w:snapToGrid w:val="0"/>
        <w:ind w:firstLine="480"/>
        <w:outlineLvl w:val="3"/>
        <w:rPr>
          <w:rFonts w:cs="Times New Roman"/>
          <w:color w:val="auto"/>
        </w:rPr>
      </w:pPr>
      <w:r>
        <w:rPr>
          <w:rFonts w:cs="Times New Roman"/>
          <w:color w:val="auto"/>
        </w:rPr>
        <w:t>1.对陆生生态影响分析</w:t>
      </w:r>
    </w:p>
    <w:p>
      <w:pPr>
        <w:snapToGrid w:val="0"/>
        <w:ind w:firstLine="480"/>
        <w:rPr>
          <w:rFonts w:cs="Times New Roman"/>
          <w:color w:val="auto"/>
        </w:rPr>
      </w:pPr>
      <w:r>
        <w:rPr>
          <w:rFonts w:cs="Times New Roman"/>
          <w:color w:val="auto"/>
        </w:rPr>
        <w:t>（1）陆生植物</w:t>
      </w:r>
    </w:p>
    <w:p>
      <w:pPr>
        <w:snapToGrid w:val="0"/>
        <w:ind w:firstLine="480"/>
        <w:rPr>
          <w:rFonts w:cs="Times New Roman"/>
          <w:color w:val="auto"/>
        </w:rPr>
      </w:pPr>
      <w:r>
        <w:rPr>
          <w:rFonts w:cs="Times New Roman"/>
          <w:color w:val="auto"/>
        </w:rPr>
        <w:t>工程实施后，项目建设区内占地面积不大，在河道两岸采用种植绿化带等，可在一定程度上弥补工程建设对区域陆生生态环境的影响。同时，河道部分建设使现状自然岸坡被浆砌石</w:t>
      </w:r>
      <w:r>
        <w:rPr>
          <w:rFonts w:hint="eastAsia" w:cs="Times New Roman"/>
          <w:color w:val="auto"/>
        </w:rPr>
        <w:t>或者</w:t>
      </w:r>
      <w:r>
        <w:rPr>
          <w:rFonts w:cs="Times New Roman"/>
          <w:color w:val="auto"/>
        </w:rPr>
        <w:t>代替，河道沿岸区域小范围内物种数量有所减少，生物多样性也随着受一定的影响。但工程部分河道两岸恢复自然生态面貌或是进行生态修复，有利于构建湿地植被，有利于增加区域生物多样性。</w:t>
      </w:r>
    </w:p>
    <w:p>
      <w:pPr>
        <w:snapToGrid w:val="0"/>
        <w:ind w:firstLine="480"/>
        <w:rPr>
          <w:rFonts w:cs="Times New Roman"/>
          <w:color w:val="auto"/>
        </w:rPr>
      </w:pPr>
      <w:r>
        <w:rPr>
          <w:rFonts w:cs="Times New Roman"/>
          <w:color w:val="auto"/>
        </w:rPr>
        <w:t>（2）陆生动物</w:t>
      </w:r>
    </w:p>
    <w:p>
      <w:pPr>
        <w:snapToGrid w:val="0"/>
        <w:ind w:firstLine="480"/>
        <w:rPr>
          <w:rFonts w:cs="Times New Roman"/>
          <w:color w:val="auto"/>
        </w:rPr>
      </w:pPr>
      <w:r>
        <w:rPr>
          <w:rFonts w:cs="Times New Roman"/>
          <w:color w:val="auto"/>
        </w:rPr>
        <w:t>本工程基本沿现有河道进行整治，不增加线性切割。综合而言，由于工程区的陆生动物多为小型动物，栖息空间比较广泛，运行期动物生境基本不受影响。</w:t>
      </w:r>
    </w:p>
    <w:p>
      <w:pPr>
        <w:snapToGrid w:val="0"/>
        <w:ind w:firstLine="480"/>
        <w:outlineLvl w:val="3"/>
        <w:rPr>
          <w:rFonts w:cs="Times New Roman"/>
          <w:color w:val="auto"/>
        </w:rPr>
      </w:pPr>
      <w:r>
        <w:rPr>
          <w:rFonts w:cs="Times New Roman"/>
          <w:color w:val="auto"/>
        </w:rPr>
        <w:t>2.对水生生态影响分析</w:t>
      </w:r>
    </w:p>
    <w:p>
      <w:pPr>
        <w:snapToGrid w:val="0"/>
        <w:ind w:firstLine="480"/>
        <w:rPr>
          <w:rFonts w:cs="Times New Roman"/>
          <w:color w:val="auto"/>
        </w:rPr>
      </w:pPr>
      <w:r>
        <w:rPr>
          <w:rFonts w:cs="Times New Roman"/>
          <w:color w:val="auto"/>
        </w:rPr>
        <w:t>河道内分布少量的植物，为陆域草本植物，鱼虾类较少，工程建设完成后，对水生生态影响较小。</w:t>
      </w:r>
    </w:p>
    <w:p>
      <w:pPr>
        <w:snapToGrid w:val="0"/>
        <w:ind w:firstLine="480"/>
        <w:rPr>
          <w:rFonts w:cs="Times New Roman"/>
          <w:color w:val="auto"/>
        </w:rPr>
      </w:pPr>
      <w:r>
        <w:rPr>
          <w:rFonts w:cs="Times New Roman"/>
          <w:color w:val="auto"/>
        </w:rPr>
        <w:t>3.对周边景观影响分析</w:t>
      </w:r>
    </w:p>
    <w:p>
      <w:pPr>
        <w:snapToGrid w:val="0"/>
        <w:ind w:firstLine="480"/>
        <w:rPr>
          <w:rFonts w:cs="Times New Roman"/>
          <w:color w:val="auto"/>
        </w:rPr>
      </w:pPr>
      <w:r>
        <w:rPr>
          <w:rFonts w:cs="Times New Roman"/>
          <w:color w:val="auto"/>
        </w:rPr>
        <w:t>本项目</w:t>
      </w:r>
      <w:r>
        <w:rPr>
          <w:rFonts w:hint="eastAsia" w:cs="Times New Roman"/>
          <w:color w:val="auto"/>
          <w:lang w:val="en-US" w:eastAsia="zh-CN"/>
        </w:rPr>
        <w:t>生态缓冲带</w:t>
      </w:r>
      <w:r>
        <w:rPr>
          <w:rFonts w:cs="Times New Roman"/>
          <w:color w:val="auto"/>
        </w:rPr>
        <w:t>工程对河道沿岸边坡进行修整和改造，可以较大程度提升河道两侧的视觉景观效益，将提升治理河道周边的自然景观效益。</w:t>
      </w:r>
    </w:p>
    <w:p>
      <w:pPr>
        <w:snapToGrid w:val="0"/>
        <w:ind w:firstLine="480"/>
        <w:rPr>
          <w:rFonts w:cs="Times New Roman"/>
          <w:color w:val="auto"/>
        </w:rPr>
      </w:pPr>
      <w:r>
        <w:rPr>
          <w:rFonts w:cs="Times New Roman"/>
          <w:color w:val="auto"/>
        </w:rPr>
        <w:t>总而言之，本项目的建设生态影响利大于弊，治理后较治理前，生态容量增大，绿化面积增加，生物量及生物多样性将逐渐增多，景观生态大为改善。</w:t>
      </w:r>
    </w:p>
    <w:bookmarkEnd w:id="68"/>
    <w:p>
      <w:pPr>
        <w:pStyle w:val="4"/>
        <w:numPr>
          <w:ilvl w:val="2"/>
          <w:numId w:val="0"/>
        </w:numPr>
        <w:snapToGrid w:val="0"/>
        <w:ind w:firstLine="480" w:firstLineChars="200"/>
        <w:rPr>
          <w:rFonts w:cs="Times New Roman"/>
          <w:color w:val="auto"/>
        </w:rPr>
      </w:pPr>
      <w:r>
        <w:rPr>
          <w:rFonts w:cs="Times New Roman"/>
          <w:color w:val="auto"/>
        </w:rPr>
        <w:t>5.2.7土壤环境影响分析</w:t>
      </w:r>
    </w:p>
    <w:p>
      <w:pPr>
        <w:snapToGrid w:val="0"/>
        <w:ind w:firstLine="480"/>
        <w:rPr>
          <w:rFonts w:cs="Times New Roman"/>
          <w:color w:val="auto"/>
        </w:rPr>
      </w:pPr>
      <w:r>
        <w:rPr>
          <w:rFonts w:cs="Times New Roman"/>
          <w:color w:val="auto"/>
        </w:rPr>
        <w:t>本项目的实施对于改善工程区域河道水质起到积极作用。同时，沿线景观水面及河堤两侧均采用绿化，不会</w:t>
      </w:r>
      <w:r>
        <w:rPr>
          <w:rFonts w:hint="eastAsia" w:cs="Times New Roman"/>
          <w:color w:val="auto"/>
        </w:rPr>
        <w:t>造成</w:t>
      </w:r>
      <w:r>
        <w:rPr>
          <w:rFonts w:cs="Times New Roman"/>
          <w:color w:val="auto"/>
        </w:rPr>
        <w:t>土壤潜育化、沼泽化、潴育化、土地沙漠化等影响。综上所述，建设项目土壤环境影响可接受。</w:t>
      </w:r>
    </w:p>
    <w:p>
      <w:pPr>
        <w:ind w:firstLine="480"/>
        <w:rPr>
          <w:rFonts w:cs="Times New Roman"/>
          <w:color w:val="auto"/>
        </w:rPr>
        <w:sectPr>
          <w:pgSz w:w="11906" w:h="16838"/>
          <w:pgMar w:top="1418" w:right="1531" w:bottom="1418" w:left="1418" w:header="851" w:footer="851" w:gutter="0"/>
          <w:pgBorders>
            <w:top w:val="none" w:sz="0" w:space="0"/>
            <w:left w:val="none" w:sz="0" w:space="0"/>
            <w:bottom w:val="none" w:sz="0" w:space="0"/>
            <w:right w:val="none" w:sz="0" w:space="0"/>
          </w:pgBorders>
          <w:cols w:space="0" w:num="1"/>
          <w:docGrid w:type="lines" w:linePitch="400" w:charSpace="0"/>
        </w:sectPr>
      </w:pPr>
    </w:p>
    <w:bookmarkEnd w:id="30"/>
    <w:p>
      <w:pPr>
        <w:keepNext/>
        <w:keepLines/>
        <w:snapToGrid w:val="0"/>
        <w:ind w:firstLine="0" w:firstLineChars="0"/>
        <w:jc w:val="left"/>
        <w:outlineLvl w:val="0"/>
        <w:rPr>
          <w:rFonts w:eastAsia="黑体" w:cs="Times New Roman"/>
          <w:b/>
          <w:color w:val="auto"/>
          <w:kern w:val="44"/>
          <w:sz w:val="32"/>
        </w:rPr>
      </w:pPr>
      <w:bookmarkStart w:id="74" w:name="_Toc142388381"/>
      <w:bookmarkStart w:id="75" w:name="_Toc5425"/>
      <w:r>
        <w:rPr>
          <w:rFonts w:eastAsia="黑体" w:cs="Times New Roman"/>
          <w:b/>
          <w:color w:val="auto"/>
          <w:kern w:val="44"/>
          <w:sz w:val="32"/>
        </w:rPr>
        <w:t>6</w:t>
      </w:r>
      <w:r>
        <w:rPr>
          <w:rFonts w:eastAsia="黑体" w:cs="Times New Roman"/>
          <w:color w:val="auto"/>
          <w:kern w:val="44"/>
          <w:sz w:val="32"/>
        </w:rPr>
        <w:t>环境保护措施及其可行性论证</w:t>
      </w:r>
      <w:bookmarkEnd w:id="74"/>
      <w:bookmarkEnd w:id="75"/>
    </w:p>
    <w:p>
      <w:pPr>
        <w:pStyle w:val="3"/>
        <w:numPr>
          <w:ilvl w:val="1"/>
          <w:numId w:val="0"/>
        </w:numPr>
        <w:ind w:left="575"/>
        <w:rPr>
          <w:rFonts w:cs="Times New Roman"/>
          <w:b w:val="0"/>
          <w:color w:val="auto"/>
        </w:rPr>
      </w:pPr>
      <w:bookmarkStart w:id="76" w:name="_Toc142388382"/>
      <w:r>
        <w:rPr>
          <w:rFonts w:cs="Times New Roman"/>
          <w:b w:val="0"/>
          <w:color w:val="auto"/>
        </w:rPr>
        <w:t>6.1施工期污染防治措施可行性论证</w:t>
      </w:r>
      <w:bookmarkEnd w:id="76"/>
    </w:p>
    <w:p>
      <w:pPr>
        <w:pStyle w:val="4"/>
        <w:numPr>
          <w:ilvl w:val="2"/>
          <w:numId w:val="0"/>
        </w:numPr>
        <w:snapToGrid w:val="0"/>
        <w:ind w:firstLine="480" w:firstLineChars="200"/>
        <w:rPr>
          <w:rFonts w:cs="Times New Roman"/>
          <w:color w:val="auto"/>
        </w:rPr>
      </w:pPr>
      <w:r>
        <w:rPr>
          <w:rFonts w:cs="Times New Roman"/>
          <w:color w:val="auto"/>
        </w:rPr>
        <w:t>6.1.1施工期废气污染防治措施可行性论证</w:t>
      </w:r>
    </w:p>
    <w:p>
      <w:pPr>
        <w:snapToGrid w:val="0"/>
        <w:ind w:firstLine="480"/>
        <w:rPr>
          <w:rFonts w:cs="Times New Roman"/>
          <w:color w:val="auto"/>
        </w:rPr>
      </w:pPr>
      <w:r>
        <w:rPr>
          <w:rFonts w:cs="Times New Roman"/>
          <w:color w:val="auto"/>
        </w:rPr>
        <w:t>1.施工扬尘污染防治措施可行性论证</w:t>
      </w:r>
    </w:p>
    <w:p>
      <w:pPr>
        <w:snapToGrid w:val="0"/>
        <w:ind w:firstLine="480"/>
        <w:rPr>
          <w:rFonts w:cs="Times New Roman"/>
          <w:color w:val="auto"/>
        </w:rPr>
      </w:pPr>
      <w:r>
        <w:rPr>
          <w:rFonts w:cs="Times New Roman"/>
          <w:color w:val="auto"/>
        </w:rPr>
        <w:t>为有效控制施工期间的扬尘影响，本评价要求建设单位严格执行《大气污染防治行动计划》《陕西省大气污染防治条例》《陕西省大气污染防治行动计划实施方案》《安康市大气污染治理专项行动工作方案（2023-2027年》等有关规定，类比调查结果及其它施工场地采取的抑尘措施，对项目施工期提出以下要求：</w:t>
      </w:r>
    </w:p>
    <w:p>
      <w:pPr>
        <w:snapToGrid w:val="0"/>
        <w:ind w:firstLine="480"/>
        <w:rPr>
          <w:rFonts w:cs="Times New Roman"/>
          <w:color w:val="auto"/>
        </w:rPr>
      </w:pPr>
      <w:r>
        <w:rPr>
          <w:rFonts w:cs="Times New Roman"/>
          <w:color w:val="auto"/>
        </w:rPr>
        <w:t>（1）从事各类工程建设等施工活动以及物料运输、堆放和其他产生扬尘污染物的建设单位和施工单位，应当向所在地人民政府负责监督管理扬尘污染防治的主管部门备案，并采取措施防止产生扬尘污染。</w:t>
      </w:r>
    </w:p>
    <w:p>
      <w:pPr>
        <w:snapToGrid w:val="0"/>
        <w:ind w:firstLine="480"/>
        <w:rPr>
          <w:rFonts w:cs="Times New Roman"/>
          <w:color w:val="auto"/>
        </w:rPr>
      </w:pPr>
      <w:r>
        <w:rPr>
          <w:rFonts w:cs="Times New Roman"/>
          <w:color w:val="auto"/>
        </w:rPr>
        <w:t>（2）建设单位应当将施工扬尘污染防治费用纳入工程预算，并在施工合同中明确施工单位扬尘污染防治责任，施工单位应当制定具体施工扬尘污染防治方案并负责实施。</w:t>
      </w:r>
    </w:p>
    <w:p>
      <w:pPr>
        <w:snapToGrid w:val="0"/>
        <w:ind w:firstLine="480"/>
        <w:rPr>
          <w:rFonts w:cs="Times New Roman"/>
          <w:color w:val="auto"/>
        </w:rPr>
      </w:pPr>
      <w:r>
        <w:rPr>
          <w:rFonts w:cs="Times New Roman"/>
          <w:color w:val="auto"/>
        </w:rPr>
        <w:t>（3）开工前，在施工现场周边设置围挡并进行维护；暂未开工的建设用地，对裸露地面进行覆盖；超过三个月未开工的，应当采取临时绿化等防尘措施。</w:t>
      </w:r>
    </w:p>
    <w:p>
      <w:pPr>
        <w:snapToGrid w:val="0"/>
        <w:ind w:firstLine="480"/>
        <w:rPr>
          <w:rFonts w:cs="Times New Roman"/>
          <w:color w:val="auto"/>
        </w:rPr>
      </w:pPr>
      <w:r>
        <w:rPr>
          <w:rFonts w:cs="Times New Roman"/>
          <w:color w:val="auto"/>
        </w:rPr>
        <w:t>（4）施工单位必须在在施工现场出入口明显位置设置公示牌，公示施工现场负责人、环保监督员、防尘措施、扬尘监督管理部门、举报投诉电话等信息。</w:t>
      </w:r>
    </w:p>
    <w:p>
      <w:pPr>
        <w:snapToGrid w:val="0"/>
        <w:ind w:firstLine="480"/>
        <w:rPr>
          <w:rFonts w:cs="Times New Roman"/>
          <w:color w:val="auto"/>
        </w:rPr>
      </w:pPr>
      <w:r>
        <w:rPr>
          <w:rFonts w:cs="Times New Roman"/>
          <w:color w:val="auto"/>
        </w:rPr>
        <w:t>（5）在施工现场周边设置硬质封闭围挡或者围墙，位于主要路段的，高度不低于2.5米，位于一般路段的，高度不低于1.8米，并在围挡底端设置不低于0.2米的防溢座。</w:t>
      </w:r>
    </w:p>
    <w:p>
      <w:pPr>
        <w:snapToGrid w:val="0"/>
        <w:ind w:firstLine="480"/>
        <w:rPr>
          <w:rFonts w:cs="Times New Roman"/>
          <w:color w:val="auto"/>
        </w:rPr>
      </w:pPr>
      <w:r>
        <w:rPr>
          <w:rFonts w:cs="Times New Roman"/>
          <w:color w:val="auto"/>
        </w:rPr>
        <w:t>（6）施工现场出入口和场内施工道路、材料加工堆放区、办公区、生活区必须采用混凝土硬化或用硬质砌块铺设，硬化后的地面应清扫整洁无浮土、积土，严禁使用其他软质材料铺设。</w:t>
      </w:r>
    </w:p>
    <w:p>
      <w:pPr>
        <w:snapToGrid w:val="0"/>
        <w:ind w:firstLine="480"/>
        <w:rPr>
          <w:rFonts w:cs="Times New Roman"/>
          <w:color w:val="auto"/>
        </w:rPr>
      </w:pPr>
      <w:r>
        <w:rPr>
          <w:rFonts w:cs="Times New Roman"/>
          <w:color w:val="auto"/>
        </w:rPr>
        <w:t>（7）施工现场出入口必须配备车辆冲洗设施，设置排水、泥浆沉淀池等设施，建立冲洗制度并设专人管理，严禁车辆带泥上路。</w:t>
      </w:r>
    </w:p>
    <w:p>
      <w:pPr>
        <w:snapToGrid w:val="0"/>
        <w:ind w:firstLine="480"/>
        <w:rPr>
          <w:rFonts w:cs="Times New Roman"/>
          <w:color w:val="auto"/>
        </w:rPr>
      </w:pPr>
      <w:r>
        <w:rPr>
          <w:rFonts w:cs="Times New Roman"/>
          <w:color w:val="auto"/>
        </w:rPr>
        <w:t>（8）施工现场出入口、加工区和主作业区等处必须安装视频监控系统，对施工扬尘实时监控。</w:t>
      </w:r>
    </w:p>
    <w:p>
      <w:pPr>
        <w:snapToGrid w:val="0"/>
        <w:ind w:firstLine="480"/>
        <w:rPr>
          <w:rFonts w:cs="Times New Roman"/>
          <w:color w:val="auto"/>
        </w:rPr>
      </w:pPr>
      <w:r>
        <w:rPr>
          <w:rFonts w:cs="Times New Roman"/>
          <w:color w:val="auto"/>
        </w:rPr>
        <w:t>（9）施工现场集中堆放的土方和裸露场地必须采取覆盖、固化或绿化等防尘措施，严禁裸露。</w:t>
      </w:r>
    </w:p>
    <w:p>
      <w:pPr>
        <w:snapToGrid w:val="0"/>
        <w:ind w:firstLine="480"/>
        <w:rPr>
          <w:rFonts w:cs="Times New Roman"/>
          <w:color w:val="auto"/>
        </w:rPr>
      </w:pPr>
      <w:r>
        <w:rPr>
          <w:rFonts w:cs="Times New Roman"/>
          <w:color w:val="auto"/>
        </w:rPr>
        <w:t>（10）基坑开挖作业过程中，四周应采取洒水、喷雾等降尘措施。</w:t>
      </w:r>
    </w:p>
    <w:p>
      <w:pPr>
        <w:snapToGrid w:val="0"/>
        <w:ind w:firstLine="480"/>
        <w:rPr>
          <w:rFonts w:cs="Times New Roman"/>
          <w:color w:val="auto"/>
        </w:rPr>
      </w:pPr>
      <w:r>
        <w:rPr>
          <w:rFonts w:cs="Times New Roman"/>
          <w:color w:val="auto"/>
        </w:rPr>
        <w:t>（11）施工现场易飞扬的细颗粒建筑材料必须密闭存放或严密覆盖，严禁露天放置；搬运时应有降尘措施，余料及时回收。</w:t>
      </w:r>
    </w:p>
    <w:p>
      <w:pPr>
        <w:snapToGrid w:val="0"/>
        <w:ind w:firstLine="480"/>
        <w:rPr>
          <w:rFonts w:cs="Times New Roman"/>
          <w:color w:val="auto"/>
        </w:rPr>
      </w:pPr>
      <w:r>
        <w:rPr>
          <w:rFonts w:cs="Times New Roman"/>
          <w:color w:val="auto"/>
        </w:rPr>
        <w:t>（12）具备条件的地区施工现场必须使用商品混凝土、预拌砂浆，严禁现场搅拌。不具备条件的地区，现场搅拌</w:t>
      </w:r>
      <w:r>
        <w:rPr>
          <w:rFonts w:hint="eastAsia" w:cs="Times New Roman"/>
          <w:color w:val="auto"/>
        </w:rPr>
        <w:t>混凝土和</w:t>
      </w:r>
      <w:r>
        <w:rPr>
          <w:rFonts w:cs="Times New Roman"/>
          <w:color w:val="auto"/>
        </w:rPr>
        <w:t>砂浆必须做好防止扬尘污染措施。</w:t>
      </w:r>
      <w:r>
        <w:rPr>
          <w:rFonts w:hint="eastAsia" w:cs="Times New Roman"/>
          <w:color w:val="auto"/>
        </w:rPr>
        <w:t>搅拌机在运行过程中需安装除尘设备，并在混凝土搅拌机四周设置屏蔽棚，避免在干燥、大风天气进行混凝土拌和，以减少扬尘污染环境。在各混凝土拌和系统操作区、水泥堆放区附近辅以洒水降尘措施。此外，施工场地应对施工工人做好宣传教育。大力宣传环境保护法律法规和大气污染防治科普知识，提高施工人员的环保意识。</w:t>
      </w:r>
    </w:p>
    <w:p>
      <w:pPr>
        <w:snapToGrid w:val="0"/>
        <w:ind w:firstLine="480"/>
        <w:rPr>
          <w:rFonts w:cs="Times New Roman"/>
          <w:color w:val="auto"/>
        </w:rPr>
      </w:pPr>
      <w:r>
        <w:rPr>
          <w:rFonts w:cs="Times New Roman"/>
          <w:color w:val="auto"/>
        </w:rPr>
        <w:t>（13）施工现场运送土方、渣土的车辆必须封闭或遮盖严密，严禁使用未办理相关手续的渣土等运输车辆，严禁沿路遗撒和随意倾倒。</w:t>
      </w:r>
    </w:p>
    <w:p>
      <w:pPr>
        <w:snapToGrid w:val="0"/>
        <w:ind w:firstLine="480"/>
        <w:rPr>
          <w:rFonts w:cs="Times New Roman"/>
          <w:color w:val="auto"/>
        </w:rPr>
      </w:pPr>
      <w:r>
        <w:rPr>
          <w:rFonts w:cs="Times New Roman"/>
          <w:color w:val="auto"/>
        </w:rPr>
        <w:t>（14）建筑物内应保持干净整洁，清扫垃圾时要洒水抑尘。</w:t>
      </w:r>
    </w:p>
    <w:p>
      <w:pPr>
        <w:snapToGrid w:val="0"/>
        <w:ind w:firstLine="480"/>
        <w:rPr>
          <w:rFonts w:cs="Times New Roman"/>
          <w:color w:val="auto"/>
        </w:rPr>
      </w:pPr>
      <w:r>
        <w:rPr>
          <w:rFonts w:cs="Times New Roman"/>
          <w:color w:val="auto"/>
        </w:rPr>
        <w:t>（15）施工现场的建筑垃圾必须设置垃圾存放点，集中堆放并严密覆盖，及时清运。生活垃圾应用封闭式容器存放，日产日清，严禁随意丢弃。</w:t>
      </w:r>
    </w:p>
    <w:p>
      <w:pPr>
        <w:snapToGrid w:val="0"/>
        <w:ind w:firstLine="480"/>
        <w:rPr>
          <w:rFonts w:cs="Times New Roman"/>
          <w:color w:val="auto"/>
        </w:rPr>
      </w:pPr>
      <w:r>
        <w:rPr>
          <w:rFonts w:cs="Times New Roman"/>
          <w:color w:val="auto"/>
        </w:rPr>
        <w:t>（16）施工现场必须建立洒水清扫抑尘制度，配备洒水设备，并有专人负责。有不利天气时相应增加洒水频次。</w:t>
      </w:r>
    </w:p>
    <w:p>
      <w:pPr>
        <w:snapToGrid w:val="0"/>
        <w:ind w:firstLine="480"/>
        <w:rPr>
          <w:rFonts w:cs="Times New Roman"/>
          <w:color w:val="auto"/>
        </w:rPr>
      </w:pPr>
      <w:r>
        <w:rPr>
          <w:rFonts w:cs="Times New Roman"/>
          <w:color w:val="auto"/>
        </w:rPr>
        <w:t>（17）遇有4级以上大风或重污染天气预警时，必须采取扬尘防治应急措施，严禁土方开挖、土方回填、材料切割或其他有可能产生扬尘的作业。</w:t>
      </w:r>
    </w:p>
    <w:p>
      <w:pPr>
        <w:snapToGrid w:val="0"/>
        <w:ind w:firstLine="480"/>
        <w:rPr>
          <w:rFonts w:cs="Times New Roman"/>
          <w:color w:val="auto"/>
        </w:rPr>
      </w:pPr>
      <w:r>
        <w:rPr>
          <w:rFonts w:cs="Times New Roman"/>
          <w:color w:val="auto"/>
        </w:rPr>
        <w:t>2</w:t>
      </w:r>
      <w:r>
        <w:rPr>
          <w:rFonts w:hint="eastAsia" w:cs="Times New Roman"/>
          <w:color w:val="auto"/>
        </w:rPr>
        <w:t>.</w:t>
      </w:r>
      <w:r>
        <w:rPr>
          <w:rFonts w:cs="Times New Roman"/>
          <w:color w:val="auto"/>
        </w:rPr>
        <w:t>运输扬尘污染防治措施可行性论证</w:t>
      </w:r>
    </w:p>
    <w:p>
      <w:pPr>
        <w:snapToGrid w:val="0"/>
        <w:ind w:firstLine="480"/>
        <w:rPr>
          <w:rFonts w:cs="Times New Roman"/>
          <w:color w:val="auto"/>
        </w:rPr>
      </w:pPr>
      <w:r>
        <w:rPr>
          <w:rFonts w:cs="Times New Roman"/>
          <w:color w:val="auto"/>
        </w:rPr>
        <w:t>为减少运输扬尘对周边区域的影响，</w:t>
      </w:r>
      <w:r>
        <w:rPr>
          <w:rFonts w:hint="eastAsia" w:cs="Times New Roman"/>
          <w:color w:val="auto"/>
        </w:rPr>
        <w:t>环评</w:t>
      </w:r>
      <w:r>
        <w:rPr>
          <w:rFonts w:cs="Times New Roman"/>
          <w:color w:val="auto"/>
        </w:rPr>
        <w:t>提出以下措施：</w:t>
      </w:r>
    </w:p>
    <w:p>
      <w:pPr>
        <w:snapToGrid w:val="0"/>
        <w:ind w:firstLine="480"/>
        <w:rPr>
          <w:rFonts w:cs="Times New Roman"/>
          <w:color w:val="auto"/>
        </w:rPr>
      </w:pPr>
      <w:r>
        <w:rPr>
          <w:rFonts w:hint="eastAsia" w:cs="Times New Roman"/>
          <w:color w:val="auto"/>
        </w:rPr>
        <w:t>（1）加强车辆管理，运载建筑材料的车辆要遮雨布遮盖或使用密闭运输车减少散落，车辆驶出装、卸场地前将车厢和轮胎冲洗干净，同时进出需设置洗车平台；运输车辆驶出施工现场前要将车轮和槽帮冲洗干净，确保车辆不带泥土驶离工地；施工场地内运输通道及时清扫冲洗，以减少汽车行驶扬尘；运输车辆行驶路线应尽量避开居民点和环境敏感点。严禁使用敞口运输车运输施工垃圾。杜绝超高、超载和沿路洒落等违法运输行为。工作车辆及运输车辆在离开施工区时冲洗轮胎，检查装车质量。</w:t>
      </w:r>
    </w:p>
    <w:p>
      <w:pPr>
        <w:snapToGrid w:val="0"/>
        <w:ind w:firstLine="480"/>
        <w:rPr>
          <w:rFonts w:cs="Times New Roman"/>
          <w:color w:val="auto"/>
        </w:rPr>
      </w:pPr>
      <w:r>
        <w:rPr>
          <w:rFonts w:hint="eastAsia" w:cs="Times New Roman"/>
          <w:color w:val="auto"/>
        </w:rPr>
        <w:t>（2）定期对施工道路进行养护、清扫，保持路面平整；路两侧设限速标志，控制车速不得超过</w:t>
      </w:r>
      <w:r>
        <w:rPr>
          <w:rFonts w:cs="Times New Roman"/>
          <w:color w:val="auto"/>
        </w:rPr>
        <w:t>25km/h</w:t>
      </w:r>
      <w:r>
        <w:rPr>
          <w:rFonts w:hint="eastAsia" w:cs="Times New Roman"/>
          <w:color w:val="auto"/>
        </w:rPr>
        <w:t>。</w:t>
      </w:r>
    </w:p>
    <w:p>
      <w:pPr>
        <w:snapToGrid w:val="0"/>
        <w:ind w:firstLine="480"/>
        <w:rPr>
          <w:rFonts w:cs="Times New Roman"/>
          <w:color w:val="auto"/>
        </w:rPr>
      </w:pPr>
      <w:r>
        <w:rPr>
          <w:rFonts w:hint="eastAsia" w:cs="Times New Roman"/>
          <w:color w:val="auto"/>
        </w:rPr>
        <w:t>（3）加强各类道路施工扬尘污染防治，全面落实围挡、洒水、冲洗、裸土覆盖、土方运输密闭等措施，切实减轻扬尘污染。将道路施工中吹灰等易导致扬尘的操作改为吸尘、冲洗等操作。</w:t>
      </w:r>
    </w:p>
    <w:p>
      <w:pPr>
        <w:snapToGrid w:val="0"/>
        <w:ind w:firstLine="480"/>
        <w:rPr>
          <w:rFonts w:cs="Times New Roman"/>
          <w:color w:val="auto"/>
        </w:rPr>
      </w:pPr>
      <w:r>
        <w:rPr>
          <w:rFonts w:hint="eastAsia" w:cs="Times New Roman"/>
          <w:color w:val="auto"/>
        </w:rPr>
        <w:t>（4）渣土、建筑垃圾、散装物料等在运输过程中要用挡板和蓬布严格密闭运输，车辆不应装载过满，以免在运输途中震动酒落。施工作业应尽量避开不利天气，施工现场应设专人负责保洁工作，每个施工段安排</w:t>
      </w:r>
      <w:r>
        <w:rPr>
          <w:rFonts w:cs="Times New Roman"/>
          <w:color w:val="auto"/>
        </w:rPr>
        <w:t>1</w:t>
      </w:r>
      <w:r>
        <w:rPr>
          <w:rFonts w:hint="eastAsia" w:cs="Times New Roman"/>
          <w:color w:val="auto"/>
        </w:rPr>
        <w:t>名员工对施工场地和运输车辆行驶路面应经常洒水和清扫。洒水次数根据天气情况而定，施工机械在挖土、装土、堆土等作业时，应该采用雾状洒水等措施，防止扬尘污染。</w:t>
      </w:r>
    </w:p>
    <w:p>
      <w:pPr>
        <w:snapToGrid w:val="0"/>
        <w:ind w:firstLine="480"/>
        <w:rPr>
          <w:rFonts w:cs="Times New Roman"/>
          <w:color w:val="auto"/>
        </w:rPr>
      </w:pPr>
      <w:r>
        <w:rPr>
          <w:rFonts w:hint="eastAsia" w:cs="Times New Roman"/>
          <w:color w:val="auto"/>
        </w:rPr>
        <w:t>（5）安装渣土运输车辆</w:t>
      </w:r>
      <w:r>
        <w:rPr>
          <w:rFonts w:cs="Times New Roman"/>
          <w:color w:val="auto"/>
        </w:rPr>
        <w:t>GPS</w:t>
      </w:r>
      <w:r>
        <w:rPr>
          <w:rFonts w:hint="eastAsia" w:cs="Times New Roman"/>
          <w:color w:val="auto"/>
        </w:rPr>
        <w:t>定位系统，严格实施密闭运输，车辆要及时冲洗。</w:t>
      </w:r>
    </w:p>
    <w:p>
      <w:pPr>
        <w:snapToGrid w:val="0"/>
        <w:ind w:firstLine="480"/>
        <w:rPr>
          <w:rFonts w:cs="Times New Roman"/>
          <w:color w:val="auto"/>
        </w:rPr>
      </w:pPr>
      <w:r>
        <w:rPr>
          <w:rFonts w:hint="eastAsia" w:cs="Times New Roman"/>
          <w:color w:val="auto"/>
        </w:rPr>
        <w:t>（6）依法严厉查处超限超载运输过程中存在的扬撒滴漏行为以及造成扬尘污染的非法运输行为，实现扬撒滴漏查处常态化。规范渣土车营运环境；严厉打击渣土车超载、带泥上路和沿途撒漏等违法行为。</w:t>
      </w:r>
    </w:p>
    <w:p>
      <w:pPr>
        <w:snapToGrid w:val="0"/>
        <w:ind w:firstLine="480"/>
        <w:rPr>
          <w:rFonts w:cs="Times New Roman"/>
          <w:color w:val="auto"/>
        </w:rPr>
      </w:pPr>
      <w:r>
        <w:rPr>
          <w:rFonts w:hint="eastAsia" w:cs="Times New Roman"/>
          <w:color w:val="auto"/>
        </w:rPr>
        <w:t>（7）土方运输过程中应注意防止空气污染，加强运输管理，保证汽车安全、文明行驶；保持车辆进出施工场地路面清洁；运输车辆应当在除泥、冲洗干净后，方可驶出施工工地；装载弃土弃渣及干化淤泥的车辆应密闭运输，避免出现滴漏、撒落；施工便道尽量硬化，且不能穿越敏感点，应尽量远离敏感点；合理选择运输路线，尽可能减少运输车辆经过居住区等敏感区域，不能避让的车辆应控制行车车速。工程垃圾、工程土渣和建筑垃圾、搬运装卸过程中按洒水、压尘后作业的程序进行或采用相应容器管理运输，严禁凌空抛洒。</w:t>
      </w:r>
    </w:p>
    <w:p>
      <w:pPr>
        <w:snapToGrid w:val="0"/>
        <w:ind w:firstLine="480"/>
        <w:rPr>
          <w:rFonts w:cs="Times New Roman"/>
          <w:color w:val="auto"/>
        </w:rPr>
      </w:pPr>
      <w:r>
        <w:rPr>
          <w:rFonts w:hint="eastAsia" w:cs="Times New Roman"/>
          <w:color w:val="auto"/>
        </w:rPr>
        <w:t>（8）配合有关部门搞好施工期间周围道路的交通组织，避免因施工而造成交通堵塞，减少因此而产生的废气怠速排放。</w:t>
      </w:r>
    </w:p>
    <w:p>
      <w:pPr>
        <w:snapToGrid w:val="0"/>
        <w:ind w:firstLine="480"/>
        <w:rPr>
          <w:rFonts w:cs="Times New Roman"/>
          <w:color w:val="auto"/>
        </w:rPr>
      </w:pPr>
      <w:r>
        <w:rPr>
          <w:rFonts w:hint="eastAsia" w:cs="Times New Roman"/>
          <w:color w:val="auto"/>
        </w:rPr>
        <w:t>（9）选用环保型施工机械、运输车辆，并选用质量较好的燃油。进场前应加强施工车辆、机械检测管理工作，对于未达到排放标准或未取得营运资格的应禁止入场；施工期加强施工机械生物维护和保养，减少机械废气污染。施工区域尽量利用当地民用电力设施，尽量不使用柴油发电机。不得在施工现场更换机油以及大型维修工作。禁止在施工现场焚烧有毒有害和有恶臭气味的物质。</w:t>
      </w:r>
    </w:p>
    <w:p>
      <w:pPr>
        <w:snapToGrid w:val="0"/>
        <w:ind w:firstLine="480"/>
        <w:rPr>
          <w:rFonts w:cs="Times New Roman"/>
          <w:color w:val="auto"/>
        </w:rPr>
      </w:pPr>
      <w:r>
        <w:rPr>
          <w:rFonts w:hint="eastAsia" w:cs="Times New Roman"/>
          <w:color w:val="auto"/>
        </w:rPr>
        <w:t>（1</w:t>
      </w:r>
      <w:r>
        <w:rPr>
          <w:rFonts w:cs="Times New Roman"/>
          <w:color w:val="auto"/>
        </w:rPr>
        <w:t>0</w:t>
      </w:r>
      <w:r>
        <w:rPr>
          <w:rFonts w:hint="eastAsia" w:cs="Times New Roman"/>
          <w:color w:val="auto"/>
        </w:rPr>
        <w:t>）各施工阶段应有专职环境保护管理人员，其职责是指导和管理施工现场的工程弃土、建筑材料的处置、清运、堆放，场地恢复和硬化。清除进出施工现场道路上的泥土、弃料以及轮胎上的泥土，防止二次扬尘污染。</w:t>
      </w:r>
    </w:p>
    <w:p>
      <w:pPr>
        <w:snapToGrid w:val="0"/>
        <w:ind w:firstLine="480"/>
        <w:rPr>
          <w:rFonts w:cs="Times New Roman"/>
          <w:color w:val="auto"/>
        </w:rPr>
      </w:pPr>
      <w:r>
        <w:rPr>
          <w:rFonts w:cs="Times New Roman"/>
          <w:color w:val="auto"/>
        </w:rPr>
        <w:t>本项目车流量占现有比例很小，因此项目产生的运输扬尘对沿线敏感点影响较小，随着建设期的结束，本工程车辆行驶扬尘的影响也随之消失。</w:t>
      </w:r>
    </w:p>
    <w:p>
      <w:pPr>
        <w:snapToGrid w:val="0"/>
        <w:ind w:firstLine="480"/>
        <w:rPr>
          <w:rFonts w:cs="Times New Roman"/>
          <w:color w:val="auto"/>
        </w:rPr>
      </w:pPr>
      <w:r>
        <w:rPr>
          <w:rFonts w:cs="Times New Roman"/>
          <w:color w:val="auto"/>
        </w:rPr>
        <w:t>3</w:t>
      </w:r>
      <w:r>
        <w:rPr>
          <w:rFonts w:hint="eastAsia" w:cs="Times New Roman"/>
          <w:color w:val="auto"/>
        </w:rPr>
        <w:t>.</w:t>
      </w:r>
      <w:r>
        <w:rPr>
          <w:rFonts w:cs="Times New Roman"/>
          <w:color w:val="auto"/>
        </w:rPr>
        <w:t>燃油施工机械废气污染防治措施可行性论证</w:t>
      </w:r>
    </w:p>
    <w:p>
      <w:pPr>
        <w:snapToGrid w:val="0"/>
        <w:ind w:firstLine="480"/>
        <w:rPr>
          <w:rFonts w:cs="Times New Roman"/>
          <w:color w:val="auto"/>
        </w:rPr>
      </w:pPr>
      <w:r>
        <w:rPr>
          <w:rFonts w:hint="eastAsia" w:cs="Times New Roman"/>
          <w:color w:val="auto"/>
        </w:rPr>
        <w:t>（1）</w:t>
      </w:r>
      <w:r>
        <w:rPr>
          <w:rFonts w:cs="Times New Roman"/>
          <w:color w:val="auto"/>
        </w:rPr>
        <w:t>运输车辆和以燃油为动力的施工机械应使用合格燃料，严禁使用劣质燃油，同时合理布置运输车辆行驶路线，保证行使速度，减少怠速时间，以减少机动车尾气的排放。</w:t>
      </w:r>
    </w:p>
    <w:p>
      <w:pPr>
        <w:snapToGrid w:val="0"/>
        <w:ind w:firstLine="480"/>
        <w:rPr>
          <w:rFonts w:cs="Times New Roman"/>
          <w:color w:val="auto"/>
        </w:rPr>
      </w:pPr>
      <w:r>
        <w:rPr>
          <w:rFonts w:hint="eastAsia" w:cs="Times New Roman"/>
          <w:color w:val="auto"/>
        </w:rPr>
        <w:t>（2）</w:t>
      </w:r>
      <w:r>
        <w:rPr>
          <w:rFonts w:cs="Times New Roman"/>
          <w:color w:val="auto"/>
        </w:rPr>
        <w:t>加强对燃油机械设备的维护和保养，保持设备在正常良好的状态下工作。同时燃油机械应保障尾气能够达标排放。</w:t>
      </w:r>
    </w:p>
    <w:p>
      <w:pPr>
        <w:snapToGrid w:val="0"/>
        <w:ind w:firstLine="480"/>
        <w:rPr>
          <w:rFonts w:cs="Times New Roman"/>
          <w:color w:val="auto"/>
        </w:rPr>
      </w:pPr>
      <w:r>
        <w:rPr>
          <w:rFonts w:hint="eastAsia" w:cs="Times New Roman"/>
          <w:color w:val="auto"/>
        </w:rPr>
        <w:t>（3）</w:t>
      </w:r>
      <w:r>
        <w:rPr>
          <w:rFonts w:cs="Times New Roman"/>
          <w:color w:val="auto"/>
        </w:rPr>
        <w:t>施工机械尽量选用低能耗、低污染排放的设备，同时，应加强机械、车辆的管理和维修，减少因机械、车辆状况不佳造成的空气污染。</w:t>
      </w:r>
    </w:p>
    <w:p>
      <w:pPr>
        <w:snapToGrid w:val="0"/>
        <w:ind w:firstLine="480"/>
        <w:rPr>
          <w:rFonts w:cs="Times New Roman"/>
          <w:color w:val="auto"/>
        </w:rPr>
      </w:pPr>
      <w:r>
        <w:rPr>
          <w:rFonts w:hint="eastAsia" w:cs="Times New Roman"/>
          <w:color w:val="auto"/>
        </w:rPr>
        <w:t>（4）</w:t>
      </w:r>
      <w:r>
        <w:rPr>
          <w:rFonts w:cs="Times New Roman"/>
          <w:color w:val="auto"/>
        </w:rPr>
        <w:t>运输车辆废气沿交通线路排放，施工机械废气是以点源形式排放，施工区域沿引水线路线性布置，地形开阔，空气流通性好，利于各种污染物扩散，不会引起局部环境空气质量恶化，加之废气断续排放和施工期有限，废气对区域环境空气质量影响较小。</w:t>
      </w:r>
    </w:p>
    <w:p>
      <w:pPr>
        <w:snapToGrid w:val="0"/>
        <w:ind w:firstLine="480"/>
        <w:rPr>
          <w:rFonts w:cs="Times New Roman"/>
          <w:color w:val="auto"/>
        </w:rPr>
      </w:pPr>
      <w:r>
        <w:rPr>
          <w:rFonts w:hint="eastAsia" w:cs="Times New Roman"/>
          <w:color w:val="auto"/>
        </w:rPr>
        <w:t>以上施工期防治施工扬尘、施工机械设备燃油废气措施可以起到防治污染物对拟建项目周边环境空气质量状况的不良影响，在经济、技术上均具有较高的可行性和可操作性。此外，施工场地平坦开阔无高大建筑因而空气的稀释能力较强，不会因为施工扬尘、燃油机械设备和车辆的尾气、以及恶臭造成拟建项目周边环境空气质量明显降低。</w:t>
      </w:r>
    </w:p>
    <w:p>
      <w:pPr>
        <w:pStyle w:val="4"/>
        <w:numPr>
          <w:ilvl w:val="2"/>
          <w:numId w:val="0"/>
        </w:numPr>
        <w:snapToGrid w:val="0"/>
        <w:ind w:firstLine="480" w:firstLineChars="200"/>
        <w:rPr>
          <w:rFonts w:cs="Times New Roman"/>
          <w:color w:val="auto"/>
        </w:rPr>
      </w:pPr>
      <w:bookmarkStart w:id="77" w:name="_Toc9083"/>
      <w:r>
        <w:rPr>
          <w:rFonts w:cs="Times New Roman"/>
          <w:color w:val="auto"/>
        </w:rPr>
        <w:t>6.1.2施工期废水污染防治措施及其可行性论证</w:t>
      </w:r>
      <w:bookmarkEnd w:id="77"/>
    </w:p>
    <w:p>
      <w:pPr>
        <w:snapToGrid w:val="0"/>
        <w:ind w:firstLine="480"/>
        <w:rPr>
          <w:rFonts w:cs="Times New Roman"/>
          <w:color w:val="auto"/>
        </w:rPr>
      </w:pPr>
      <w:r>
        <w:rPr>
          <w:rFonts w:cs="Times New Roman"/>
          <w:color w:val="auto"/>
        </w:rPr>
        <w:t>1</w:t>
      </w:r>
      <w:r>
        <w:rPr>
          <w:rFonts w:hint="eastAsia" w:cs="Times New Roman"/>
          <w:color w:val="auto"/>
        </w:rPr>
        <w:t>.</w:t>
      </w:r>
      <w:r>
        <w:rPr>
          <w:rFonts w:cs="Times New Roman"/>
          <w:color w:val="auto"/>
        </w:rPr>
        <w:t>施工期机械车辆冲洗废水污染防治措施可行性论证</w:t>
      </w:r>
    </w:p>
    <w:p>
      <w:pPr>
        <w:pStyle w:val="61"/>
        <w:snapToGrid w:val="0"/>
        <w:ind w:firstLine="480"/>
        <w:rPr>
          <w:rFonts w:cs="Times New Roman"/>
          <w:color w:val="auto"/>
        </w:rPr>
      </w:pPr>
      <w:r>
        <w:rPr>
          <w:rFonts w:cs="Times New Roman"/>
          <w:color w:val="auto"/>
        </w:rPr>
        <w:t>施工期间各类机械跑、冒、滴、漏及施工场地混凝土拌和冲洗，施工机械车辆维修保养和冲洗等将产生施工生产废水，废水中主要污染物为悬浮物（SS）和少量的石油类</w:t>
      </w:r>
      <w:r>
        <w:rPr>
          <w:rFonts w:hint="eastAsia" w:cs="Times New Roman"/>
          <w:color w:val="auto"/>
        </w:rPr>
        <w:t>。</w:t>
      </w:r>
    </w:p>
    <w:p>
      <w:pPr>
        <w:pStyle w:val="61"/>
        <w:snapToGrid w:val="0"/>
        <w:ind w:firstLine="480"/>
        <w:rPr>
          <w:rFonts w:cs="Times New Roman"/>
          <w:color w:val="auto"/>
        </w:rPr>
      </w:pPr>
      <w:r>
        <w:rPr>
          <w:rFonts w:hint="eastAsia" w:cs="Times New Roman"/>
          <w:color w:val="auto"/>
        </w:rPr>
        <w:t>（</w:t>
      </w:r>
      <w:r>
        <w:rPr>
          <w:rFonts w:cs="Times New Roman"/>
          <w:color w:val="auto"/>
        </w:rPr>
        <w:t>1</w:t>
      </w:r>
      <w:r>
        <w:rPr>
          <w:rFonts w:hint="eastAsia" w:cs="Times New Roman"/>
          <w:color w:val="auto"/>
        </w:rPr>
        <w:t>）施工机械、车辆冲洗废水</w:t>
      </w:r>
    </w:p>
    <w:p>
      <w:pPr>
        <w:pStyle w:val="61"/>
        <w:snapToGrid w:val="0"/>
        <w:ind w:firstLine="480"/>
        <w:rPr>
          <w:rFonts w:cs="Times New Roman"/>
          <w:color w:val="auto"/>
        </w:rPr>
      </w:pPr>
      <w:r>
        <w:rPr>
          <w:rFonts w:hint="eastAsia" w:cs="Times New Roman"/>
          <w:color w:val="auto"/>
        </w:rPr>
        <w:t>根据项目设计，工机械、车辆冲洗废水废水采用“废水收集系统</w:t>
      </w:r>
      <w:r>
        <w:rPr>
          <w:rFonts w:cs="Times New Roman"/>
          <w:color w:val="auto"/>
        </w:rPr>
        <w:t>+</w:t>
      </w:r>
      <w:r>
        <w:rPr>
          <w:rFonts w:hint="eastAsia" w:cs="Times New Roman"/>
          <w:color w:val="auto"/>
        </w:rPr>
        <w:t>隔油池</w:t>
      </w:r>
      <w:r>
        <w:rPr>
          <w:rFonts w:cs="Times New Roman"/>
          <w:color w:val="auto"/>
        </w:rPr>
        <w:t>+</w:t>
      </w:r>
      <w:r>
        <w:rPr>
          <w:rFonts w:hint="eastAsia" w:cs="Times New Roman"/>
          <w:color w:val="auto"/>
        </w:rPr>
        <w:t>沉淀池”进行处理，可使废水</w:t>
      </w:r>
      <w:r>
        <w:rPr>
          <w:rFonts w:cs="Times New Roman"/>
          <w:color w:val="auto"/>
        </w:rPr>
        <w:t>SS</w:t>
      </w:r>
      <w:r>
        <w:rPr>
          <w:rFonts w:hint="eastAsia" w:cs="Times New Roman"/>
          <w:color w:val="auto"/>
        </w:rPr>
        <w:t>浓度控制在</w:t>
      </w:r>
      <w:r>
        <w:rPr>
          <w:rFonts w:cs="Times New Roman"/>
          <w:color w:val="auto"/>
        </w:rPr>
        <w:t>70mg/L</w:t>
      </w:r>
      <w:r>
        <w:rPr>
          <w:rFonts w:hint="eastAsia" w:cs="Times New Roman"/>
          <w:color w:val="auto"/>
        </w:rPr>
        <w:t>以下，石油类控制在</w:t>
      </w:r>
      <w:r>
        <w:rPr>
          <w:rFonts w:cs="Times New Roman"/>
          <w:color w:val="auto"/>
        </w:rPr>
        <w:t>5mg/L</w:t>
      </w:r>
      <w:r>
        <w:rPr>
          <w:rFonts w:hint="eastAsia" w:cs="Times New Roman"/>
          <w:color w:val="auto"/>
        </w:rPr>
        <w:t>以下，经处理达标后回用于车辆冲洗或洒水降尘，不外排。</w:t>
      </w:r>
    </w:p>
    <w:p>
      <w:pPr>
        <w:pStyle w:val="61"/>
        <w:snapToGrid w:val="0"/>
        <w:ind w:firstLine="480"/>
        <w:rPr>
          <w:rFonts w:cs="Times New Roman"/>
          <w:color w:val="auto"/>
        </w:rPr>
      </w:pPr>
      <w:r>
        <w:rPr>
          <w:rFonts w:hint="eastAsia" w:cs="Times New Roman"/>
          <w:color w:val="auto"/>
        </w:rPr>
        <w:t>（</w:t>
      </w:r>
      <w:r>
        <w:rPr>
          <w:rFonts w:cs="Times New Roman"/>
          <w:color w:val="auto"/>
        </w:rPr>
        <w:t>2</w:t>
      </w:r>
      <w:r>
        <w:rPr>
          <w:rFonts w:hint="eastAsia" w:cs="Times New Roman"/>
          <w:color w:val="auto"/>
        </w:rPr>
        <w:t>）混凝土拌和冲洗、养护废水</w:t>
      </w:r>
    </w:p>
    <w:p>
      <w:pPr>
        <w:pStyle w:val="61"/>
        <w:snapToGrid w:val="0"/>
        <w:ind w:firstLine="480"/>
        <w:rPr>
          <w:rFonts w:cs="Times New Roman"/>
          <w:color w:val="auto"/>
        </w:rPr>
      </w:pPr>
      <w:r>
        <w:rPr>
          <w:rFonts w:hint="eastAsia" w:cs="Times New Roman"/>
          <w:color w:val="auto"/>
        </w:rPr>
        <w:t>混凝土拌和冲洗废水呈碱性，</w:t>
      </w:r>
      <w:r>
        <w:rPr>
          <w:rFonts w:cs="Times New Roman"/>
          <w:color w:val="auto"/>
        </w:rPr>
        <w:t>pH</w:t>
      </w:r>
      <w:r>
        <w:rPr>
          <w:rFonts w:hint="eastAsia" w:cs="Times New Roman"/>
          <w:color w:val="auto"/>
        </w:rPr>
        <w:t>一般为</w:t>
      </w:r>
      <w:r>
        <w:rPr>
          <w:rFonts w:cs="Times New Roman"/>
          <w:color w:val="auto"/>
        </w:rPr>
        <w:t>11~12</w:t>
      </w:r>
      <w:r>
        <w:rPr>
          <w:rFonts w:hint="eastAsia" w:cs="Times New Roman"/>
          <w:color w:val="auto"/>
        </w:rPr>
        <w:t>，</w:t>
      </w:r>
      <w:r>
        <w:rPr>
          <w:rFonts w:cs="Times New Roman"/>
          <w:color w:val="auto"/>
        </w:rPr>
        <w:t>SS</w:t>
      </w:r>
      <w:r>
        <w:rPr>
          <w:rFonts w:hint="eastAsia" w:cs="Times New Roman"/>
          <w:color w:val="auto"/>
        </w:rPr>
        <w:t>浓度在</w:t>
      </w:r>
      <w:r>
        <w:rPr>
          <w:rFonts w:cs="Times New Roman"/>
          <w:color w:val="auto"/>
        </w:rPr>
        <w:t>1200mg/L</w:t>
      </w:r>
      <w:r>
        <w:rPr>
          <w:rFonts w:hint="eastAsia" w:cs="Times New Roman"/>
          <w:color w:val="auto"/>
        </w:rPr>
        <w:t>左右。零星混凝土和砂浆拌和施工，根据需要临时布置小型搅拌设备。混凝土拌和冲洗废水采用沉淀池沉淀后上清液回用混凝土搅拌过程中，废水不外排。</w:t>
      </w:r>
    </w:p>
    <w:p>
      <w:pPr>
        <w:pStyle w:val="61"/>
        <w:snapToGrid w:val="0"/>
        <w:ind w:firstLine="480"/>
        <w:rPr>
          <w:rFonts w:cs="Times New Roman"/>
          <w:color w:val="auto"/>
        </w:rPr>
      </w:pPr>
      <w:r>
        <w:rPr>
          <w:rFonts w:hint="eastAsia" w:cs="Times New Roman"/>
          <w:color w:val="auto"/>
        </w:rPr>
        <w:t>（</w:t>
      </w:r>
      <w:r>
        <w:rPr>
          <w:rFonts w:cs="Times New Roman"/>
          <w:color w:val="auto"/>
        </w:rPr>
        <w:t>3</w:t>
      </w:r>
      <w:r>
        <w:rPr>
          <w:rFonts w:hint="eastAsia" w:cs="Times New Roman"/>
          <w:color w:val="auto"/>
        </w:rPr>
        <w:t>）基坑废水</w:t>
      </w:r>
    </w:p>
    <w:p>
      <w:pPr>
        <w:pStyle w:val="61"/>
        <w:snapToGrid w:val="0"/>
        <w:ind w:firstLine="480"/>
        <w:rPr>
          <w:rFonts w:cs="Times New Roman"/>
          <w:color w:val="auto"/>
        </w:rPr>
      </w:pPr>
      <w:r>
        <w:rPr>
          <w:rFonts w:hint="eastAsia" w:cs="Times New Roman"/>
          <w:color w:val="auto"/>
        </w:rPr>
        <w:t>本工程涉及的拦水堰等建筑物施工过程中存在开挖形成的基坑，由于降雨和地下水渗出，基坑被需排水，排水的悬浮物含量较高。基坑积水采取排水沟排水，潜水泵抽排出基坑，基坑废水经沉淀处理后洒水降尘，不外排。</w:t>
      </w:r>
    </w:p>
    <w:p>
      <w:pPr>
        <w:pStyle w:val="61"/>
        <w:snapToGrid w:val="0"/>
        <w:ind w:firstLine="480"/>
        <w:rPr>
          <w:rFonts w:cs="Times New Roman"/>
          <w:color w:val="auto"/>
        </w:rPr>
      </w:pPr>
      <w:r>
        <w:rPr>
          <w:rFonts w:hint="eastAsia" w:cs="Times New Roman"/>
          <w:color w:val="auto"/>
        </w:rPr>
        <w:t>（</w:t>
      </w:r>
      <w:r>
        <w:rPr>
          <w:rFonts w:hint="eastAsia" w:cs="Times New Roman"/>
          <w:color w:val="auto"/>
          <w:lang w:val="en-US" w:eastAsia="zh-CN"/>
        </w:rPr>
        <w:t>4</w:t>
      </w:r>
      <w:r>
        <w:rPr>
          <w:rFonts w:hint="eastAsia" w:cs="Times New Roman"/>
          <w:color w:val="auto"/>
        </w:rPr>
        <w:t>）其他防范措施</w:t>
      </w:r>
    </w:p>
    <w:p>
      <w:pPr>
        <w:pStyle w:val="61"/>
        <w:snapToGrid w:val="0"/>
        <w:ind w:firstLine="480"/>
        <w:rPr>
          <w:rFonts w:cs="Times New Roman"/>
          <w:color w:val="auto"/>
        </w:rPr>
      </w:pPr>
      <w:r>
        <w:rPr>
          <w:rFonts w:hint="eastAsia" w:cs="Times New Roman"/>
          <w:color w:val="auto"/>
        </w:rPr>
        <w:t>①加强对施工废水收集处理系统的清理维护，雨天对设施顶部采取有效的遮盖措施，并及时清理排水沟及处理设施沉泥沉渣，保证系统的处理效果。</w:t>
      </w:r>
    </w:p>
    <w:p>
      <w:pPr>
        <w:pStyle w:val="61"/>
        <w:snapToGrid w:val="0"/>
        <w:ind w:firstLine="480"/>
        <w:rPr>
          <w:rFonts w:cs="Times New Roman"/>
          <w:color w:val="auto"/>
        </w:rPr>
      </w:pPr>
      <w:r>
        <w:rPr>
          <w:rFonts w:hint="eastAsia" w:cs="Times New Roman"/>
          <w:color w:val="auto"/>
        </w:rPr>
        <w:t>②为防止施工区临时堆放的土方被雨水冲刷造成水土流失，土方堆场四周需砌挡土墙作为临时性挡护措施，必要时进行加高加固，避免土方受雨水冲刷后随地表径流排入附近水体。</w:t>
      </w:r>
    </w:p>
    <w:p>
      <w:pPr>
        <w:snapToGrid w:val="0"/>
        <w:ind w:firstLine="480"/>
        <w:rPr>
          <w:rFonts w:cs="Times New Roman"/>
          <w:color w:val="auto"/>
        </w:rPr>
      </w:pPr>
      <w:r>
        <w:rPr>
          <w:rFonts w:cs="Times New Roman"/>
          <w:color w:val="auto"/>
        </w:rPr>
        <w:t>2、施工期生活废水污染防治措施可行性论证</w:t>
      </w:r>
    </w:p>
    <w:p>
      <w:pPr>
        <w:snapToGrid w:val="0"/>
        <w:ind w:firstLine="480"/>
        <w:rPr>
          <w:rFonts w:cs="Times New Roman"/>
          <w:color w:val="auto"/>
          <w:kern w:val="0"/>
        </w:rPr>
      </w:pPr>
      <w:r>
        <w:rPr>
          <w:rFonts w:cs="Times New Roman"/>
          <w:color w:val="auto"/>
        </w:rPr>
        <w:t>生活污水主要来自施工人员的日常生活，主要污染物为COD、BOD</w:t>
      </w:r>
      <w:r>
        <w:rPr>
          <w:rFonts w:cs="Times New Roman"/>
          <w:color w:val="auto"/>
          <w:vertAlign w:val="subscript"/>
        </w:rPr>
        <w:t>5</w:t>
      </w:r>
      <w:r>
        <w:rPr>
          <w:rFonts w:cs="Times New Roman"/>
          <w:color w:val="auto"/>
        </w:rPr>
        <w:t>、NH</w:t>
      </w:r>
      <w:r>
        <w:rPr>
          <w:rFonts w:cs="Times New Roman"/>
          <w:color w:val="auto"/>
          <w:vertAlign w:val="subscript"/>
        </w:rPr>
        <w:t>3</w:t>
      </w:r>
      <w:r>
        <w:rPr>
          <w:rFonts w:cs="Times New Roman"/>
          <w:color w:val="auto"/>
        </w:rPr>
        <w:t>-N浓度约300mg/L、150mg/L、30mg/L。本项目</w:t>
      </w:r>
      <w:r>
        <w:rPr>
          <w:rFonts w:hint="eastAsia" w:cs="Times New Roman"/>
          <w:color w:val="auto"/>
        </w:rPr>
        <w:t>不新建</w:t>
      </w:r>
      <w:r>
        <w:rPr>
          <w:rFonts w:cs="Times New Roman"/>
          <w:color w:val="auto"/>
        </w:rPr>
        <w:t>施工营地，施工人员租用沿线居民住房，生活污水依托沿线居民化粪池收集，定期清掏还田不外排。</w:t>
      </w:r>
      <w:r>
        <w:rPr>
          <w:rFonts w:cs="Times New Roman"/>
          <w:color w:val="auto"/>
          <w:kern w:val="0"/>
        </w:rPr>
        <w:t>因此，本项目针对施工期施工</w:t>
      </w:r>
      <w:r>
        <w:rPr>
          <w:rFonts w:hint="eastAsia" w:cs="Times New Roman"/>
          <w:color w:val="auto"/>
          <w:kern w:val="0"/>
        </w:rPr>
        <w:t>人员</w:t>
      </w:r>
      <w:r>
        <w:rPr>
          <w:rFonts w:cs="Times New Roman"/>
          <w:color w:val="auto"/>
          <w:kern w:val="0"/>
        </w:rPr>
        <w:t>生活废水采取的治理措施可行。</w:t>
      </w:r>
    </w:p>
    <w:p>
      <w:pPr>
        <w:pStyle w:val="4"/>
        <w:numPr>
          <w:ilvl w:val="2"/>
          <w:numId w:val="0"/>
        </w:numPr>
        <w:snapToGrid w:val="0"/>
        <w:ind w:firstLine="480" w:firstLineChars="200"/>
        <w:rPr>
          <w:rFonts w:cs="Times New Roman"/>
          <w:color w:val="auto"/>
        </w:rPr>
      </w:pPr>
      <w:r>
        <w:rPr>
          <w:rFonts w:cs="Times New Roman"/>
          <w:color w:val="auto"/>
        </w:rPr>
        <w:t>6.1.3施工期地下水污染防治措施可行性论证</w:t>
      </w:r>
    </w:p>
    <w:p>
      <w:pPr>
        <w:snapToGrid w:val="0"/>
        <w:ind w:firstLine="480"/>
        <w:rPr>
          <w:rFonts w:cs="Times New Roman"/>
          <w:color w:val="auto"/>
        </w:rPr>
      </w:pPr>
      <w:r>
        <w:rPr>
          <w:rFonts w:hint="eastAsia" w:cs="Times New Roman"/>
          <w:color w:val="auto"/>
        </w:rPr>
        <w:t>施工过程中应做好以下防治措施：</w:t>
      </w:r>
    </w:p>
    <w:p>
      <w:pPr>
        <w:snapToGrid w:val="0"/>
        <w:ind w:firstLine="480"/>
        <w:rPr>
          <w:rFonts w:cs="Times New Roman"/>
          <w:color w:val="auto"/>
        </w:rPr>
      </w:pPr>
      <w:r>
        <w:rPr>
          <w:rFonts w:hint="eastAsia" w:cs="Times New Roman"/>
          <w:color w:val="auto"/>
        </w:rPr>
        <w:t>（</w:t>
      </w:r>
      <w:r>
        <w:rPr>
          <w:rFonts w:cs="Times New Roman"/>
          <w:color w:val="auto"/>
        </w:rPr>
        <w:t>1</w:t>
      </w:r>
      <w:r>
        <w:rPr>
          <w:rFonts w:hint="eastAsia" w:cs="Times New Roman"/>
          <w:color w:val="auto"/>
        </w:rPr>
        <w:t>）工程实施后加强对地下水水位、水质、生态、土壤的监测，为掌握水质状况及制定环保政策提供依据，及时采取针对性措施保证工程区人民安居乐业和环境改善。</w:t>
      </w:r>
    </w:p>
    <w:p>
      <w:pPr>
        <w:snapToGrid w:val="0"/>
        <w:ind w:firstLine="480"/>
        <w:rPr>
          <w:rFonts w:cs="Times New Roman"/>
          <w:color w:val="auto"/>
        </w:rPr>
      </w:pPr>
      <w:r>
        <w:rPr>
          <w:rFonts w:hint="eastAsia" w:cs="Times New Roman"/>
          <w:color w:val="auto"/>
        </w:rPr>
        <w:t>（</w:t>
      </w:r>
      <w:r>
        <w:rPr>
          <w:rFonts w:cs="Times New Roman"/>
          <w:color w:val="auto"/>
        </w:rPr>
        <w:t>2</w:t>
      </w:r>
      <w:r>
        <w:rPr>
          <w:rFonts w:hint="eastAsia" w:cs="Times New Roman"/>
          <w:color w:val="auto"/>
        </w:rPr>
        <w:t>）做好施工、建筑、材料等的存放、使用管理，避免受到雨水的冲刷而进入地下水环境。</w:t>
      </w:r>
    </w:p>
    <w:p>
      <w:pPr>
        <w:snapToGrid w:val="0"/>
        <w:ind w:firstLine="480"/>
        <w:rPr>
          <w:rFonts w:cs="Times New Roman"/>
          <w:color w:val="auto"/>
        </w:rPr>
      </w:pPr>
      <w:r>
        <w:rPr>
          <w:rFonts w:hint="eastAsia" w:cs="Times New Roman"/>
          <w:color w:val="auto"/>
        </w:rPr>
        <w:t>（</w:t>
      </w:r>
      <w:r>
        <w:rPr>
          <w:rFonts w:cs="Times New Roman"/>
          <w:color w:val="auto"/>
        </w:rPr>
        <w:t>3</w:t>
      </w:r>
      <w:r>
        <w:rPr>
          <w:rFonts w:hint="eastAsia" w:cs="Times New Roman"/>
          <w:color w:val="auto"/>
        </w:rPr>
        <w:t>）保证护岸工程选用的建筑材料及回填土料等是环保清洁的。</w:t>
      </w:r>
    </w:p>
    <w:p>
      <w:pPr>
        <w:snapToGrid w:val="0"/>
        <w:ind w:firstLine="480"/>
        <w:rPr>
          <w:rFonts w:cs="Times New Roman"/>
          <w:color w:val="auto"/>
        </w:rPr>
      </w:pPr>
      <w:r>
        <w:rPr>
          <w:rFonts w:hint="eastAsia" w:cs="Times New Roman"/>
          <w:color w:val="auto"/>
        </w:rPr>
        <w:t>（</w:t>
      </w:r>
      <w:r>
        <w:rPr>
          <w:rFonts w:cs="Times New Roman"/>
          <w:color w:val="auto"/>
        </w:rPr>
        <w:t>4</w:t>
      </w:r>
      <w:r>
        <w:rPr>
          <w:rFonts w:hint="eastAsia" w:cs="Times New Roman"/>
          <w:color w:val="auto"/>
        </w:rPr>
        <w:t>）施工场地及施工便道采取硬化设施，隔油沉淀池采取防渗措施，避免污染地下水。</w:t>
      </w:r>
    </w:p>
    <w:p>
      <w:pPr>
        <w:snapToGrid w:val="0"/>
        <w:ind w:firstLine="480"/>
        <w:rPr>
          <w:rFonts w:cs="Times New Roman"/>
          <w:color w:val="auto"/>
        </w:rPr>
      </w:pPr>
      <w:r>
        <w:rPr>
          <w:rFonts w:hint="eastAsia" w:cs="Times New Roman"/>
          <w:color w:val="auto"/>
        </w:rPr>
        <w:t>（</w:t>
      </w:r>
      <w:r>
        <w:rPr>
          <w:rFonts w:cs="Times New Roman"/>
          <w:color w:val="auto"/>
        </w:rPr>
        <w:t>5</w:t>
      </w:r>
      <w:r>
        <w:rPr>
          <w:rFonts w:hint="eastAsia" w:cs="Times New Roman"/>
          <w:color w:val="auto"/>
        </w:rPr>
        <w:t>）不使用地下水，禁止向地下水排放污染物。</w:t>
      </w:r>
    </w:p>
    <w:p>
      <w:pPr>
        <w:pStyle w:val="4"/>
        <w:numPr>
          <w:ilvl w:val="2"/>
          <w:numId w:val="0"/>
        </w:numPr>
        <w:snapToGrid w:val="0"/>
        <w:ind w:firstLine="480" w:firstLineChars="200"/>
        <w:rPr>
          <w:rFonts w:cs="Times New Roman"/>
          <w:color w:val="auto"/>
        </w:rPr>
      </w:pPr>
      <w:bookmarkStart w:id="78" w:name="_Toc5490"/>
      <w:r>
        <w:rPr>
          <w:rFonts w:cs="Times New Roman"/>
          <w:color w:val="auto"/>
        </w:rPr>
        <w:t>6.1.4噪声污染防治措施及其可行性论证</w:t>
      </w:r>
      <w:bookmarkEnd w:id="78"/>
    </w:p>
    <w:p>
      <w:pPr>
        <w:snapToGrid w:val="0"/>
        <w:ind w:firstLine="480"/>
        <w:rPr>
          <w:rFonts w:cs="Times New Roman"/>
          <w:color w:val="auto"/>
        </w:rPr>
      </w:pPr>
      <w:r>
        <w:rPr>
          <w:rFonts w:cs="Times New Roman"/>
          <w:color w:val="auto"/>
        </w:rPr>
        <w:t>根据沿途环境敏感点分布情况和受影响的程度，项目针对具体情况，采取以下防护措施来减轻噪声影响。</w:t>
      </w:r>
    </w:p>
    <w:p>
      <w:pPr>
        <w:snapToGrid w:val="0"/>
        <w:ind w:firstLine="480"/>
        <w:rPr>
          <w:rFonts w:cs="Times New Roman"/>
          <w:color w:val="auto"/>
        </w:rPr>
      </w:pPr>
      <w:r>
        <w:rPr>
          <w:rFonts w:hint="eastAsia" w:cs="Times New Roman"/>
          <w:color w:val="auto"/>
        </w:rPr>
        <w:t>（1）</w:t>
      </w:r>
      <w:r>
        <w:rPr>
          <w:rFonts w:cs="Times New Roman"/>
          <w:color w:val="auto"/>
        </w:rPr>
        <w:t>合理选择施工机械设备</w:t>
      </w:r>
    </w:p>
    <w:p>
      <w:pPr>
        <w:snapToGrid w:val="0"/>
        <w:ind w:firstLine="480"/>
        <w:rPr>
          <w:rFonts w:cs="Times New Roman"/>
          <w:color w:val="auto"/>
        </w:rPr>
      </w:pPr>
      <w:r>
        <w:rPr>
          <w:rFonts w:cs="Times New Roman"/>
          <w:color w:val="auto"/>
        </w:rPr>
        <w:t>施工单位应选用低噪音、振动的各类施工机械设备，并带有消声和隔音的附属设备；避免多台高噪音的机械设备在同一工场和同一时间使用。施工单位应加强对排放高强度噪音的施工机械设备如装载机等的管理，应在靠近敏感点一侧设置隔声挡板或吸声屏障，并且加快该路段的施工进度，降低噪声的影响范围和强度。同时应加强各类施工设备的维护和保养，保持其良好的运转，以便从根本上降低噪声源强。</w:t>
      </w:r>
    </w:p>
    <w:p>
      <w:pPr>
        <w:snapToGrid w:val="0"/>
        <w:ind w:firstLine="480"/>
        <w:rPr>
          <w:rFonts w:cs="Times New Roman"/>
          <w:color w:val="auto"/>
        </w:rPr>
      </w:pPr>
      <w:r>
        <w:rPr>
          <w:rFonts w:hint="eastAsia" w:cs="Times New Roman"/>
          <w:color w:val="auto"/>
        </w:rPr>
        <w:t>（2）</w:t>
      </w:r>
      <w:r>
        <w:rPr>
          <w:rFonts w:cs="Times New Roman"/>
          <w:color w:val="auto"/>
        </w:rPr>
        <w:t>合理安排施工时间</w:t>
      </w:r>
    </w:p>
    <w:p>
      <w:pPr>
        <w:snapToGrid w:val="0"/>
        <w:ind w:firstLine="480"/>
        <w:rPr>
          <w:rFonts w:cs="Times New Roman"/>
          <w:color w:val="auto"/>
        </w:rPr>
      </w:pPr>
      <w:r>
        <w:rPr>
          <w:rFonts w:cs="Times New Roman"/>
          <w:color w:val="auto"/>
        </w:rPr>
        <w:t>在保证进度的前提下，施工单位合理安排各类机械的施工时间，减少高噪声设备同时施工的情况。如噪声源强高的作业可放在昼间（06:00~22:00）进行或对各种施工机械操作时间作适当调整，禁止夜间进行</w:t>
      </w:r>
      <w:r>
        <w:rPr>
          <w:rFonts w:hint="eastAsia" w:cs="Times New Roman"/>
          <w:color w:val="auto"/>
        </w:rPr>
        <w:t>高噪声</w:t>
      </w:r>
      <w:r>
        <w:rPr>
          <w:rFonts w:cs="Times New Roman"/>
          <w:color w:val="auto"/>
        </w:rPr>
        <w:t>作业。沿线村庄附近禁止夜间施工；同时，在距离路线较近的敏感点应酌情调整施工时间，避开在午休时间施工（12:00~14:00）。必须连续施工作业的工点，施工单位应视具体情况及时与当地</w:t>
      </w:r>
      <w:r>
        <w:rPr>
          <w:rFonts w:hint="eastAsia" w:cs="Times New Roman"/>
          <w:color w:val="auto"/>
        </w:rPr>
        <w:t>生态环境</w:t>
      </w:r>
      <w:r>
        <w:rPr>
          <w:rFonts w:cs="Times New Roman"/>
          <w:color w:val="auto"/>
        </w:rPr>
        <w:t>部门取得联系，按规定申领夜间施工证，同时发布公告最大限度地争取民众支持。</w:t>
      </w:r>
    </w:p>
    <w:p>
      <w:pPr>
        <w:snapToGrid w:val="0"/>
        <w:ind w:firstLine="480"/>
        <w:rPr>
          <w:rFonts w:cs="Times New Roman"/>
          <w:color w:val="auto"/>
        </w:rPr>
      </w:pPr>
      <w:r>
        <w:rPr>
          <w:rFonts w:hint="eastAsia" w:cs="Times New Roman"/>
          <w:color w:val="auto"/>
        </w:rPr>
        <w:t>（3）</w:t>
      </w:r>
      <w:r>
        <w:rPr>
          <w:rFonts w:cs="Times New Roman"/>
          <w:color w:val="auto"/>
        </w:rPr>
        <w:t>合理布局施工现场</w:t>
      </w:r>
    </w:p>
    <w:p>
      <w:pPr>
        <w:snapToGrid w:val="0"/>
        <w:ind w:firstLine="480"/>
        <w:rPr>
          <w:rFonts w:cs="Times New Roman"/>
          <w:color w:val="auto"/>
        </w:rPr>
      </w:pPr>
      <w:r>
        <w:rPr>
          <w:rFonts w:cs="Times New Roman"/>
          <w:color w:val="auto"/>
        </w:rPr>
        <w:t>施工单位应布置好施工现场，合理安排施工机械，将施工现场的固定振动源相对集中，以减少影响的范围；振动较大的固定机械设备应加装减振机座，降低振动对距路线较近敏感点的影响；对可固定的机械设备如空压机安置在施工场地临时房间内，房屋内设隔音板或隔音罩，降低噪声等，从而达到降低噪声的目的。</w:t>
      </w:r>
    </w:p>
    <w:p>
      <w:pPr>
        <w:snapToGrid w:val="0"/>
        <w:ind w:firstLine="480"/>
        <w:rPr>
          <w:rFonts w:cs="Times New Roman"/>
          <w:color w:val="auto"/>
        </w:rPr>
      </w:pPr>
      <w:r>
        <w:rPr>
          <w:rFonts w:hint="eastAsia" w:cs="Times New Roman"/>
          <w:color w:val="auto"/>
        </w:rPr>
        <w:t>（4）</w:t>
      </w:r>
      <w:r>
        <w:rPr>
          <w:rFonts w:cs="Times New Roman"/>
          <w:color w:val="auto"/>
        </w:rPr>
        <w:t>做好宣传工作，倡导科学管理和文明施工</w:t>
      </w:r>
    </w:p>
    <w:p>
      <w:pPr>
        <w:snapToGrid w:val="0"/>
        <w:ind w:firstLine="480"/>
        <w:rPr>
          <w:rFonts w:cs="Times New Roman"/>
          <w:color w:val="auto"/>
        </w:rPr>
      </w:pPr>
      <w:r>
        <w:rPr>
          <w:rFonts w:cs="Times New Roman"/>
          <w:color w:val="auto"/>
        </w:rPr>
        <w:t>由于技术条件、施工现场客观环境限制，即使采用了相应的控制对策和措施，施工噪声、振动仍可能对周围环境产生一定的影响，为此要向沿线受影响的居民和有关单位做好宣传工作，以提高人们对不利影响的心理承受力；加强施工现场的科学管理，做好施工人员的环境保护意识的教育；大力倡导文明施工的自觉性，尽量降低人为因素造成施工噪声的加重。尤其在项目距离路线较近的敏感点，应设置警示标志和限速标志，严禁超速行驶影响居民安全和生活。</w:t>
      </w:r>
    </w:p>
    <w:p>
      <w:pPr>
        <w:snapToGrid w:val="0"/>
        <w:ind w:firstLine="480"/>
        <w:rPr>
          <w:rFonts w:cs="Times New Roman"/>
          <w:color w:val="auto"/>
        </w:rPr>
      </w:pPr>
      <w:r>
        <w:rPr>
          <w:rFonts w:hint="eastAsia" w:cs="Times New Roman"/>
          <w:color w:val="auto"/>
        </w:rPr>
        <w:t>（5）</w:t>
      </w:r>
      <w:r>
        <w:rPr>
          <w:rFonts w:cs="Times New Roman"/>
          <w:color w:val="auto"/>
        </w:rPr>
        <w:t>加强环境管理，接受环保部门环境监督</w:t>
      </w:r>
    </w:p>
    <w:p>
      <w:pPr>
        <w:snapToGrid w:val="0"/>
        <w:ind w:firstLine="480"/>
        <w:rPr>
          <w:rFonts w:cs="Times New Roman"/>
          <w:color w:val="auto"/>
        </w:rPr>
      </w:pPr>
      <w:r>
        <w:rPr>
          <w:rFonts w:cs="Times New Roman"/>
          <w:color w:val="auto"/>
        </w:rPr>
        <w:t>为了有效地控制施工噪声对环境的影响，除落实有关的控制措施外，还必须加强环境管理；根据国家和地方的有关法律、法令、条例、规定，施工单位应主动接受环保部门的监督管理和检查。建设单位应责成施工单位在施工现场张贴布告和投诉电话，建设单位在接到投诉后应及时与当地环保部门取得联系，以便及时处理各种环境纠纷。</w:t>
      </w:r>
    </w:p>
    <w:p>
      <w:pPr>
        <w:snapToGrid w:val="0"/>
        <w:ind w:firstLine="480"/>
        <w:rPr>
          <w:rFonts w:cs="Times New Roman"/>
          <w:color w:val="auto"/>
        </w:rPr>
      </w:pPr>
      <w:r>
        <w:rPr>
          <w:rFonts w:hint="eastAsia" w:cs="Times New Roman"/>
          <w:color w:val="auto"/>
        </w:rPr>
        <w:t>（6）</w:t>
      </w:r>
      <w:r>
        <w:rPr>
          <w:rFonts w:cs="Times New Roman"/>
          <w:color w:val="auto"/>
        </w:rPr>
        <w:t>物料运输管理</w:t>
      </w:r>
    </w:p>
    <w:p>
      <w:pPr>
        <w:snapToGrid w:val="0"/>
        <w:ind w:firstLine="480"/>
        <w:rPr>
          <w:rFonts w:cs="Times New Roman"/>
          <w:color w:val="auto"/>
        </w:rPr>
      </w:pPr>
      <w:r>
        <w:rPr>
          <w:rFonts w:cs="Times New Roman"/>
          <w:color w:val="auto"/>
        </w:rPr>
        <w:t>道路沿途有敏感点时，夜间禁止在该区域施工便道上运输建筑材料。对必须进行夜间运输的，应设置禁鸣和限速标志牌，车辆夜间通过时速度应小于30km/h。</w:t>
      </w:r>
    </w:p>
    <w:p>
      <w:pPr>
        <w:snapToGrid w:val="0"/>
        <w:ind w:firstLine="480"/>
        <w:rPr>
          <w:rFonts w:cs="Times New Roman"/>
          <w:color w:val="auto"/>
        </w:rPr>
      </w:pPr>
      <w:r>
        <w:rPr>
          <w:rFonts w:cs="Times New Roman"/>
          <w:color w:val="auto"/>
        </w:rPr>
        <w:t>整体来说，施工产生的噪声将存在于整个施工工程中，而对于某一局部地段来说则为几周，影响时间相对来说较短，也就是说施工期的这些噪声源均是短暂的，只在短时期对局部环境造成影响，待施工结束后这些影响也随之消失。</w:t>
      </w:r>
    </w:p>
    <w:p>
      <w:pPr>
        <w:pStyle w:val="4"/>
        <w:numPr>
          <w:ilvl w:val="2"/>
          <w:numId w:val="0"/>
        </w:numPr>
        <w:snapToGrid w:val="0"/>
        <w:ind w:firstLine="480" w:firstLineChars="200"/>
        <w:rPr>
          <w:rFonts w:cs="Times New Roman"/>
          <w:color w:val="auto"/>
        </w:rPr>
      </w:pPr>
      <w:bookmarkStart w:id="79" w:name="_Toc20965"/>
      <w:r>
        <w:rPr>
          <w:rFonts w:cs="Times New Roman"/>
          <w:color w:val="auto"/>
        </w:rPr>
        <w:t>6.1.5固体废物处置措施及其可行性论证</w:t>
      </w:r>
      <w:bookmarkEnd w:id="79"/>
    </w:p>
    <w:p>
      <w:pPr>
        <w:pStyle w:val="61"/>
        <w:snapToGrid w:val="0"/>
        <w:ind w:firstLine="480"/>
        <w:rPr>
          <w:rFonts w:cs="Times New Roman"/>
          <w:color w:val="auto"/>
        </w:rPr>
      </w:pPr>
      <w:r>
        <w:rPr>
          <w:rFonts w:cs="Times New Roman"/>
          <w:color w:val="auto"/>
        </w:rPr>
        <w:t>1</w:t>
      </w:r>
      <w:r>
        <w:rPr>
          <w:rFonts w:hint="eastAsia" w:cs="Times New Roman"/>
          <w:color w:val="auto"/>
        </w:rPr>
        <w:t>.</w:t>
      </w:r>
      <w:r>
        <w:rPr>
          <w:rFonts w:cs="Times New Roman"/>
          <w:color w:val="auto"/>
        </w:rPr>
        <w:t>施工期弃土</w:t>
      </w:r>
      <w:r>
        <w:rPr>
          <w:rFonts w:hint="eastAsia" w:cs="Times New Roman"/>
          <w:color w:val="auto"/>
        </w:rPr>
        <w:t>石处置措施</w:t>
      </w:r>
      <w:r>
        <w:rPr>
          <w:rFonts w:cs="Times New Roman"/>
          <w:color w:val="auto"/>
        </w:rPr>
        <w:t>可行性论证</w:t>
      </w:r>
    </w:p>
    <w:p>
      <w:pPr>
        <w:pStyle w:val="61"/>
        <w:snapToGrid w:val="0"/>
        <w:ind w:firstLine="460"/>
        <w:rPr>
          <w:color w:val="auto"/>
          <w:sz w:val="23"/>
          <w:szCs w:val="23"/>
        </w:rPr>
      </w:pPr>
      <w:r>
        <w:rPr>
          <w:rFonts w:hint="eastAsia" w:cs="Times New Roman"/>
          <w:color w:val="auto"/>
        </w:rPr>
        <w:t>本工程剩余开挖料</w:t>
      </w:r>
      <w:r>
        <w:rPr>
          <w:rFonts w:hint="eastAsia" w:cs="Times New Roman"/>
          <w:color w:val="auto"/>
          <w:lang w:val="en-US" w:eastAsia="zh-CN"/>
        </w:rPr>
        <w:t>77448.68</w:t>
      </w:r>
      <w:r>
        <w:rPr>
          <w:rFonts w:hint="eastAsia" w:cs="Times New Roman"/>
          <w:color w:val="auto"/>
        </w:rPr>
        <w:t>m3。设计临时堆土场</w:t>
      </w:r>
      <w:r>
        <w:rPr>
          <w:rFonts w:hint="eastAsia" w:cs="Times New Roman"/>
          <w:color w:val="auto"/>
          <w:lang w:val="en-US" w:eastAsia="zh-CN"/>
        </w:rPr>
        <w:t>16</w:t>
      </w:r>
      <w:r>
        <w:rPr>
          <w:rFonts w:hint="eastAsia" w:cs="Times New Roman"/>
          <w:color w:val="auto"/>
        </w:rPr>
        <w:t>处，其中：一般开挖土方堆土场</w:t>
      </w:r>
      <w:r>
        <w:rPr>
          <w:rFonts w:hint="eastAsia" w:cs="Times New Roman"/>
          <w:color w:val="auto"/>
          <w:lang w:val="en-US" w:eastAsia="zh-CN"/>
        </w:rPr>
        <w:t>8</w:t>
      </w:r>
      <w:r>
        <w:rPr>
          <w:rFonts w:hint="eastAsia" w:cs="Times New Roman"/>
          <w:color w:val="auto"/>
        </w:rPr>
        <w:t>处，表土堆土场</w:t>
      </w:r>
      <w:r>
        <w:rPr>
          <w:rFonts w:hint="eastAsia" w:cs="Times New Roman"/>
          <w:color w:val="auto"/>
          <w:lang w:val="en-US" w:eastAsia="zh-CN"/>
        </w:rPr>
        <w:t>8处</w:t>
      </w:r>
      <w:r>
        <w:rPr>
          <w:rFonts w:hint="eastAsia" w:cs="Times New Roman"/>
          <w:color w:val="auto"/>
          <w:lang w:eastAsia="zh-CN"/>
        </w:rPr>
        <w:t>，</w:t>
      </w:r>
      <w:r>
        <w:rPr>
          <w:rFonts w:hint="eastAsia" w:cs="Times New Roman"/>
          <w:color w:val="auto"/>
        </w:rPr>
        <w:t>弃土石渣全部用于场地回填平整</w:t>
      </w:r>
      <w:r>
        <w:rPr>
          <w:rFonts w:hint="eastAsia" w:cs="Times New Roman"/>
          <w:color w:val="auto"/>
          <w:lang w:eastAsia="zh-CN"/>
        </w:rPr>
        <w:t>，</w:t>
      </w:r>
      <w:r>
        <w:rPr>
          <w:rFonts w:hint="eastAsia" w:cs="Times New Roman"/>
          <w:color w:val="auto"/>
          <w:lang w:val="en-US" w:eastAsia="zh-CN"/>
        </w:rPr>
        <w:t>分</w:t>
      </w:r>
      <w:r>
        <w:rPr>
          <w:rFonts w:hint="eastAsia" w:cs="Times New Roman"/>
          <w:color w:val="auto"/>
          <w:lang w:eastAsia="zh-CN"/>
        </w:rPr>
        <w:t>别设计临时排水沟、土袋围挡、密目网苫盖、截水沟、沉沙池、土地平整和撒播草籽绿化。</w:t>
      </w:r>
    </w:p>
    <w:p>
      <w:pPr>
        <w:pStyle w:val="61"/>
        <w:snapToGrid w:val="0"/>
        <w:ind w:firstLine="480"/>
        <w:rPr>
          <w:rFonts w:hint="eastAsia" w:cs="Times New Roman"/>
          <w:color w:val="auto"/>
        </w:rPr>
      </w:pPr>
      <w:r>
        <w:rPr>
          <w:rFonts w:hint="eastAsia" w:cs="Times New Roman"/>
          <w:color w:val="auto"/>
        </w:rPr>
        <w:t>临时排水沟采用梯形断面，土质结构，底宽30cm，高30cm，边坡坡比1：1，内壁拍实，采用土工布防护。</w:t>
      </w:r>
    </w:p>
    <w:p>
      <w:pPr>
        <w:pStyle w:val="61"/>
        <w:snapToGrid w:val="0"/>
        <w:ind w:firstLine="480"/>
        <w:rPr>
          <w:rFonts w:hint="eastAsia" w:cs="Times New Roman"/>
          <w:color w:val="auto"/>
        </w:rPr>
      </w:pPr>
      <w:r>
        <w:rPr>
          <w:rFonts w:hint="eastAsia" w:cs="Times New Roman"/>
          <w:color w:val="auto"/>
        </w:rPr>
        <w:t>土袋围挡。设计堆土场控制堆置高度在3.0m以下，堆放边坡不陡于1:2，在堆场周围采用编织袋装土进行拦挡，填土编织袋高1.5m，顶宽0.6m，底宽1.8m，堆放场应先拦后堆，填土编织袋填土选用堆放土方。</w:t>
      </w:r>
    </w:p>
    <w:p>
      <w:pPr>
        <w:pStyle w:val="61"/>
        <w:snapToGrid w:val="0"/>
        <w:ind w:firstLine="480"/>
        <w:rPr>
          <w:rFonts w:hint="eastAsia" w:cs="Times New Roman"/>
          <w:color w:val="auto"/>
        </w:rPr>
      </w:pPr>
      <w:r>
        <w:rPr>
          <w:rFonts w:hint="eastAsia" w:cs="Times New Roman"/>
          <w:color w:val="auto"/>
        </w:rPr>
        <w:t>截水沟：设置在临时堆土场汇水坡面侧，两侧布设矩形急流槽，急流槽末端设置沉砂池，汇集的雨水经过尾水沟与主体工程设置的排水沟衔接一起，以汇集弃土场表面和坡面水流，并将其引至天然沟道中。</w:t>
      </w:r>
    </w:p>
    <w:p>
      <w:pPr>
        <w:pStyle w:val="61"/>
        <w:snapToGrid w:val="0"/>
        <w:ind w:firstLine="480"/>
        <w:rPr>
          <w:rFonts w:hint="eastAsia" w:cs="Times New Roman"/>
          <w:color w:val="auto"/>
        </w:rPr>
      </w:pPr>
      <w:r>
        <w:rPr>
          <w:rFonts w:hint="eastAsia" w:cs="Times New Roman"/>
          <w:color w:val="auto"/>
        </w:rPr>
        <w:t>截水沟断面为梯形，上口宽0.6m，底宽0.3m，C20砼现浇，衬砌厚度15cm。</w:t>
      </w:r>
    </w:p>
    <w:p>
      <w:pPr>
        <w:pStyle w:val="61"/>
        <w:snapToGrid w:val="0"/>
        <w:ind w:firstLine="480"/>
        <w:rPr>
          <w:rFonts w:hint="eastAsia" w:cs="Times New Roman"/>
          <w:color w:val="auto"/>
        </w:rPr>
      </w:pPr>
      <w:r>
        <w:rPr>
          <w:rFonts w:hint="eastAsia" w:cs="Times New Roman"/>
          <w:color w:val="auto"/>
        </w:rPr>
        <w:t>急流槽：采用矩形急流槽，底宽0.3m，深0.3m，C20砼现浇，衬砌厚度15cm。</w:t>
      </w:r>
    </w:p>
    <w:p>
      <w:pPr>
        <w:pStyle w:val="61"/>
        <w:snapToGrid w:val="0"/>
        <w:ind w:firstLine="480"/>
        <w:rPr>
          <w:rFonts w:hint="eastAsia" w:cs="Times New Roman"/>
          <w:color w:val="auto"/>
        </w:rPr>
      </w:pPr>
      <w:r>
        <w:rPr>
          <w:rFonts w:hint="eastAsia" w:cs="Times New Roman"/>
          <w:color w:val="auto"/>
        </w:rPr>
        <w:t>沉沙池采用矩形砖砌断面，尺寸为2.0m×1.5m×1.0m（长×宽×深），两侧砖砌厚度24cm，底部砖砌厚度12cm，2cm厚水泥砂浆抹面；土方开挖5.5m3，砌砖1.91m3，砂浆11.91m</w:t>
      </w:r>
      <w:r>
        <w:rPr>
          <w:rFonts w:hint="eastAsia" w:cs="Times New Roman"/>
          <w:color w:val="auto"/>
          <w:vertAlign w:val="superscript"/>
        </w:rPr>
        <w:t>3</w:t>
      </w:r>
      <w:r>
        <w:rPr>
          <w:rFonts w:hint="eastAsia" w:cs="Times New Roman"/>
          <w:color w:val="auto"/>
        </w:rPr>
        <w:t>。</w:t>
      </w:r>
    </w:p>
    <w:p>
      <w:pPr>
        <w:pStyle w:val="61"/>
        <w:snapToGrid w:val="0"/>
        <w:ind w:firstLine="480"/>
        <w:rPr>
          <w:rFonts w:cs="Times New Roman"/>
          <w:color w:val="auto"/>
        </w:rPr>
      </w:pPr>
      <w:r>
        <w:rPr>
          <w:rFonts w:hint="eastAsia" w:cs="Times New Roman"/>
          <w:color w:val="auto"/>
        </w:rPr>
        <w:t>临时堆土场使用完毕后，对占用场地进行土地平整，平整面积1.95hm</w:t>
      </w:r>
      <w:r>
        <w:rPr>
          <w:rFonts w:hint="eastAsia" w:cs="Times New Roman"/>
          <w:color w:val="auto"/>
          <w:vertAlign w:val="superscript"/>
        </w:rPr>
        <w:t>2</w:t>
      </w:r>
      <w:r>
        <w:rPr>
          <w:rFonts w:hint="eastAsia" w:cs="Times New Roman"/>
          <w:color w:val="auto"/>
        </w:rPr>
        <w:t>，回覆表土5847.31m</w:t>
      </w:r>
      <w:r>
        <w:rPr>
          <w:rFonts w:hint="eastAsia" w:cs="Times New Roman"/>
          <w:color w:val="auto"/>
          <w:vertAlign w:val="superscript"/>
        </w:rPr>
        <w:t>3</w:t>
      </w:r>
      <w:r>
        <w:rPr>
          <w:rFonts w:hint="eastAsia" w:cs="Times New Roman"/>
          <w:color w:val="auto"/>
        </w:rPr>
        <w:t>，并撒播高羊茅草籽进行绿化，撒播面积1.95hm</w:t>
      </w:r>
      <w:r>
        <w:rPr>
          <w:rFonts w:hint="eastAsia" w:cs="Times New Roman"/>
          <w:color w:val="auto"/>
          <w:vertAlign w:val="superscript"/>
        </w:rPr>
        <w:t>2</w:t>
      </w:r>
      <w:r>
        <w:rPr>
          <w:rFonts w:hint="eastAsia" w:cs="Times New Roman"/>
          <w:color w:val="auto"/>
        </w:rPr>
        <w:t>。</w:t>
      </w:r>
    </w:p>
    <w:p>
      <w:pPr>
        <w:pStyle w:val="61"/>
        <w:snapToGrid w:val="0"/>
        <w:ind w:firstLine="480"/>
        <w:rPr>
          <w:rFonts w:cs="Times New Roman"/>
          <w:color w:val="auto"/>
        </w:rPr>
      </w:pPr>
      <w:r>
        <w:rPr>
          <w:rFonts w:cs="Times New Roman"/>
          <w:color w:val="auto"/>
        </w:rPr>
        <w:t>2</w:t>
      </w:r>
      <w:r>
        <w:rPr>
          <w:rFonts w:hint="eastAsia" w:cs="Times New Roman"/>
          <w:color w:val="auto"/>
        </w:rPr>
        <w:t>.</w:t>
      </w:r>
      <w:r>
        <w:rPr>
          <w:rFonts w:cs="Times New Roman"/>
          <w:color w:val="auto"/>
        </w:rPr>
        <w:t>施工期建筑垃圾污染防治措施可行性论证</w:t>
      </w:r>
    </w:p>
    <w:p>
      <w:pPr>
        <w:pStyle w:val="61"/>
        <w:snapToGrid w:val="0"/>
        <w:ind w:firstLine="480"/>
        <w:rPr>
          <w:rFonts w:cs="Times New Roman"/>
          <w:color w:val="auto"/>
        </w:rPr>
      </w:pPr>
      <w:r>
        <w:rPr>
          <w:rFonts w:cs="Times New Roman"/>
          <w:color w:val="auto"/>
        </w:rPr>
        <w:t>本项目将建筑垃圾中可回收利用的尽量回收利用，不可回收利用的及时清运至管理部门指定的建筑垃圾堆放场存放，治理措施可行。</w:t>
      </w:r>
    </w:p>
    <w:p>
      <w:pPr>
        <w:pStyle w:val="61"/>
        <w:snapToGrid w:val="0"/>
        <w:ind w:firstLine="480"/>
        <w:rPr>
          <w:rFonts w:cs="Times New Roman"/>
          <w:color w:val="auto"/>
        </w:rPr>
      </w:pPr>
      <w:r>
        <w:rPr>
          <w:rFonts w:cs="Times New Roman"/>
          <w:color w:val="auto"/>
        </w:rPr>
        <w:t>3</w:t>
      </w:r>
      <w:r>
        <w:rPr>
          <w:rFonts w:hint="eastAsia" w:cs="Times New Roman"/>
          <w:color w:val="auto"/>
        </w:rPr>
        <w:t>.</w:t>
      </w:r>
      <w:r>
        <w:rPr>
          <w:rFonts w:cs="Times New Roman"/>
          <w:color w:val="auto"/>
        </w:rPr>
        <w:t>施工期沉淀池池底泥沙污染防治措施可行性论证</w:t>
      </w:r>
    </w:p>
    <w:p>
      <w:pPr>
        <w:pStyle w:val="61"/>
        <w:snapToGrid w:val="0"/>
        <w:ind w:firstLine="480"/>
        <w:rPr>
          <w:rFonts w:cs="Times New Roman"/>
          <w:color w:val="auto"/>
        </w:rPr>
      </w:pPr>
      <w:r>
        <w:rPr>
          <w:rFonts w:cs="Times New Roman"/>
          <w:color w:val="auto"/>
        </w:rPr>
        <w:t>本项目施工期沉淀池池底泥沙属于一般固体废物。沉淀池池底泥沙</w:t>
      </w:r>
      <w:r>
        <w:rPr>
          <w:rFonts w:hint="eastAsia" w:cs="Times New Roman"/>
          <w:color w:val="auto"/>
        </w:rPr>
        <w:t>一并运至</w:t>
      </w:r>
      <w:r>
        <w:rPr>
          <w:rFonts w:cs="Times New Roman"/>
          <w:color w:val="auto"/>
        </w:rPr>
        <w:t>建筑垃圾堆放场存放，治理措施可行。</w:t>
      </w:r>
    </w:p>
    <w:p>
      <w:pPr>
        <w:snapToGrid w:val="0"/>
        <w:ind w:firstLine="480"/>
        <w:rPr>
          <w:rFonts w:cs="Times New Roman"/>
          <w:color w:val="auto"/>
        </w:rPr>
      </w:pPr>
      <w:r>
        <w:rPr>
          <w:rFonts w:cs="Times New Roman"/>
          <w:color w:val="auto"/>
        </w:rPr>
        <w:t>4</w:t>
      </w:r>
      <w:r>
        <w:rPr>
          <w:rFonts w:hint="eastAsia" w:cs="Times New Roman"/>
          <w:color w:val="auto"/>
        </w:rPr>
        <w:t>.</w:t>
      </w:r>
      <w:r>
        <w:rPr>
          <w:rFonts w:cs="Times New Roman"/>
          <w:color w:val="auto"/>
        </w:rPr>
        <w:t>施工营地生活垃圾污染防治措施可行性论证</w:t>
      </w:r>
    </w:p>
    <w:p>
      <w:pPr>
        <w:snapToGrid w:val="0"/>
        <w:ind w:firstLine="480"/>
        <w:rPr>
          <w:rFonts w:cs="Times New Roman"/>
          <w:color w:val="auto"/>
        </w:rPr>
      </w:pPr>
      <w:r>
        <w:rPr>
          <w:rFonts w:cs="Times New Roman"/>
          <w:color w:val="auto"/>
        </w:rPr>
        <w:t>本次环评要求施工营地内设置相应的分类垃圾箱，生活垃圾经分类收集后，暂存于分类垃圾箱内，定期由环卫人员清运至垃圾转运站。经采取上述措施后，本项目产生的生活垃圾不会对周围环境产生影响。</w:t>
      </w:r>
    </w:p>
    <w:p>
      <w:pPr>
        <w:pStyle w:val="4"/>
        <w:numPr>
          <w:ilvl w:val="2"/>
          <w:numId w:val="0"/>
        </w:numPr>
        <w:snapToGrid w:val="0"/>
        <w:ind w:firstLine="480" w:firstLineChars="200"/>
        <w:rPr>
          <w:rFonts w:cs="Times New Roman"/>
          <w:color w:val="auto"/>
        </w:rPr>
      </w:pPr>
      <w:r>
        <w:rPr>
          <w:rFonts w:cs="Times New Roman"/>
          <w:color w:val="auto"/>
        </w:rPr>
        <w:t>6.1.6施工期生态环境保护措施可行性论证</w:t>
      </w:r>
    </w:p>
    <w:p>
      <w:pPr>
        <w:pStyle w:val="61"/>
        <w:snapToGrid w:val="0"/>
        <w:ind w:firstLine="480"/>
        <w:outlineLvl w:val="3"/>
        <w:rPr>
          <w:rFonts w:cs="Times New Roman"/>
          <w:color w:val="auto"/>
        </w:rPr>
      </w:pPr>
      <w:r>
        <w:rPr>
          <w:rFonts w:cs="Times New Roman"/>
          <w:color w:val="auto"/>
        </w:rPr>
        <w:t>1</w:t>
      </w:r>
      <w:r>
        <w:rPr>
          <w:rFonts w:hint="eastAsia" w:cs="Times New Roman"/>
          <w:color w:val="auto"/>
        </w:rPr>
        <w:t>.</w:t>
      </w:r>
      <w:r>
        <w:rPr>
          <w:rFonts w:cs="Times New Roman"/>
          <w:color w:val="auto"/>
        </w:rPr>
        <w:t>植物资源保护措施</w:t>
      </w:r>
    </w:p>
    <w:p>
      <w:pPr>
        <w:pStyle w:val="61"/>
        <w:snapToGrid w:val="0"/>
        <w:ind w:firstLine="480"/>
        <w:rPr>
          <w:rFonts w:cs="Times New Roman"/>
          <w:color w:val="auto"/>
        </w:rPr>
      </w:pPr>
      <w:r>
        <w:rPr>
          <w:rFonts w:cs="Times New Roman"/>
          <w:color w:val="auto"/>
        </w:rPr>
        <w:t>施工期工程的修建、施工场地的布置、</w:t>
      </w:r>
      <w:r>
        <w:rPr>
          <w:rFonts w:hint="eastAsia" w:cs="Times New Roman"/>
          <w:color w:val="auto"/>
        </w:rPr>
        <w:t>物料堆放和施工便道的修建</w:t>
      </w:r>
      <w:r>
        <w:rPr>
          <w:rFonts w:cs="Times New Roman"/>
          <w:color w:val="auto"/>
        </w:rPr>
        <w:t>等将占用土地和破坏植被。根据工程建设对区域植物资源的影响因素、影响方式，考虑保护措施的可操作性和经济性，从减缓、恢复、管理方面提出保护措施。</w:t>
      </w:r>
    </w:p>
    <w:p>
      <w:pPr>
        <w:pStyle w:val="61"/>
        <w:snapToGrid w:val="0"/>
        <w:ind w:firstLine="480"/>
        <w:rPr>
          <w:rFonts w:cs="Times New Roman"/>
          <w:color w:val="auto"/>
        </w:rPr>
      </w:pPr>
      <w:r>
        <w:rPr>
          <w:rFonts w:cs="Times New Roman"/>
          <w:color w:val="auto"/>
        </w:rPr>
        <w:t>（1）生态影响的消减措施</w:t>
      </w:r>
    </w:p>
    <w:p>
      <w:pPr>
        <w:pStyle w:val="61"/>
        <w:snapToGrid w:val="0"/>
        <w:ind w:firstLine="480"/>
        <w:rPr>
          <w:rFonts w:cs="Times New Roman"/>
          <w:color w:val="auto"/>
        </w:rPr>
      </w:pPr>
      <w:r>
        <w:rPr>
          <w:rFonts w:hint="eastAsia" w:cs="Times New Roman"/>
          <w:color w:val="auto"/>
        </w:rPr>
        <w:t>①施工过程中，尽量平衡挖填量，对产生的弃渣，应尽量利用；同时严格按照设计要求控制各种施工场地用地面积，防止滥用土地，以减少植被破坏。</w:t>
      </w:r>
    </w:p>
    <w:p>
      <w:pPr>
        <w:pStyle w:val="61"/>
        <w:snapToGrid w:val="0"/>
        <w:ind w:firstLine="480"/>
        <w:rPr>
          <w:rFonts w:cs="Times New Roman"/>
          <w:color w:val="auto"/>
        </w:rPr>
      </w:pPr>
      <w:r>
        <w:rPr>
          <w:rFonts w:hint="eastAsia" w:cs="Times New Roman"/>
          <w:color w:val="auto"/>
        </w:rPr>
        <w:t>②施工结束后及时绿化恢复，同时将修路和平整土地有效结合，充分利用弃渣。</w:t>
      </w:r>
    </w:p>
    <w:p>
      <w:pPr>
        <w:pStyle w:val="61"/>
        <w:snapToGrid w:val="0"/>
        <w:ind w:firstLine="480"/>
        <w:rPr>
          <w:rFonts w:cs="Times New Roman"/>
          <w:color w:val="auto"/>
        </w:rPr>
      </w:pPr>
      <w:r>
        <w:rPr>
          <w:rFonts w:hint="eastAsia" w:cs="Times New Roman"/>
          <w:color w:val="auto"/>
        </w:rPr>
        <w:t>③在雨季，临时堆场应用防雨布等不透水材料遮盖，防止造成水土流失。</w:t>
      </w:r>
    </w:p>
    <w:p>
      <w:pPr>
        <w:pStyle w:val="61"/>
        <w:snapToGrid w:val="0"/>
        <w:ind w:firstLine="480"/>
        <w:rPr>
          <w:rFonts w:cs="Times New Roman"/>
          <w:color w:val="auto"/>
        </w:rPr>
      </w:pPr>
      <w:r>
        <w:rPr>
          <w:rFonts w:hint="eastAsia" w:cs="Times New Roman"/>
          <w:color w:val="auto"/>
        </w:rPr>
        <w:t>④施工期，在加固堤防和岸坡时采用生态工法，以期在保障防洪任务的同时发挥更大的生态效应。</w:t>
      </w:r>
      <w:r>
        <w:rPr>
          <w:rFonts w:cs="Times New Roman"/>
          <w:color w:val="auto"/>
        </w:rPr>
        <w:t>施工期间，应严禁施工人员随意将各类废弃物，如生活垃圾等，直接抛入水体之中，尤其禁止抛弃有毒有害物质。</w:t>
      </w:r>
    </w:p>
    <w:p>
      <w:pPr>
        <w:pStyle w:val="61"/>
        <w:snapToGrid w:val="0"/>
        <w:ind w:firstLine="480"/>
        <w:rPr>
          <w:rFonts w:cs="Times New Roman"/>
          <w:color w:val="auto"/>
        </w:rPr>
      </w:pPr>
      <w:r>
        <w:rPr>
          <w:rFonts w:cs="Times New Roman"/>
          <w:color w:val="auto"/>
        </w:rPr>
        <w:t>（2）</w:t>
      </w:r>
      <w:r>
        <w:rPr>
          <w:rFonts w:hint="eastAsia" w:cs="Times New Roman"/>
          <w:color w:val="auto"/>
        </w:rPr>
        <w:t>生态恢复和补偿措施</w:t>
      </w:r>
    </w:p>
    <w:p>
      <w:pPr>
        <w:pStyle w:val="61"/>
        <w:snapToGrid w:val="0"/>
        <w:ind w:firstLine="480"/>
        <w:rPr>
          <w:rFonts w:cs="Times New Roman"/>
          <w:color w:val="auto"/>
        </w:rPr>
      </w:pPr>
      <w:r>
        <w:rPr>
          <w:rFonts w:hint="eastAsia" w:cs="Times New Roman"/>
          <w:color w:val="auto"/>
        </w:rPr>
        <w:t>①工程完工后应清除各种残留的建筑垃圾，以便于土地平整和植被恢复；</w:t>
      </w:r>
    </w:p>
    <w:p>
      <w:pPr>
        <w:pStyle w:val="61"/>
        <w:snapToGrid w:val="0"/>
        <w:ind w:firstLine="480"/>
        <w:rPr>
          <w:rFonts w:cs="Times New Roman"/>
          <w:color w:val="auto"/>
        </w:rPr>
      </w:pPr>
      <w:r>
        <w:rPr>
          <w:rFonts w:hint="eastAsia" w:cs="Times New Roman"/>
          <w:color w:val="auto"/>
        </w:rPr>
        <w:t>②植被恢复应选用当地树种和草种，并注意乔灌草相结合。</w:t>
      </w:r>
    </w:p>
    <w:p>
      <w:pPr>
        <w:pStyle w:val="61"/>
        <w:snapToGrid w:val="0"/>
        <w:ind w:firstLine="480"/>
        <w:rPr>
          <w:rFonts w:cs="Times New Roman"/>
          <w:color w:val="auto"/>
        </w:rPr>
      </w:pPr>
      <w:r>
        <w:rPr>
          <w:rFonts w:hint="eastAsia" w:cs="Times New Roman"/>
          <w:color w:val="auto"/>
        </w:rPr>
        <w:t>③对于施工便道等临时占地破坏区，工程完工后，尽快恢复施工迹地，充分利用可绿化面积，种植适宜林草，进行植被重建工作，形成新的生态平衡。</w:t>
      </w:r>
    </w:p>
    <w:p>
      <w:pPr>
        <w:pStyle w:val="61"/>
        <w:snapToGrid w:val="0"/>
        <w:ind w:firstLine="480"/>
        <w:rPr>
          <w:rFonts w:cs="Times New Roman"/>
          <w:color w:val="auto"/>
        </w:rPr>
      </w:pPr>
      <w:r>
        <w:rPr>
          <w:rFonts w:hint="eastAsia" w:cs="Times New Roman"/>
          <w:color w:val="auto"/>
        </w:rPr>
        <w:t>（3）</w:t>
      </w:r>
      <w:r>
        <w:rPr>
          <w:rFonts w:cs="Times New Roman"/>
          <w:color w:val="auto"/>
        </w:rPr>
        <w:t>生态管理等措施</w:t>
      </w:r>
    </w:p>
    <w:p>
      <w:pPr>
        <w:pStyle w:val="61"/>
        <w:snapToGrid w:val="0"/>
        <w:ind w:firstLine="480"/>
        <w:rPr>
          <w:rFonts w:cs="Times New Roman"/>
          <w:color w:val="auto"/>
        </w:rPr>
      </w:pPr>
      <w:r>
        <w:rPr>
          <w:rFonts w:cs="Times New Roman"/>
          <w:color w:val="auto"/>
        </w:rPr>
        <w:t>工程建设施工期、营运期都应进行生态影响的监测或调查。在施工期主要是对与施工有关的区域进行监测。通过监测加强对生态的管理，开展对工程影响区的环境教育，提高施工人员和管理人员环境意识。通过动态监测和完善管理，使生态环境向良性或有利方向发展。</w:t>
      </w:r>
    </w:p>
    <w:p>
      <w:pPr>
        <w:pStyle w:val="61"/>
        <w:snapToGrid w:val="0"/>
        <w:ind w:firstLine="480"/>
        <w:outlineLvl w:val="3"/>
        <w:rPr>
          <w:rFonts w:cs="Times New Roman"/>
          <w:color w:val="auto"/>
        </w:rPr>
      </w:pPr>
      <w:r>
        <w:rPr>
          <w:rFonts w:cs="Times New Roman"/>
          <w:color w:val="auto"/>
        </w:rPr>
        <w:t>2</w:t>
      </w:r>
      <w:r>
        <w:rPr>
          <w:rFonts w:hint="eastAsia" w:cs="Times New Roman"/>
          <w:color w:val="auto"/>
        </w:rPr>
        <w:t>.陆生动物保护措施</w:t>
      </w:r>
    </w:p>
    <w:p>
      <w:pPr>
        <w:pStyle w:val="61"/>
        <w:snapToGrid w:val="0"/>
        <w:ind w:firstLine="480"/>
        <w:rPr>
          <w:rFonts w:cs="Times New Roman"/>
          <w:color w:val="auto"/>
        </w:rPr>
      </w:pPr>
      <w:r>
        <w:rPr>
          <w:rFonts w:hint="eastAsia" w:cs="Times New Roman"/>
          <w:color w:val="auto"/>
        </w:rPr>
        <w:t>（</w:t>
      </w:r>
      <w:r>
        <w:rPr>
          <w:rFonts w:cs="Times New Roman"/>
          <w:color w:val="auto"/>
        </w:rPr>
        <w:t>1</w:t>
      </w:r>
      <w:r>
        <w:rPr>
          <w:rFonts w:hint="eastAsia" w:cs="Times New Roman"/>
          <w:color w:val="auto"/>
        </w:rPr>
        <w:t>）避免措施</w:t>
      </w:r>
    </w:p>
    <w:p>
      <w:pPr>
        <w:pStyle w:val="61"/>
        <w:snapToGrid w:val="0"/>
        <w:ind w:firstLine="480"/>
        <w:rPr>
          <w:rFonts w:cs="Times New Roman"/>
          <w:color w:val="auto"/>
        </w:rPr>
      </w:pPr>
      <w:r>
        <w:rPr>
          <w:rFonts w:hint="eastAsia" w:cs="Times New Roman"/>
          <w:color w:val="auto"/>
        </w:rPr>
        <w:t>①为避免人为活动干扰生态环境，应加强施工人员的各类卫生管理（如个人卫生、粪便和生活污水），尤其禁止抛弃有毒有害物质，减少水体污染。加强宣传，制定生环境保护手册，设置生态环境保护警示牌，增强施工人员的环保意识。</w:t>
      </w:r>
    </w:p>
    <w:p>
      <w:pPr>
        <w:pStyle w:val="61"/>
        <w:snapToGrid w:val="0"/>
        <w:ind w:firstLine="480"/>
        <w:rPr>
          <w:rFonts w:cs="Times New Roman"/>
          <w:color w:val="auto"/>
        </w:rPr>
      </w:pPr>
      <w:r>
        <w:rPr>
          <w:rFonts w:hint="eastAsia" w:cs="Times New Roman"/>
          <w:color w:val="auto"/>
        </w:rPr>
        <w:t>②在工程施工过程中，弃渣及时清运，避免对地表水体造成污染。</w:t>
      </w:r>
    </w:p>
    <w:p>
      <w:pPr>
        <w:pStyle w:val="61"/>
        <w:snapToGrid w:val="0"/>
        <w:ind w:firstLine="480"/>
        <w:rPr>
          <w:rFonts w:cs="Times New Roman"/>
          <w:color w:val="auto"/>
        </w:rPr>
      </w:pPr>
      <w:r>
        <w:rPr>
          <w:rFonts w:hint="eastAsia" w:cs="Times New Roman"/>
          <w:color w:val="auto"/>
        </w:rPr>
        <w:t>③在施工的过程中，施工人员必须遵守《中华人民共和国野生动物保护法》，严禁在施工区及其周围捕猎野生动物，特别是国家级保护动物和省级保护动物。在进场施工前，组织施工人员学习有关国家法律和法规。</w:t>
      </w:r>
    </w:p>
    <w:p>
      <w:pPr>
        <w:pStyle w:val="61"/>
        <w:snapToGrid w:val="0"/>
        <w:ind w:firstLine="480"/>
        <w:rPr>
          <w:rFonts w:cs="Times New Roman"/>
          <w:color w:val="auto"/>
        </w:rPr>
      </w:pPr>
      <w:r>
        <w:rPr>
          <w:rFonts w:hint="eastAsia" w:cs="Times New Roman"/>
          <w:color w:val="auto"/>
        </w:rPr>
        <w:t>④施工期应由施工单位组建环境管理部门对施工现场进行监理和监督，加强对项目区及周边野生动物的保护。</w:t>
      </w:r>
    </w:p>
    <w:p>
      <w:pPr>
        <w:pStyle w:val="61"/>
        <w:snapToGrid w:val="0"/>
        <w:ind w:firstLine="480"/>
        <w:rPr>
          <w:rFonts w:cs="Times New Roman"/>
          <w:color w:val="auto"/>
        </w:rPr>
      </w:pPr>
      <w:r>
        <w:rPr>
          <w:rFonts w:hint="eastAsia" w:cs="Times New Roman"/>
          <w:color w:val="auto"/>
        </w:rPr>
        <w:t>（</w:t>
      </w:r>
      <w:r>
        <w:rPr>
          <w:rFonts w:cs="Times New Roman"/>
          <w:color w:val="auto"/>
        </w:rPr>
        <w:t>2</w:t>
      </w:r>
      <w:r>
        <w:rPr>
          <w:rFonts w:hint="eastAsia" w:cs="Times New Roman"/>
          <w:color w:val="auto"/>
        </w:rPr>
        <w:t>）消减措施</w:t>
      </w:r>
    </w:p>
    <w:p>
      <w:pPr>
        <w:pStyle w:val="61"/>
        <w:snapToGrid w:val="0"/>
        <w:ind w:firstLine="480"/>
        <w:rPr>
          <w:rFonts w:cs="Times New Roman"/>
          <w:color w:val="auto"/>
        </w:rPr>
      </w:pPr>
      <w:r>
        <w:rPr>
          <w:rFonts w:hint="eastAsia" w:cs="Times New Roman"/>
          <w:color w:val="auto"/>
        </w:rPr>
        <w:t>①控制工程施工时段和方式，防治噪声对野生动物的惊扰。野生鸟类和兽类大多是早晨、黄昏或夜间外出觅食，正午是鸟类休息时间。为了减少工程影响，施工噪音较大的机器尽量避开这时段运行，减少对野生动物的惊扰，并力求避免在晨昏和正午的噪声影响等。</w:t>
      </w:r>
    </w:p>
    <w:p>
      <w:pPr>
        <w:pStyle w:val="61"/>
        <w:snapToGrid w:val="0"/>
        <w:ind w:firstLine="480"/>
        <w:rPr>
          <w:rFonts w:cs="Times New Roman"/>
          <w:color w:val="auto"/>
        </w:rPr>
      </w:pPr>
      <w:r>
        <w:rPr>
          <w:rFonts w:hint="eastAsia" w:cs="Times New Roman"/>
          <w:color w:val="auto"/>
        </w:rPr>
        <w:t>②禁止射杀、捕食鸟类及其他野生动物的行为。</w:t>
      </w:r>
    </w:p>
    <w:p>
      <w:pPr>
        <w:pStyle w:val="61"/>
        <w:snapToGrid w:val="0"/>
        <w:ind w:firstLine="480"/>
        <w:rPr>
          <w:rFonts w:cs="Times New Roman"/>
          <w:color w:val="auto"/>
        </w:rPr>
      </w:pPr>
      <w:r>
        <w:rPr>
          <w:rFonts w:hint="eastAsia" w:cs="Times New Roman"/>
          <w:color w:val="auto"/>
        </w:rPr>
        <w:t>③植被恢复过程中减少农药、化肥、杀虫剂、除草剂使用等。</w:t>
      </w:r>
    </w:p>
    <w:p>
      <w:pPr>
        <w:pStyle w:val="61"/>
        <w:snapToGrid w:val="0"/>
        <w:ind w:firstLine="480"/>
        <w:rPr>
          <w:rFonts w:cs="Times New Roman"/>
          <w:color w:val="auto"/>
        </w:rPr>
      </w:pPr>
      <w:r>
        <w:rPr>
          <w:rFonts w:hint="eastAsia" w:cs="Times New Roman"/>
          <w:color w:val="auto"/>
        </w:rPr>
        <w:t>④配备相应的救护药品与救护设备，用于收留病残和救护被非法伤害的野生鸟类，使其尽快恢复。主要工作包括获取伤病鸟类信息、实施鸟类伤病诊断治疗，并与林业局合作，开展鸟类环志、鸟类生境评价以及放归后的跟踪观察等工作。</w:t>
      </w:r>
    </w:p>
    <w:p>
      <w:pPr>
        <w:pStyle w:val="61"/>
        <w:snapToGrid w:val="0"/>
        <w:ind w:firstLine="480"/>
        <w:rPr>
          <w:rFonts w:cs="Times New Roman"/>
          <w:color w:val="auto"/>
        </w:rPr>
      </w:pPr>
      <w:r>
        <w:rPr>
          <w:rFonts w:hint="eastAsia" w:cs="Times New Roman"/>
          <w:color w:val="auto"/>
        </w:rPr>
        <w:t>⑤施工前组织人力在专家指导下对施工区的陆生动物特别是保护动物进行清查，并进行有目的性的驱赶，使其能够转移至相邻的生境，因爬行类和两栖类的活动能力差，必要时采取人工捕捉手段，运至合适的生境放生，对其进行人工救护，并预留重点保护野生动物救护费。</w:t>
      </w:r>
    </w:p>
    <w:p>
      <w:pPr>
        <w:pStyle w:val="61"/>
        <w:snapToGrid w:val="0"/>
        <w:ind w:firstLine="480"/>
        <w:rPr>
          <w:rFonts w:cs="Times New Roman"/>
          <w:color w:val="auto"/>
        </w:rPr>
      </w:pPr>
      <w:r>
        <w:rPr>
          <w:rFonts w:hint="eastAsia" w:cs="Times New Roman"/>
          <w:color w:val="auto"/>
        </w:rPr>
        <w:t>⑥处理好多样性保护与安全防疫的关系。野生动物和自然疫源性疾病的传播者（鼠形兽等），可能在建设过程中会在施工区域活动。在这种情况下，既要维护自然生态系统的食物链关系，又要重视对人、畜和工程施工人员毒蛇咬伤防治和防疫工作。</w:t>
      </w:r>
    </w:p>
    <w:p>
      <w:pPr>
        <w:pStyle w:val="61"/>
        <w:snapToGrid w:val="0"/>
        <w:ind w:firstLine="480"/>
        <w:rPr>
          <w:rFonts w:cs="Times New Roman"/>
          <w:color w:val="auto"/>
        </w:rPr>
      </w:pPr>
      <w:r>
        <w:rPr>
          <w:rFonts w:hint="eastAsia" w:cs="Times New Roman"/>
          <w:color w:val="auto"/>
        </w:rPr>
        <w:t>⑦由于水体中有不少游禽、涉禽及两栖爬行类活动，所以要加强施工人员的各类卫生管理（如个人卫生、粪便和生活污水），施工废水应经过处理达标后回用于施工或绿化施工材料的堆放要远离水源，尤其是粉状材料与有害材料，运输材料时也要注意不能被雨水或风吹至水体中，以免对这些动物造成生境污染。</w:t>
      </w:r>
    </w:p>
    <w:p>
      <w:pPr>
        <w:pStyle w:val="61"/>
        <w:snapToGrid w:val="0"/>
        <w:ind w:firstLine="480"/>
        <w:rPr>
          <w:rFonts w:cs="Times New Roman"/>
          <w:color w:val="auto"/>
        </w:rPr>
      </w:pPr>
      <w:r>
        <w:rPr>
          <w:rFonts w:hint="eastAsia" w:cs="Times New Roman"/>
          <w:color w:val="auto"/>
        </w:rPr>
        <w:t>⑧修筑生态型岸坡，增加植被覆盖率，对一些野生动物生存是有利的。</w:t>
      </w:r>
    </w:p>
    <w:p>
      <w:pPr>
        <w:pStyle w:val="61"/>
        <w:snapToGrid w:val="0"/>
        <w:ind w:firstLine="480"/>
        <w:rPr>
          <w:rFonts w:cs="Times New Roman"/>
          <w:color w:val="auto"/>
        </w:rPr>
      </w:pPr>
      <w:r>
        <w:rPr>
          <w:rFonts w:hint="eastAsia" w:cs="Times New Roman"/>
          <w:color w:val="auto"/>
        </w:rPr>
        <w:t>（</w:t>
      </w:r>
      <w:r>
        <w:rPr>
          <w:rFonts w:cs="Times New Roman"/>
          <w:color w:val="auto"/>
        </w:rPr>
        <w:t>3</w:t>
      </w:r>
      <w:r>
        <w:rPr>
          <w:rFonts w:hint="eastAsia" w:cs="Times New Roman"/>
          <w:color w:val="auto"/>
        </w:rPr>
        <w:t>）补偿措施</w:t>
      </w:r>
    </w:p>
    <w:p>
      <w:pPr>
        <w:pStyle w:val="61"/>
        <w:snapToGrid w:val="0"/>
        <w:ind w:firstLine="480"/>
        <w:rPr>
          <w:rFonts w:cs="Times New Roman"/>
          <w:color w:val="auto"/>
        </w:rPr>
      </w:pPr>
      <w:r>
        <w:rPr>
          <w:rFonts w:hint="eastAsia" w:cs="Times New Roman"/>
          <w:color w:val="auto"/>
        </w:rPr>
        <w:t>工程完工后尽快做好生态环境的恢复工作，尤其是临时占地处，以尽量减少生境破坏对动物的不利影响。</w:t>
      </w:r>
    </w:p>
    <w:p>
      <w:pPr>
        <w:pStyle w:val="61"/>
        <w:snapToGrid w:val="0"/>
        <w:ind w:firstLine="480"/>
        <w:rPr>
          <w:rFonts w:cs="Times New Roman"/>
          <w:color w:val="auto"/>
        </w:rPr>
      </w:pPr>
      <w:r>
        <w:rPr>
          <w:rFonts w:hint="eastAsia" w:cs="Times New Roman"/>
          <w:color w:val="auto"/>
        </w:rPr>
        <w:t>（</w:t>
      </w:r>
      <w:r>
        <w:rPr>
          <w:rFonts w:cs="Times New Roman"/>
          <w:color w:val="auto"/>
        </w:rPr>
        <w:t>4</w:t>
      </w:r>
      <w:r>
        <w:rPr>
          <w:rFonts w:hint="eastAsia" w:cs="Times New Roman"/>
          <w:color w:val="auto"/>
        </w:rPr>
        <w:t>）生态管理措施</w:t>
      </w:r>
    </w:p>
    <w:p>
      <w:pPr>
        <w:pStyle w:val="61"/>
        <w:snapToGrid w:val="0"/>
        <w:ind w:firstLine="480"/>
        <w:rPr>
          <w:rFonts w:cs="Times New Roman"/>
          <w:color w:val="auto"/>
        </w:rPr>
      </w:pPr>
      <w:r>
        <w:rPr>
          <w:rFonts w:hint="eastAsia" w:cs="Times New Roman"/>
          <w:color w:val="auto"/>
        </w:rPr>
        <w:t>在工程建设中应加强野生动物管理、保护和监测，在堤防工程管理机构中设置相应的环境保护管理机构，配备专业管理人员，确保工程施工期和运行期中各项野生动物保护政策法规的贯彻以及环保措施落实，负责组织、落实、监督本工程的野生动物保护措施；组织施工期环境监测，以确保工程环境保护目标的实现，野生动物的生存不受到威胁。</w:t>
      </w:r>
    </w:p>
    <w:p>
      <w:pPr>
        <w:pStyle w:val="61"/>
        <w:snapToGrid w:val="0"/>
        <w:ind w:firstLine="480"/>
        <w:outlineLvl w:val="3"/>
        <w:rPr>
          <w:rFonts w:cs="Times New Roman"/>
          <w:color w:val="auto"/>
        </w:rPr>
      </w:pPr>
      <w:r>
        <w:rPr>
          <w:rFonts w:cs="Times New Roman"/>
          <w:color w:val="auto"/>
        </w:rPr>
        <w:t>3.水生生物保护措施</w:t>
      </w:r>
    </w:p>
    <w:p>
      <w:pPr>
        <w:pStyle w:val="61"/>
        <w:snapToGrid w:val="0"/>
        <w:ind w:firstLine="480"/>
        <w:rPr>
          <w:rFonts w:cs="Times New Roman"/>
          <w:color w:val="auto"/>
        </w:rPr>
      </w:pPr>
      <w:r>
        <w:rPr>
          <w:rFonts w:cs="Times New Roman"/>
          <w:color w:val="auto"/>
        </w:rPr>
        <w:t>该工程属于非生态污染工程，但仍需针对该工程对河段的水生物的影响方式、影响范围等，通过优化施工时间、减小施工施工作业面和施工时间、采取必要的管理措施等降低其影响。</w:t>
      </w:r>
    </w:p>
    <w:p>
      <w:pPr>
        <w:pStyle w:val="61"/>
        <w:snapToGrid w:val="0"/>
        <w:ind w:firstLine="480"/>
        <w:rPr>
          <w:rFonts w:cs="Times New Roman"/>
          <w:color w:val="auto"/>
        </w:rPr>
      </w:pPr>
      <w:r>
        <w:rPr>
          <w:rFonts w:hint="eastAsia" w:cs="Times New Roman"/>
          <w:color w:val="auto"/>
        </w:rPr>
        <w:t>（</w:t>
      </w:r>
      <w:r>
        <w:rPr>
          <w:rFonts w:cs="Times New Roman"/>
          <w:color w:val="auto"/>
        </w:rPr>
        <w:t>1</w:t>
      </w:r>
      <w:r>
        <w:rPr>
          <w:rFonts w:hint="eastAsia" w:cs="Times New Roman"/>
          <w:color w:val="auto"/>
        </w:rPr>
        <w:t>）生态保护措施</w:t>
      </w:r>
    </w:p>
    <w:p>
      <w:pPr>
        <w:pStyle w:val="61"/>
        <w:snapToGrid w:val="0"/>
        <w:ind w:firstLine="480"/>
        <w:rPr>
          <w:rFonts w:cs="Times New Roman"/>
          <w:color w:val="auto"/>
        </w:rPr>
      </w:pPr>
      <w:r>
        <w:rPr>
          <w:rFonts w:hint="eastAsia" w:cs="Times New Roman"/>
          <w:color w:val="auto"/>
        </w:rPr>
        <w:t>①优化施工方案和计划，尽量安排枯水期施工，将施工期影响降到最低。由于水生动物可自主移动，清淤和生态修复工程可以采取分段施工，分段防护的措施，给水生动物以规避的空间和场所，禁止采用全线施工，全线扰动的施工方式。由于施工所产生的悬浮物和噪声对水质、浮游生物、鱼类及其它水生动物具较直接的影响。每年</w:t>
      </w:r>
      <w:r>
        <w:rPr>
          <w:rFonts w:cs="Times New Roman"/>
          <w:color w:val="auto"/>
        </w:rPr>
        <w:t>4~6</w:t>
      </w:r>
      <w:r>
        <w:rPr>
          <w:rFonts w:hint="eastAsia" w:cs="Times New Roman"/>
          <w:color w:val="auto"/>
        </w:rPr>
        <w:t>月是大部分鱼的生殖产卵高峰期，在此期间挖填作业，应降低施工强度。</w:t>
      </w:r>
      <w:r>
        <w:rPr>
          <w:rFonts w:cs="Times New Roman"/>
          <w:color w:val="auto"/>
        </w:rPr>
        <w:t>11</w:t>
      </w:r>
      <w:r>
        <w:rPr>
          <w:rFonts w:hint="eastAsia" w:cs="Times New Roman"/>
          <w:color w:val="auto"/>
        </w:rPr>
        <w:t>月</w:t>
      </w:r>
      <w:r>
        <w:rPr>
          <w:rFonts w:cs="Times New Roman"/>
          <w:color w:val="auto"/>
        </w:rPr>
        <w:t>~1</w:t>
      </w:r>
      <w:r>
        <w:rPr>
          <w:rFonts w:hint="eastAsia" w:cs="Times New Roman"/>
          <w:color w:val="auto"/>
        </w:rPr>
        <w:t>月为鱼类等生物的亚敏感期，可以正常施工，并尽量缩短工期。</w:t>
      </w:r>
    </w:p>
    <w:p>
      <w:pPr>
        <w:pStyle w:val="61"/>
        <w:snapToGrid w:val="0"/>
        <w:ind w:firstLine="480"/>
        <w:rPr>
          <w:rFonts w:cs="Times New Roman"/>
          <w:color w:val="auto"/>
        </w:rPr>
      </w:pPr>
      <w:r>
        <w:rPr>
          <w:rFonts w:hint="eastAsia" w:cs="Times New Roman"/>
          <w:color w:val="auto"/>
        </w:rPr>
        <w:t>②开展施工活动前，应实施必要的驱鱼和鱼类保护工作。</w:t>
      </w:r>
    </w:p>
    <w:p>
      <w:pPr>
        <w:pStyle w:val="61"/>
        <w:snapToGrid w:val="0"/>
        <w:ind w:firstLine="480"/>
        <w:rPr>
          <w:rFonts w:cs="Times New Roman"/>
          <w:color w:val="auto"/>
        </w:rPr>
      </w:pPr>
      <w:r>
        <w:rPr>
          <w:rFonts w:hint="eastAsia" w:cs="Times New Roman"/>
          <w:color w:val="auto"/>
        </w:rPr>
        <w:t>③工程应该严格限制在设计好的施工区域范围内，不允许在确定的占地范围外活动。施工单位进场后应立即设置标识（如施工地带标识物）。严禁施工人员下河捕鱼和破坏水生生态环境。</w:t>
      </w:r>
    </w:p>
    <w:p>
      <w:pPr>
        <w:pStyle w:val="61"/>
        <w:snapToGrid w:val="0"/>
        <w:ind w:firstLine="480"/>
        <w:rPr>
          <w:rFonts w:cs="Times New Roman"/>
          <w:color w:val="auto"/>
        </w:rPr>
      </w:pPr>
      <w:r>
        <w:rPr>
          <w:rFonts w:hint="eastAsia" w:cs="Times New Roman"/>
          <w:color w:val="auto"/>
        </w:rPr>
        <w:t>④应加强管理，严格控制施工机械在施工边界内施工，保护好工程周边现存河滩、水域水生植被，避免对周围造成人为破坏。</w:t>
      </w:r>
    </w:p>
    <w:p>
      <w:pPr>
        <w:pStyle w:val="61"/>
        <w:snapToGrid w:val="0"/>
        <w:ind w:firstLine="480"/>
        <w:rPr>
          <w:rFonts w:cs="Times New Roman"/>
          <w:color w:val="auto"/>
        </w:rPr>
      </w:pPr>
      <w:r>
        <w:rPr>
          <w:rFonts w:hint="eastAsia" w:cs="Times New Roman"/>
          <w:color w:val="auto"/>
        </w:rPr>
        <w:t>⑤施工结束后，及时恢复河道自然状态，并对施工破坏的河道进行人工生态修复，以辅助受损的水生生态系统。</w:t>
      </w:r>
    </w:p>
    <w:p>
      <w:pPr>
        <w:pStyle w:val="61"/>
        <w:snapToGrid w:val="0"/>
        <w:ind w:firstLine="480"/>
        <w:rPr>
          <w:rFonts w:cs="Times New Roman"/>
          <w:color w:val="auto"/>
        </w:rPr>
      </w:pPr>
      <w:r>
        <w:rPr>
          <w:rFonts w:hint="eastAsia" w:cs="Times New Roman"/>
          <w:color w:val="auto"/>
        </w:rPr>
        <w:t>⑥避免生活垃圾和生活污水的直接排放，且不得排入区域河道。施工场地应尽量远离水体，其产生的施工废水严禁向河流直接排放。施工冲洗废水尽量循环使用，多余的废水用于厂区降尘洒水。加强施工车辆、机械管理，施工车辆，机械进驻施工地点前要进行检修、清洗。严禁漏油渗油车辆、机械进入施工河段，污染水体。</w:t>
      </w:r>
    </w:p>
    <w:p>
      <w:pPr>
        <w:pStyle w:val="61"/>
        <w:snapToGrid w:val="0"/>
        <w:ind w:firstLine="480"/>
        <w:rPr>
          <w:rFonts w:cs="Times New Roman"/>
          <w:color w:val="auto"/>
        </w:rPr>
      </w:pPr>
      <w:r>
        <w:rPr>
          <w:rFonts w:hint="eastAsia" w:cs="Times New Roman"/>
          <w:color w:val="auto"/>
        </w:rPr>
        <w:t>⑦施工用料的堆放应远离水源和其他水体，选择暴雨径流难以冲刷的地方。工程建设中的弃土弃渣若能尽量回用到土石方平衡中，不能平衡应及时清运。</w:t>
      </w:r>
    </w:p>
    <w:p>
      <w:pPr>
        <w:pStyle w:val="61"/>
        <w:snapToGrid w:val="0"/>
        <w:ind w:firstLine="480"/>
        <w:rPr>
          <w:rFonts w:cs="Times New Roman"/>
          <w:color w:val="auto"/>
        </w:rPr>
      </w:pPr>
      <w:r>
        <w:rPr>
          <w:rFonts w:hint="eastAsia" w:cs="Times New Roman"/>
          <w:color w:val="auto"/>
        </w:rPr>
        <w:t>（</w:t>
      </w:r>
      <w:r>
        <w:rPr>
          <w:rFonts w:cs="Times New Roman"/>
          <w:color w:val="auto"/>
        </w:rPr>
        <w:t>2</w:t>
      </w:r>
      <w:r>
        <w:rPr>
          <w:rFonts w:hint="eastAsia" w:cs="Times New Roman"/>
          <w:color w:val="auto"/>
        </w:rPr>
        <w:t>）生态恢复与补偿</w:t>
      </w:r>
    </w:p>
    <w:p>
      <w:pPr>
        <w:pStyle w:val="61"/>
        <w:snapToGrid w:val="0"/>
        <w:ind w:firstLine="480"/>
        <w:rPr>
          <w:rFonts w:cs="Times New Roman"/>
          <w:color w:val="auto"/>
        </w:rPr>
      </w:pPr>
      <w:r>
        <w:rPr>
          <w:rFonts w:hint="eastAsia" w:cs="Times New Roman"/>
          <w:color w:val="auto"/>
        </w:rPr>
        <w:t>在施工前应规划和设计对工程区域河漫滩地进行恢复，施工期应采用合理科学的施工工艺减少对河漫滩地的影响，护岸工程以生态护坡为主，强化岸线绿化，完善河滩湿地系统，形成立体、完整的岸线生态缓冲带，以生态削减陆域污染物入河量。</w:t>
      </w:r>
    </w:p>
    <w:p>
      <w:pPr>
        <w:pStyle w:val="61"/>
        <w:snapToGrid w:val="0"/>
        <w:ind w:firstLine="480"/>
        <w:rPr>
          <w:rFonts w:cs="Times New Roman"/>
          <w:color w:val="auto"/>
        </w:rPr>
      </w:pPr>
      <w:r>
        <w:rPr>
          <w:rFonts w:hint="eastAsia" w:cs="Times New Roman"/>
          <w:color w:val="auto"/>
        </w:rPr>
        <w:t>（</w:t>
      </w:r>
      <w:r>
        <w:rPr>
          <w:rFonts w:cs="Times New Roman"/>
          <w:color w:val="auto"/>
        </w:rPr>
        <w:t>3</w:t>
      </w:r>
      <w:r>
        <w:rPr>
          <w:rFonts w:hint="eastAsia" w:cs="Times New Roman"/>
          <w:color w:val="auto"/>
        </w:rPr>
        <w:t>）管理措施</w:t>
      </w:r>
    </w:p>
    <w:p>
      <w:pPr>
        <w:pStyle w:val="61"/>
        <w:snapToGrid w:val="0"/>
        <w:ind w:firstLine="480"/>
        <w:rPr>
          <w:rFonts w:cs="Times New Roman"/>
          <w:color w:val="auto"/>
        </w:rPr>
      </w:pPr>
      <w:r>
        <w:rPr>
          <w:rFonts w:hint="eastAsia" w:cs="Times New Roman"/>
          <w:color w:val="auto"/>
        </w:rPr>
        <w:t>在进场施工前，对施工人员进行保护水生动物的科普宣传工作，使施工人员了解保护水生态环境的意义，提高施工人员保护水环境意识。施工期禁止施工人员进行捕捞活动，以上行为应由水产和环保部门联合监督和管理。在工程建设和运行期，除了工程业主应设立由工程技术、环保和安全等方面人员组成的环保工作部门，落实各项环保措施外，施工方应与环保管理部门保持密切联系，环保管理部门应指导施工方在施工过程中如何对水生生物进行保护，并与上述部门一道加强对工程施工行为的监督和管理。</w:t>
      </w:r>
    </w:p>
    <w:p>
      <w:pPr>
        <w:pStyle w:val="4"/>
        <w:numPr>
          <w:ilvl w:val="2"/>
          <w:numId w:val="0"/>
        </w:numPr>
        <w:snapToGrid w:val="0"/>
        <w:ind w:firstLine="480" w:firstLineChars="200"/>
        <w:rPr>
          <w:rFonts w:cs="Times New Roman"/>
          <w:color w:val="auto"/>
        </w:rPr>
      </w:pPr>
      <w:r>
        <w:rPr>
          <w:rFonts w:cs="Times New Roman"/>
          <w:color w:val="auto"/>
        </w:rPr>
        <w:t>6.1.7施工期水土保持措施</w:t>
      </w:r>
    </w:p>
    <w:p>
      <w:pPr>
        <w:pStyle w:val="61"/>
        <w:snapToGrid w:val="0"/>
        <w:ind w:firstLine="480"/>
        <w:rPr>
          <w:rFonts w:cs="Times New Roman"/>
          <w:color w:val="auto"/>
        </w:rPr>
      </w:pPr>
      <w:r>
        <w:rPr>
          <w:rFonts w:cs="Times New Roman"/>
          <w:color w:val="auto"/>
        </w:rPr>
        <w:t>水土保持措施总体布局应遵循“预防为主、保护优先、全面规划、综合治理、因地制宜、突出重点、科学管理、注重效益”的方针，按照预防和治理相结合的原则，坚持局部与整体防治、单项防治措施与综合防治措施相协调、兼顾生态效益与经济效益以及水土流失各防治分区的特点进行措施的总体布置。</w:t>
      </w:r>
    </w:p>
    <w:p>
      <w:pPr>
        <w:pStyle w:val="61"/>
        <w:snapToGrid w:val="0"/>
        <w:ind w:firstLine="480"/>
        <w:rPr>
          <w:rFonts w:cs="Times New Roman"/>
          <w:color w:val="auto"/>
        </w:rPr>
      </w:pPr>
      <w:r>
        <w:rPr>
          <w:rFonts w:hint="eastAsia" w:cs="Times New Roman"/>
          <w:color w:val="auto"/>
        </w:rPr>
        <w:t>主体工程防治区：施工前对防治责任范围内用地进行表土剥离，集中堆放并采取</w:t>
      </w:r>
      <w:r>
        <w:rPr>
          <w:rFonts w:cs="Times New Roman"/>
          <w:color w:val="auto"/>
        </w:rPr>
        <w:t>密目网苫盖</w:t>
      </w:r>
      <w:r>
        <w:rPr>
          <w:rFonts w:hint="eastAsia" w:cs="Times New Roman"/>
          <w:color w:val="auto"/>
        </w:rPr>
        <w:t>、临时排水沟、临时沉沙池</w:t>
      </w:r>
      <w:r>
        <w:rPr>
          <w:rFonts w:cs="Times New Roman"/>
          <w:color w:val="auto"/>
        </w:rPr>
        <w:t>、</w:t>
      </w:r>
      <w:r>
        <w:rPr>
          <w:rFonts w:hint="eastAsia" w:cs="Times New Roman"/>
          <w:color w:val="auto"/>
        </w:rPr>
        <w:t>袋装土拦挡等临时防护措施；施工结束后，回覆表土，并</w:t>
      </w:r>
      <w:r>
        <w:rPr>
          <w:rFonts w:cs="Times New Roman"/>
          <w:color w:val="auto"/>
        </w:rPr>
        <w:t>对</w:t>
      </w:r>
      <w:r>
        <w:rPr>
          <w:rFonts w:hint="eastAsia" w:cs="Times New Roman"/>
          <w:color w:val="auto"/>
        </w:rPr>
        <w:t>临时占用的耕地、园地进行土地复耕、对其他临时占地进行植草绿化。</w:t>
      </w:r>
    </w:p>
    <w:p>
      <w:pPr>
        <w:pStyle w:val="61"/>
        <w:snapToGrid w:val="0"/>
        <w:ind w:firstLine="480"/>
        <w:rPr>
          <w:rFonts w:cs="Times New Roman"/>
          <w:color w:val="auto"/>
        </w:rPr>
      </w:pPr>
      <w:r>
        <w:rPr>
          <w:rFonts w:hint="eastAsia" w:cs="Times New Roman"/>
          <w:color w:val="auto"/>
        </w:rPr>
        <w:t>施工生产生活防治区：施工前对施工生产生活区占用的其他草地进行表土剥离，集中堆放并采取</w:t>
      </w:r>
      <w:r>
        <w:rPr>
          <w:rFonts w:cs="Times New Roman"/>
          <w:color w:val="auto"/>
        </w:rPr>
        <w:t>密目网苫盖</w:t>
      </w:r>
      <w:r>
        <w:rPr>
          <w:rFonts w:hint="eastAsia" w:cs="Times New Roman"/>
          <w:color w:val="auto"/>
        </w:rPr>
        <w:t>、临时排水沟、临时沉沙池</w:t>
      </w:r>
      <w:r>
        <w:rPr>
          <w:rFonts w:cs="Times New Roman"/>
          <w:color w:val="auto"/>
        </w:rPr>
        <w:t>、</w:t>
      </w:r>
      <w:r>
        <w:rPr>
          <w:rFonts w:hint="eastAsia" w:cs="Times New Roman"/>
          <w:color w:val="auto"/>
        </w:rPr>
        <w:t>袋装土拦挡等临时防护措施；施工结束后，回覆表土，对临时占地进行植草绿化</w:t>
      </w:r>
      <w:r>
        <w:rPr>
          <w:rFonts w:cs="Times New Roman"/>
          <w:color w:val="auto"/>
        </w:rPr>
        <w:t>。</w:t>
      </w:r>
    </w:p>
    <w:p>
      <w:pPr>
        <w:pStyle w:val="61"/>
        <w:snapToGrid w:val="0"/>
        <w:ind w:firstLine="480"/>
        <w:rPr>
          <w:rFonts w:cs="Times New Roman"/>
          <w:color w:val="auto"/>
        </w:rPr>
      </w:pPr>
      <w:r>
        <w:rPr>
          <w:rFonts w:hint="eastAsia" w:cs="Times New Roman"/>
          <w:color w:val="auto"/>
        </w:rPr>
        <w:t>施工道路防治区：施工前对施工道路区占地采取</w:t>
      </w:r>
      <w:r>
        <w:rPr>
          <w:rFonts w:cs="Times New Roman"/>
          <w:color w:val="auto"/>
        </w:rPr>
        <w:t>密目网苫盖</w:t>
      </w:r>
      <w:r>
        <w:rPr>
          <w:rFonts w:hint="eastAsia" w:cs="Times New Roman"/>
          <w:color w:val="auto"/>
        </w:rPr>
        <w:t>等临时防护措施；施工结束后，回覆表土进行土地整治，并</w:t>
      </w:r>
      <w:r>
        <w:rPr>
          <w:rFonts w:cs="Times New Roman"/>
          <w:color w:val="auto"/>
        </w:rPr>
        <w:t>对</w:t>
      </w:r>
      <w:r>
        <w:rPr>
          <w:rFonts w:hint="eastAsia" w:cs="Times New Roman"/>
          <w:color w:val="auto"/>
        </w:rPr>
        <w:t>临时占地进行植草绿化</w:t>
      </w:r>
      <w:r>
        <w:rPr>
          <w:rFonts w:cs="Times New Roman"/>
          <w:color w:val="auto"/>
        </w:rPr>
        <w:t>。</w:t>
      </w:r>
    </w:p>
    <w:p>
      <w:pPr>
        <w:pStyle w:val="3"/>
        <w:numPr>
          <w:ilvl w:val="1"/>
          <w:numId w:val="0"/>
        </w:numPr>
        <w:ind w:firstLine="560" w:firstLineChars="200"/>
        <w:rPr>
          <w:rFonts w:cs="Times New Roman"/>
          <w:b w:val="0"/>
          <w:color w:val="auto"/>
        </w:rPr>
      </w:pPr>
      <w:bookmarkStart w:id="80" w:name="_Toc142388383"/>
      <w:r>
        <w:rPr>
          <w:rFonts w:cs="Times New Roman"/>
          <w:b w:val="0"/>
          <w:color w:val="auto"/>
        </w:rPr>
        <w:t>6.2运营期污染防治措施可行性论证</w:t>
      </w:r>
      <w:bookmarkEnd w:id="80"/>
    </w:p>
    <w:p>
      <w:pPr>
        <w:pStyle w:val="4"/>
        <w:numPr>
          <w:ilvl w:val="2"/>
          <w:numId w:val="0"/>
        </w:numPr>
        <w:snapToGrid w:val="0"/>
        <w:ind w:firstLine="480" w:firstLineChars="200"/>
        <w:rPr>
          <w:rFonts w:cs="Times New Roman"/>
          <w:color w:val="auto"/>
        </w:rPr>
      </w:pPr>
      <w:r>
        <w:rPr>
          <w:rFonts w:cs="Times New Roman"/>
          <w:color w:val="auto"/>
        </w:rPr>
        <w:t>6.2.1大气环境保护措施</w:t>
      </w:r>
    </w:p>
    <w:p>
      <w:pPr>
        <w:snapToGrid w:val="0"/>
        <w:ind w:firstLine="480"/>
        <w:rPr>
          <w:rFonts w:cs="Times New Roman"/>
          <w:color w:val="auto"/>
        </w:rPr>
      </w:pPr>
      <w:r>
        <w:rPr>
          <w:rFonts w:cs="Times New Roman"/>
          <w:color w:val="auto"/>
        </w:rPr>
        <w:t>工程营运期基本不产生大气污染物，因此不需要采取大气环境保护措施。</w:t>
      </w:r>
    </w:p>
    <w:p>
      <w:pPr>
        <w:pStyle w:val="4"/>
        <w:numPr>
          <w:ilvl w:val="2"/>
          <w:numId w:val="0"/>
        </w:numPr>
        <w:snapToGrid w:val="0"/>
        <w:ind w:firstLine="480" w:firstLineChars="200"/>
        <w:rPr>
          <w:rFonts w:cs="Times New Roman"/>
          <w:color w:val="auto"/>
        </w:rPr>
      </w:pPr>
      <w:r>
        <w:rPr>
          <w:rFonts w:cs="Times New Roman"/>
          <w:color w:val="auto"/>
        </w:rPr>
        <w:t>6.2.2地表水环境保护措施</w:t>
      </w:r>
    </w:p>
    <w:p>
      <w:pPr>
        <w:snapToGrid w:val="0"/>
        <w:ind w:firstLine="480"/>
        <w:rPr>
          <w:rFonts w:cs="Times New Roman"/>
          <w:color w:val="auto"/>
        </w:rPr>
      </w:pPr>
      <w:r>
        <w:rPr>
          <w:rFonts w:cs="Times New Roman"/>
          <w:color w:val="auto"/>
          <w:szCs w:val="32"/>
        </w:rPr>
        <w:t>本项目运营后修复河道空间形态、改善河流水生态环境、生态补水保障能力。</w:t>
      </w:r>
    </w:p>
    <w:p>
      <w:pPr>
        <w:pStyle w:val="4"/>
        <w:numPr>
          <w:ilvl w:val="2"/>
          <w:numId w:val="0"/>
        </w:numPr>
        <w:snapToGrid w:val="0"/>
        <w:ind w:firstLine="480" w:firstLineChars="200"/>
        <w:rPr>
          <w:rFonts w:cs="Times New Roman"/>
          <w:color w:val="auto"/>
        </w:rPr>
      </w:pPr>
      <w:r>
        <w:rPr>
          <w:rFonts w:cs="Times New Roman"/>
          <w:color w:val="auto"/>
        </w:rPr>
        <w:t>6.2.3运行期噪声防治措施</w:t>
      </w:r>
    </w:p>
    <w:p>
      <w:pPr>
        <w:snapToGrid w:val="0"/>
        <w:ind w:firstLine="480"/>
        <w:rPr>
          <w:rFonts w:cs="Times New Roman"/>
          <w:color w:val="auto"/>
        </w:rPr>
      </w:pPr>
      <w:r>
        <w:rPr>
          <w:rFonts w:hint="eastAsia" w:cs="Times New Roman"/>
          <w:color w:val="auto"/>
          <w:lang w:val="en-US" w:eastAsia="zh-CN"/>
        </w:rPr>
        <w:t>运营期噪声主要为增氧器声音，增氧器体积小巧，节能，低耗，嵌入深水中，噪音微，</w:t>
      </w:r>
      <w:r>
        <w:rPr>
          <w:rFonts w:cs="Times New Roman"/>
          <w:color w:val="auto"/>
        </w:rPr>
        <w:t>工程营运期设备噪声</w:t>
      </w:r>
      <w:r>
        <w:rPr>
          <w:rFonts w:hint="eastAsia" w:cs="Times New Roman"/>
          <w:color w:val="auto"/>
          <w:lang w:val="en-US" w:eastAsia="zh-CN"/>
        </w:rPr>
        <w:t>对周围环境影响很小</w:t>
      </w:r>
      <w:r>
        <w:rPr>
          <w:rFonts w:cs="Times New Roman"/>
          <w:color w:val="auto"/>
        </w:rPr>
        <w:t>。</w:t>
      </w:r>
    </w:p>
    <w:p>
      <w:pPr>
        <w:pStyle w:val="4"/>
        <w:numPr>
          <w:ilvl w:val="2"/>
          <w:numId w:val="0"/>
        </w:numPr>
        <w:snapToGrid w:val="0"/>
        <w:ind w:firstLine="480" w:firstLineChars="200"/>
        <w:rPr>
          <w:rFonts w:cs="Times New Roman"/>
          <w:color w:val="auto"/>
        </w:rPr>
      </w:pPr>
      <w:r>
        <w:rPr>
          <w:rFonts w:cs="Times New Roman"/>
          <w:color w:val="auto"/>
        </w:rPr>
        <w:t>6.2.4固体废物处理与处置</w:t>
      </w:r>
      <w:r>
        <w:rPr>
          <w:rFonts w:hint="eastAsia" w:cs="Times New Roman"/>
          <w:color w:val="auto"/>
        </w:rPr>
        <w:t>措施</w:t>
      </w:r>
    </w:p>
    <w:p>
      <w:pPr>
        <w:snapToGrid w:val="0"/>
        <w:ind w:firstLine="480"/>
        <w:rPr>
          <w:rFonts w:cs="Times New Roman"/>
          <w:color w:val="auto"/>
        </w:rPr>
      </w:pPr>
      <w:r>
        <w:rPr>
          <w:rFonts w:cs="Times New Roman"/>
          <w:color w:val="auto"/>
        </w:rPr>
        <w:t>工程营运期基本不产生固体废物。</w:t>
      </w:r>
    </w:p>
    <w:p>
      <w:pPr>
        <w:pStyle w:val="4"/>
        <w:numPr>
          <w:ilvl w:val="2"/>
          <w:numId w:val="0"/>
        </w:numPr>
        <w:snapToGrid w:val="0"/>
        <w:ind w:firstLine="480" w:firstLineChars="200"/>
        <w:rPr>
          <w:rFonts w:cs="Times New Roman"/>
          <w:color w:val="auto"/>
        </w:rPr>
      </w:pPr>
      <w:r>
        <w:rPr>
          <w:rFonts w:cs="Times New Roman"/>
          <w:color w:val="auto"/>
        </w:rPr>
        <w:t>6.2.5</w:t>
      </w:r>
      <w:r>
        <w:rPr>
          <w:rFonts w:hint="eastAsia" w:cs="Times New Roman"/>
          <w:color w:val="auto"/>
        </w:rPr>
        <w:t>生态环境保护措施</w:t>
      </w:r>
    </w:p>
    <w:p>
      <w:pPr>
        <w:snapToGrid w:val="0"/>
        <w:ind w:firstLine="480"/>
        <w:rPr>
          <w:rFonts w:cs="Times New Roman"/>
          <w:color w:val="auto"/>
          <w:szCs w:val="32"/>
        </w:rPr>
      </w:pPr>
      <w:r>
        <w:rPr>
          <w:rFonts w:hint="eastAsia" w:cs="Times New Roman"/>
          <w:color w:val="auto"/>
          <w:szCs w:val="32"/>
        </w:rPr>
        <w:t>（</w:t>
      </w:r>
      <w:r>
        <w:rPr>
          <w:rFonts w:cs="Times New Roman"/>
          <w:color w:val="auto"/>
          <w:szCs w:val="32"/>
        </w:rPr>
        <w:t>1</w:t>
      </w:r>
      <w:r>
        <w:rPr>
          <w:rFonts w:hint="eastAsia" w:cs="Times New Roman"/>
          <w:color w:val="auto"/>
          <w:szCs w:val="32"/>
        </w:rPr>
        <w:t>）陆生生态恢复措施</w:t>
      </w:r>
    </w:p>
    <w:p>
      <w:pPr>
        <w:snapToGrid w:val="0"/>
        <w:ind w:firstLine="480"/>
        <w:rPr>
          <w:rFonts w:cs="Times New Roman"/>
          <w:color w:val="auto"/>
          <w:szCs w:val="32"/>
        </w:rPr>
      </w:pPr>
      <w:r>
        <w:rPr>
          <w:rFonts w:hint="eastAsia" w:cs="Times New Roman"/>
          <w:color w:val="auto"/>
          <w:szCs w:val="32"/>
        </w:rPr>
        <w:t>本项目后期在河道沿岸进行景观绿化提升，设置合理的绿化植被种类组合，可利于小型动物的栖息和迁移扩散。绿化植被种类尽可能选择本土物种。工程施工结束后，工程周边植被恢复除考虑水土保持外，还应适当考虑景观及环保作用（如降低噪声、防止空气污染、防止水体污染等），在“适地适树、适地适草”的原则下，树种、草种的选择当地优良的乡土树种草种为主，适当引进新的优良树种草种，保证绿化栽植的成活率。把剥离的表层熟土回填至周围的植被恢复区内，用作绿化带的覆土改造，使水保、绿化、美化、环保有机结合为一体。</w:t>
      </w:r>
    </w:p>
    <w:p>
      <w:pPr>
        <w:snapToGrid w:val="0"/>
        <w:ind w:firstLine="480"/>
        <w:rPr>
          <w:rFonts w:cs="Times New Roman"/>
          <w:color w:val="auto"/>
          <w:szCs w:val="32"/>
        </w:rPr>
      </w:pPr>
      <w:r>
        <w:rPr>
          <w:rFonts w:hint="eastAsia" w:cs="Times New Roman"/>
          <w:color w:val="auto"/>
          <w:szCs w:val="32"/>
        </w:rPr>
        <w:t>项目运行后建设单位加强管理，做好相关生态保护措施，环保部门应加强监督管理，建立长效运行维护方案，包括植被补种、物种更换、收割与修剪、抽稀、病虫害防治等。</w:t>
      </w:r>
    </w:p>
    <w:p>
      <w:pPr>
        <w:snapToGrid w:val="0"/>
        <w:ind w:firstLine="480"/>
        <w:rPr>
          <w:rFonts w:cs="Times New Roman"/>
          <w:color w:val="auto"/>
          <w:szCs w:val="32"/>
        </w:rPr>
      </w:pPr>
      <w:r>
        <w:rPr>
          <w:rFonts w:hint="eastAsia" w:cs="Times New Roman"/>
          <w:color w:val="auto"/>
          <w:szCs w:val="32"/>
        </w:rPr>
        <w:t>（</w:t>
      </w:r>
      <w:r>
        <w:rPr>
          <w:rFonts w:cs="Times New Roman"/>
          <w:color w:val="auto"/>
          <w:szCs w:val="32"/>
        </w:rPr>
        <w:t>2</w:t>
      </w:r>
      <w:r>
        <w:rPr>
          <w:rFonts w:hint="eastAsia" w:cs="Times New Roman"/>
          <w:color w:val="auto"/>
          <w:szCs w:val="32"/>
        </w:rPr>
        <w:t>）水生生态</w:t>
      </w:r>
    </w:p>
    <w:p>
      <w:pPr>
        <w:snapToGrid w:val="0"/>
        <w:ind w:firstLine="480"/>
        <w:rPr>
          <w:rFonts w:cs="Times New Roman"/>
          <w:color w:val="auto"/>
          <w:szCs w:val="32"/>
        </w:rPr>
      </w:pPr>
      <w:r>
        <w:rPr>
          <w:rFonts w:hint="eastAsia" w:cs="Times New Roman"/>
          <w:color w:val="auto"/>
          <w:szCs w:val="32"/>
        </w:rPr>
        <w:t>①河岸设计中关注方案布置的生态景观效应，使工程建设与生态环境建设相结合。</w:t>
      </w:r>
    </w:p>
    <w:p>
      <w:pPr>
        <w:snapToGrid w:val="0"/>
        <w:ind w:firstLine="480"/>
        <w:rPr>
          <w:rFonts w:cs="Times New Roman"/>
          <w:color w:val="auto"/>
          <w:szCs w:val="32"/>
        </w:rPr>
        <w:sectPr>
          <w:footerReference r:id="rId14" w:type="default"/>
          <w:pgSz w:w="11906" w:h="16838"/>
          <w:pgMar w:top="1417" w:right="1531" w:bottom="1417" w:left="1417" w:header="850" w:footer="850" w:gutter="0"/>
          <w:pgBorders>
            <w:top w:val="none" w:sz="0" w:space="0"/>
            <w:left w:val="none" w:sz="0" w:space="0"/>
            <w:bottom w:val="none" w:sz="0" w:space="0"/>
            <w:right w:val="none" w:sz="0" w:space="0"/>
          </w:pgBorders>
          <w:cols w:space="0" w:num="1"/>
          <w:docGrid w:type="lines" w:linePitch="400" w:charSpace="0"/>
        </w:sectPr>
      </w:pPr>
      <w:r>
        <w:rPr>
          <w:rFonts w:hint="eastAsia" w:cs="Times New Roman"/>
          <w:color w:val="auto"/>
          <w:szCs w:val="32"/>
        </w:rPr>
        <w:t>②</w:t>
      </w:r>
      <w:r>
        <w:rPr>
          <w:rFonts w:hint="eastAsia" w:cs="Times New Roman"/>
          <w:color w:val="auto"/>
          <w:szCs w:val="32"/>
        </w:rPr>
        <w:t>河道整治过程中，将会引起水质、底质及水流的等因素的改变，虽对区域内鱼类等水生生物资源影响较小，但仍应调控河道内生态系统的发育，以促进河道生态系统的尽快恢复。</w:t>
      </w:r>
    </w:p>
    <w:p>
      <w:pPr>
        <w:pStyle w:val="2"/>
        <w:numPr>
          <w:ilvl w:val="0"/>
          <w:numId w:val="0"/>
        </w:numPr>
        <w:ind w:firstLine="643" w:firstLineChars="200"/>
        <w:rPr>
          <w:rFonts w:cs="Times New Roman"/>
          <w:color w:val="auto"/>
        </w:rPr>
      </w:pPr>
      <w:bookmarkStart w:id="81" w:name="_Toc142388384"/>
      <w:bookmarkStart w:id="82" w:name="_Toc11168"/>
      <w:r>
        <w:rPr>
          <w:rFonts w:cs="Times New Roman"/>
          <w:color w:val="auto"/>
        </w:rPr>
        <w:t>7</w:t>
      </w:r>
      <w:r>
        <w:rPr>
          <w:rFonts w:hint="eastAsia" w:cs="Times New Roman"/>
          <w:color w:val="auto"/>
        </w:rPr>
        <w:t>环境风险分析</w:t>
      </w:r>
      <w:bookmarkEnd w:id="81"/>
    </w:p>
    <w:p>
      <w:pPr>
        <w:pStyle w:val="3"/>
        <w:numPr>
          <w:ilvl w:val="1"/>
          <w:numId w:val="0"/>
        </w:numPr>
        <w:ind w:firstLine="560" w:firstLineChars="200"/>
        <w:rPr>
          <w:rFonts w:cs="Times New Roman"/>
          <w:b w:val="0"/>
          <w:color w:val="auto"/>
        </w:rPr>
      </w:pPr>
      <w:bookmarkStart w:id="83" w:name="_Toc142388385"/>
      <w:r>
        <w:rPr>
          <w:rFonts w:cs="Times New Roman"/>
          <w:b w:val="0"/>
          <w:color w:val="auto"/>
        </w:rPr>
        <w:t>7.1</w:t>
      </w:r>
      <w:r>
        <w:rPr>
          <w:rFonts w:hint="eastAsia" w:cs="Times New Roman"/>
          <w:b w:val="0"/>
          <w:color w:val="auto"/>
        </w:rPr>
        <w:t>环境风险识别</w:t>
      </w:r>
      <w:bookmarkEnd w:id="83"/>
    </w:p>
    <w:p>
      <w:pPr>
        <w:pStyle w:val="7"/>
        <w:topLinePunct/>
        <w:snapToGrid w:val="0"/>
        <w:spacing w:after="0"/>
        <w:ind w:firstLine="472"/>
        <w:rPr>
          <w:color w:val="auto"/>
          <w:spacing w:val="-2"/>
        </w:rPr>
      </w:pPr>
      <w:r>
        <w:rPr>
          <w:rFonts w:hint="eastAsia"/>
          <w:color w:val="auto"/>
          <w:spacing w:val="-2"/>
        </w:rPr>
        <w:t>根据本工程特点、周围环境特点以及工程与周围环境之间的关系分析施工期的环境风险，存在的风险源主要是施工机械可能存在润滑油料、燃料油的滴漏造成水质污染的风险。</w:t>
      </w:r>
    </w:p>
    <w:p>
      <w:pPr>
        <w:pStyle w:val="7"/>
        <w:topLinePunct/>
        <w:snapToGrid w:val="0"/>
        <w:spacing w:after="0"/>
        <w:ind w:firstLine="472"/>
        <w:rPr>
          <w:color w:val="auto"/>
          <w:spacing w:val="-2"/>
        </w:rPr>
      </w:pPr>
      <w:r>
        <w:rPr>
          <w:rFonts w:hint="eastAsia"/>
          <w:color w:val="auto"/>
          <w:spacing w:val="-2"/>
        </w:rPr>
        <w:t>工程建成运行后，本身并不排放污染物，不会新增环境风险源。</w:t>
      </w:r>
    </w:p>
    <w:p>
      <w:pPr>
        <w:pStyle w:val="3"/>
        <w:numPr>
          <w:ilvl w:val="1"/>
          <w:numId w:val="0"/>
        </w:numPr>
        <w:ind w:firstLine="560" w:firstLineChars="200"/>
        <w:rPr>
          <w:rFonts w:cs="Times New Roman"/>
          <w:b w:val="0"/>
          <w:color w:val="auto"/>
        </w:rPr>
      </w:pPr>
      <w:bookmarkStart w:id="84" w:name="bookmark45"/>
      <w:bookmarkEnd w:id="84"/>
      <w:bookmarkStart w:id="85" w:name="_Toc142388386"/>
      <w:r>
        <w:rPr>
          <w:rFonts w:cs="Times New Roman"/>
          <w:b w:val="0"/>
          <w:color w:val="auto"/>
        </w:rPr>
        <w:t>7.2</w:t>
      </w:r>
      <w:r>
        <w:rPr>
          <w:rFonts w:hint="eastAsia" w:cs="Times New Roman"/>
          <w:b w:val="0"/>
          <w:color w:val="auto"/>
        </w:rPr>
        <w:t>环境风险分析</w:t>
      </w:r>
      <w:bookmarkEnd w:id="85"/>
    </w:p>
    <w:p>
      <w:pPr>
        <w:pStyle w:val="4"/>
        <w:numPr>
          <w:ilvl w:val="2"/>
          <w:numId w:val="0"/>
        </w:numPr>
        <w:snapToGrid w:val="0"/>
        <w:ind w:firstLine="480" w:firstLineChars="200"/>
        <w:rPr>
          <w:rFonts w:cs="Times New Roman"/>
          <w:color w:val="auto"/>
        </w:rPr>
      </w:pPr>
      <w:r>
        <w:rPr>
          <w:rFonts w:cs="Times New Roman"/>
          <w:color w:val="auto"/>
        </w:rPr>
        <w:t>7.2.1</w:t>
      </w:r>
      <w:r>
        <w:rPr>
          <w:rFonts w:hint="eastAsia" w:cs="Times New Roman"/>
          <w:color w:val="auto"/>
        </w:rPr>
        <w:t>建设项目风险源调查</w:t>
      </w:r>
    </w:p>
    <w:p>
      <w:pPr>
        <w:pStyle w:val="7"/>
        <w:topLinePunct/>
        <w:snapToGrid w:val="0"/>
        <w:spacing w:after="0"/>
        <w:ind w:firstLine="480"/>
        <w:rPr>
          <w:color w:val="auto"/>
        </w:rPr>
      </w:pPr>
      <w:r>
        <w:rPr>
          <w:rFonts w:hint="eastAsia"/>
          <w:color w:val="auto"/>
        </w:rPr>
        <w:t>工程对周围环境的影响主要是施工期间的废水、废气、废渣以及噪声污染。工程施工的生产和生活污水的产生点多而分散，配备了相应的污水处理设施，经处理后回用，对下游河道的水质总体上影响微小。施工所在地大都位于空旷扩散条件好的农村地区，而且施工污染物排放形势及分布较分散，大气污染物扩散稀释条件较好，各施工区的大气环境质量不会明显降低。施工区远离居民点，避免夜间施工，可以减少对居民生活的影响。施工废弃物为无毒无害的土、石废弃物，除了施工产生的生活垃圾中有少量的化学物质可能随渗滤水进入天然水体带来一些轻微污染外，总体而言可能存在的风险主要为施工机械油类泄漏。</w:t>
      </w:r>
    </w:p>
    <w:p>
      <w:pPr>
        <w:pStyle w:val="7"/>
        <w:topLinePunct/>
        <w:snapToGrid w:val="0"/>
        <w:spacing w:after="0"/>
        <w:ind w:firstLine="480"/>
        <w:rPr>
          <w:color w:val="auto"/>
        </w:rPr>
      </w:pPr>
      <w:r>
        <w:rPr>
          <w:rFonts w:hint="eastAsia"/>
          <w:color w:val="auto"/>
        </w:rPr>
        <w:t>施工期间机械设备需要用柴油，因此认为涉及的危险物质为柴油。</w:t>
      </w:r>
    </w:p>
    <w:p>
      <w:pPr>
        <w:pStyle w:val="7"/>
        <w:topLinePunct/>
        <w:snapToGrid w:val="0"/>
        <w:spacing w:after="0"/>
        <w:ind w:firstLine="480"/>
        <w:rPr>
          <w:color w:val="auto"/>
        </w:rPr>
      </w:pPr>
      <w:r>
        <w:rPr>
          <w:rFonts w:hint="eastAsia"/>
          <w:color w:val="auto"/>
        </w:rPr>
        <w:t>（</w:t>
      </w:r>
      <w:r>
        <w:rPr>
          <w:color w:val="auto"/>
        </w:rPr>
        <w:t>1</w:t>
      </w:r>
      <w:r>
        <w:rPr>
          <w:rFonts w:hint="eastAsia"/>
          <w:color w:val="auto"/>
        </w:rPr>
        <w:t>）柴油</w:t>
      </w:r>
    </w:p>
    <w:p>
      <w:pPr>
        <w:pStyle w:val="7"/>
        <w:topLinePunct/>
        <w:snapToGrid w:val="0"/>
        <w:spacing w:after="0"/>
        <w:ind w:firstLine="480"/>
        <w:rPr>
          <w:color w:val="auto"/>
        </w:rPr>
      </w:pPr>
      <w:r>
        <w:rPr>
          <w:color w:val="auto"/>
        </w:rPr>
        <w:t>柴油是轻质石油产品，复杂烃类（碳原子数约10</w:t>
      </w:r>
      <w:r>
        <w:rPr>
          <w:rFonts w:hint="eastAsia"/>
          <w:color w:val="auto"/>
        </w:rPr>
        <w:t>~</w:t>
      </w:r>
      <w:r>
        <w:rPr>
          <w:color w:val="auto"/>
        </w:rPr>
        <w:t>22）混合物。为柴油机燃料，主要由原油蒸馏、催化裂化、热裂化、加氢裂化、石油焦化等过程生产的柴油馏分调配而成；也可由页岩油加工和煤液化制取。分为轻柴油（沸点范围约180</w:t>
      </w:r>
      <w:r>
        <w:rPr>
          <w:rFonts w:hint="eastAsia"/>
          <w:color w:val="auto"/>
        </w:rPr>
        <w:t>~</w:t>
      </w:r>
      <w:r>
        <w:rPr>
          <w:color w:val="auto"/>
        </w:rPr>
        <w:t>370°C）和重柴油（沸点范围约350</w:t>
      </w:r>
      <w:r>
        <w:rPr>
          <w:rFonts w:hint="eastAsia"/>
          <w:color w:val="auto"/>
        </w:rPr>
        <w:t>~</w:t>
      </w:r>
      <w:r>
        <w:rPr>
          <w:color w:val="auto"/>
        </w:rPr>
        <w:t>410°C）两大类。广泛用于大型车辆、铁路机车、船舰。</w:t>
      </w:r>
    </w:p>
    <w:p>
      <w:pPr>
        <w:pStyle w:val="7"/>
        <w:kinsoku w:val="0"/>
        <w:overflowPunct w:val="0"/>
        <w:spacing w:after="0" w:line="240" w:lineRule="auto"/>
        <w:ind w:right="403" w:firstLine="0" w:firstLineChars="0"/>
        <w:jc w:val="center"/>
        <w:rPr>
          <w:color w:val="auto"/>
          <w:sz w:val="22"/>
          <w:szCs w:val="21"/>
        </w:rPr>
      </w:pPr>
      <w:r>
        <w:rPr>
          <w:rFonts w:hint="eastAsia"/>
          <w:b/>
          <w:bCs/>
          <w:color w:val="auto"/>
          <w:sz w:val="22"/>
          <w:szCs w:val="21"/>
        </w:rPr>
        <w:t>表</w:t>
      </w:r>
      <w:r>
        <w:rPr>
          <w:rFonts w:cs="Times New Roman"/>
          <w:b/>
          <w:bCs/>
          <w:color w:val="auto"/>
          <w:sz w:val="22"/>
          <w:szCs w:val="21"/>
        </w:rPr>
        <w:t xml:space="preserve">7.2-1 </w:t>
      </w:r>
      <w:r>
        <w:rPr>
          <w:rFonts w:cs="Times New Roman"/>
          <w:b/>
          <w:bCs/>
          <w:color w:val="auto"/>
          <w:spacing w:val="-1"/>
          <w:sz w:val="22"/>
          <w:szCs w:val="21"/>
        </w:rPr>
        <w:t xml:space="preserve"> </w:t>
      </w:r>
      <w:r>
        <w:rPr>
          <w:rFonts w:hint="eastAsia"/>
          <w:b/>
          <w:bCs/>
          <w:color w:val="auto"/>
          <w:sz w:val="22"/>
          <w:szCs w:val="21"/>
        </w:rPr>
        <w:t>柴油安全技术说明书</w:t>
      </w:r>
    </w:p>
    <w:tbl>
      <w:tblPr>
        <w:tblStyle w:val="42"/>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
        <w:gridCol w:w="12"/>
        <w:gridCol w:w="2192"/>
        <w:gridCol w:w="12"/>
        <w:gridCol w:w="7071"/>
        <w:gridCol w:w="1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69" w:hRule="exact"/>
          <w:jc w:val="center"/>
        </w:trPr>
        <w:tc>
          <w:tcPr>
            <w:tcW w:w="2218" w:type="dxa"/>
            <w:gridSpan w:val="3"/>
            <w:tcBorders>
              <w:top w:val="single" w:color="000000" w:sz="12" w:space="0"/>
              <w:bottom w:val="single" w:color="000000" w:sz="12" w:space="0"/>
            </w:tcBorders>
            <w:vAlign w:val="center"/>
          </w:tcPr>
          <w:p>
            <w:pPr>
              <w:pStyle w:val="165"/>
              <w:kinsoku w:val="0"/>
              <w:overflowPunct w:val="0"/>
              <w:spacing w:line="240" w:lineRule="auto"/>
              <w:ind w:firstLine="0" w:firstLineChars="0"/>
              <w:jc w:val="left"/>
              <w:rPr>
                <w:b/>
                <w:color w:val="auto"/>
              </w:rPr>
            </w:pPr>
            <w:r>
              <w:rPr>
                <w:rFonts w:cs="Times New Roman" w:eastAsiaTheme="minorEastAsia"/>
                <w:b/>
                <w:color w:val="auto"/>
                <w:sz w:val="21"/>
                <w:szCs w:val="21"/>
              </w:rPr>
              <w:t>1</w:t>
            </w:r>
            <w:r>
              <w:rPr>
                <w:rFonts w:hint="eastAsia"/>
                <w:b/>
                <w:color w:val="auto"/>
                <w:sz w:val="21"/>
                <w:szCs w:val="21"/>
              </w:rPr>
              <w:t>、危险性概述</w:t>
            </w:r>
          </w:p>
        </w:tc>
        <w:tc>
          <w:tcPr>
            <w:tcW w:w="7083" w:type="dxa"/>
            <w:gridSpan w:val="2"/>
            <w:tcBorders>
              <w:top w:val="single" w:color="000000" w:sz="12" w:space="0"/>
              <w:bottom w:val="single" w:color="000000" w:sz="12" w:space="0"/>
            </w:tcBorders>
            <w:vAlign w:val="center"/>
          </w:tcPr>
          <w:p>
            <w:pPr>
              <w:pStyle w:val="165"/>
              <w:kinsoku w:val="0"/>
              <w:overflowPunct w:val="0"/>
              <w:spacing w:line="240" w:lineRule="auto"/>
              <w:ind w:firstLine="0" w:firstLineChars="0"/>
              <w:jc w:val="center"/>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69" w:hRule="exact"/>
          <w:jc w:val="center"/>
        </w:trPr>
        <w:tc>
          <w:tcPr>
            <w:tcW w:w="2218" w:type="dxa"/>
            <w:gridSpan w:val="3"/>
            <w:tcBorders>
              <w:top w:val="single" w:color="000000" w:sz="12" w:space="0"/>
            </w:tcBorders>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危险性类别</w:t>
            </w:r>
          </w:p>
        </w:tc>
        <w:tc>
          <w:tcPr>
            <w:tcW w:w="7083" w:type="dxa"/>
            <w:gridSpan w:val="2"/>
            <w:tcBorders>
              <w:top w:val="single" w:color="000000" w:sz="12" w:space="0"/>
            </w:tcBorders>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第</w:t>
            </w:r>
            <w:r>
              <w:rPr>
                <w:rFonts w:ascii="宋体" w:cs="宋体"/>
                <w:color w:val="auto"/>
                <w:spacing w:val="-52"/>
                <w:sz w:val="21"/>
                <w:szCs w:val="21"/>
              </w:rPr>
              <w:t xml:space="preserve"> </w:t>
            </w:r>
            <w:r>
              <w:rPr>
                <w:color w:val="auto"/>
                <w:sz w:val="21"/>
                <w:szCs w:val="21"/>
              </w:rPr>
              <w:t>3.3</w:t>
            </w:r>
            <w:r>
              <w:rPr>
                <w:color w:val="auto"/>
                <w:spacing w:val="-2"/>
                <w:sz w:val="21"/>
                <w:szCs w:val="21"/>
              </w:rPr>
              <w:t xml:space="preserve"> </w:t>
            </w:r>
            <w:r>
              <w:rPr>
                <w:rFonts w:hint="eastAsia" w:ascii="宋体" w:cs="宋体"/>
                <w:color w:val="auto"/>
                <w:sz w:val="21"/>
                <w:szCs w:val="21"/>
              </w:rPr>
              <w:t>类高闪点易燃液体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69" w:hRule="exact"/>
          <w:jc w:val="center"/>
        </w:trPr>
        <w:tc>
          <w:tcPr>
            <w:tcW w:w="2218" w:type="dxa"/>
            <w:gridSpan w:val="3"/>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爆炸危险</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可燃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1"/>
          <w:gridAfter w:val="1"/>
          <w:wBefore w:w="14" w:type="dxa"/>
          <w:wAfter w:w="12"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侵入途径</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吸入、食入、经皮吸收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1"/>
          <w:gridAfter w:val="1"/>
          <w:wBefore w:w="14" w:type="dxa"/>
          <w:wAfter w:w="12"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有害燃烧产物</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一氧化碳、二氧化碳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1"/>
          <w:gridAfter w:val="1"/>
          <w:wBefore w:w="14" w:type="dxa"/>
          <w:wAfter w:w="12"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环境危害</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该物质对环境有危害，应特别注意对地表水、土壤、大气和饮用水的污染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1"/>
          <w:gridAfter w:val="1"/>
          <w:wBefore w:w="14" w:type="dxa"/>
          <w:wAfter w:w="12" w:type="dxa"/>
          <w:trHeight w:val="369" w:hRule="exact"/>
          <w:jc w:val="center"/>
        </w:trPr>
        <w:tc>
          <w:tcPr>
            <w:tcW w:w="2204" w:type="dxa"/>
            <w:gridSpan w:val="2"/>
            <w:vAlign w:val="center"/>
          </w:tcPr>
          <w:p>
            <w:pPr>
              <w:pStyle w:val="165"/>
              <w:kinsoku w:val="0"/>
              <w:overflowPunct w:val="0"/>
              <w:spacing w:line="240" w:lineRule="auto"/>
              <w:ind w:firstLine="0" w:firstLineChars="0"/>
              <w:jc w:val="left"/>
              <w:rPr>
                <w:rFonts w:ascii="宋体" w:cs="宋体"/>
                <w:b/>
                <w:color w:val="auto"/>
                <w:sz w:val="21"/>
                <w:szCs w:val="21"/>
              </w:rPr>
            </w:pPr>
            <w:r>
              <w:rPr>
                <w:rFonts w:cs="Times New Roman" w:eastAsiaTheme="minorEastAsia"/>
                <w:b/>
                <w:color w:val="auto"/>
                <w:sz w:val="21"/>
                <w:szCs w:val="21"/>
              </w:rPr>
              <w:t>2</w:t>
            </w:r>
            <w:r>
              <w:rPr>
                <w:rFonts w:hint="eastAsia"/>
                <w:b/>
                <w:color w:val="auto"/>
                <w:sz w:val="21"/>
                <w:szCs w:val="21"/>
              </w:rPr>
              <w:t>、理化性质</w:t>
            </w:r>
          </w:p>
        </w:tc>
        <w:tc>
          <w:tcPr>
            <w:tcW w:w="7083" w:type="dxa"/>
            <w:gridSpan w:val="2"/>
            <w:vAlign w:val="center"/>
          </w:tcPr>
          <w:p>
            <w:pPr>
              <w:pStyle w:val="165"/>
              <w:kinsoku w:val="0"/>
              <w:overflowPunct w:val="0"/>
              <w:spacing w:line="240" w:lineRule="auto"/>
              <w:ind w:firstLine="0" w:firstLineChars="0"/>
              <w:jc w:val="center"/>
              <w:rPr>
                <w:rFonts w:ascii="宋体" w:cs="宋体"/>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外观及性状</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稍有粘性的棕色液体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主要用途</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用作柴油机燃料等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闪点</w:t>
            </w:r>
          </w:p>
        </w:tc>
        <w:tc>
          <w:tcPr>
            <w:tcW w:w="7083" w:type="dxa"/>
            <w:gridSpan w:val="2"/>
            <w:vAlign w:val="center"/>
          </w:tcPr>
          <w:p>
            <w:pPr>
              <w:pStyle w:val="165"/>
              <w:kinsoku w:val="0"/>
              <w:overflowPunct w:val="0"/>
              <w:spacing w:line="240" w:lineRule="auto"/>
              <w:ind w:firstLine="0" w:firstLineChars="0"/>
              <w:jc w:val="center"/>
              <w:rPr>
                <w:color w:val="auto"/>
              </w:rPr>
            </w:pPr>
            <w:r>
              <w:rPr>
                <w:color w:val="auto"/>
                <w:sz w:val="21"/>
                <w:szCs w:val="21"/>
              </w:rPr>
              <w:t>45~55</w:t>
            </w:r>
            <w:r>
              <w:rPr>
                <w:rFonts w:hint="eastAsia" w:ascii="宋体" w:cs="宋体"/>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相对密度（水</w:t>
            </w:r>
            <w:r>
              <w:rPr>
                <w:color w:val="auto"/>
                <w:sz w:val="21"/>
                <w:szCs w:val="21"/>
              </w:rPr>
              <w:t>=1</w:t>
            </w:r>
            <w:r>
              <w:rPr>
                <w:rFonts w:hint="eastAsia" w:ascii="宋体" w:cs="宋体"/>
                <w:color w:val="auto"/>
                <w:sz w:val="21"/>
                <w:szCs w:val="21"/>
              </w:rPr>
              <w:t>）</w:t>
            </w:r>
          </w:p>
        </w:tc>
        <w:tc>
          <w:tcPr>
            <w:tcW w:w="7083" w:type="dxa"/>
            <w:gridSpan w:val="2"/>
            <w:vAlign w:val="center"/>
          </w:tcPr>
          <w:p>
            <w:pPr>
              <w:pStyle w:val="165"/>
              <w:kinsoku w:val="0"/>
              <w:overflowPunct w:val="0"/>
              <w:spacing w:line="240" w:lineRule="auto"/>
              <w:ind w:firstLine="0" w:firstLineChars="0"/>
              <w:jc w:val="center"/>
              <w:rPr>
                <w:color w:val="auto"/>
              </w:rPr>
            </w:pPr>
            <w:r>
              <w:rPr>
                <w:color w:val="auto"/>
                <w:sz w:val="21"/>
                <w:szCs w:val="21"/>
              </w:rPr>
              <w:t>0.87~0.9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沸点</w:t>
            </w:r>
          </w:p>
        </w:tc>
        <w:tc>
          <w:tcPr>
            <w:tcW w:w="7083" w:type="dxa"/>
            <w:gridSpan w:val="2"/>
            <w:vAlign w:val="center"/>
          </w:tcPr>
          <w:p>
            <w:pPr>
              <w:pStyle w:val="165"/>
              <w:kinsoku w:val="0"/>
              <w:overflowPunct w:val="0"/>
              <w:spacing w:line="240" w:lineRule="auto"/>
              <w:ind w:firstLine="0" w:firstLineChars="0"/>
              <w:jc w:val="center"/>
              <w:rPr>
                <w:color w:val="auto"/>
              </w:rPr>
            </w:pPr>
            <w:r>
              <w:rPr>
                <w:color w:val="auto"/>
                <w:sz w:val="21"/>
                <w:szCs w:val="21"/>
              </w:rPr>
              <w:t>200~350</w:t>
            </w:r>
            <w:r>
              <w:rPr>
                <w:rFonts w:hint="eastAsia" w:ascii="宋体" w:cs="宋体"/>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爆炸上限</w:t>
            </w:r>
            <w:r>
              <w:rPr>
                <w:color w:val="auto"/>
                <w:sz w:val="21"/>
                <w:szCs w:val="21"/>
              </w:rPr>
              <w:t>%</w:t>
            </w:r>
            <w:r>
              <w:rPr>
                <w:rFonts w:hint="eastAsia" w:ascii="宋体" w:cs="宋体"/>
                <w:color w:val="auto"/>
                <w:sz w:val="21"/>
                <w:szCs w:val="21"/>
              </w:rPr>
              <w:t>（</w:t>
            </w:r>
            <w:r>
              <w:rPr>
                <w:color w:val="auto"/>
                <w:sz w:val="21"/>
                <w:szCs w:val="21"/>
              </w:rPr>
              <w:t>V/V</w:t>
            </w:r>
            <w:r>
              <w:rPr>
                <w:rFonts w:hint="eastAsia" w:ascii="宋体" w:cs="宋体"/>
                <w:color w:val="auto"/>
                <w:sz w:val="21"/>
                <w:szCs w:val="21"/>
              </w:rPr>
              <w:t>）</w:t>
            </w:r>
          </w:p>
        </w:tc>
        <w:tc>
          <w:tcPr>
            <w:tcW w:w="7083" w:type="dxa"/>
            <w:gridSpan w:val="2"/>
            <w:vAlign w:val="center"/>
          </w:tcPr>
          <w:p>
            <w:pPr>
              <w:pStyle w:val="165"/>
              <w:kinsoku w:val="0"/>
              <w:overflowPunct w:val="0"/>
              <w:spacing w:line="240" w:lineRule="auto"/>
              <w:ind w:firstLine="0" w:firstLineChars="0"/>
              <w:jc w:val="center"/>
              <w:rPr>
                <w:color w:val="auto"/>
              </w:rPr>
            </w:pPr>
            <w:r>
              <w:rPr>
                <w:color w:val="auto"/>
                <w:sz w:val="21"/>
                <w:szCs w:val="21"/>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爆炸下限</w:t>
            </w:r>
            <w:r>
              <w:rPr>
                <w:color w:val="auto"/>
                <w:sz w:val="21"/>
                <w:szCs w:val="21"/>
              </w:rPr>
              <w:t>%</w:t>
            </w:r>
            <w:r>
              <w:rPr>
                <w:rFonts w:hint="eastAsia" w:ascii="宋体" w:cs="宋体"/>
                <w:color w:val="auto"/>
                <w:sz w:val="21"/>
                <w:szCs w:val="21"/>
              </w:rPr>
              <w:t>（</w:t>
            </w:r>
            <w:r>
              <w:rPr>
                <w:color w:val="auto"/>
                <w:sz w:val="21"/>
                <w:szCs w:val="21"/>
              </w:rPr>
              <w:t>V/V</w:t>
            </w:r>
            <w:r>
              <w:rPr>
                <w:rFonts w:hint="eastAsia" w:ascii="宋体" w:cs="宋体"/>
                <w:color w:val="auto"/>
                <w:sz w:val="21"/>
                <w:szCs w:val="21"/>
              </w:rPr>
              <w:t>）</w:t>
            </w:r>
          </w:p>
        </w:tc>
        <w:tc>
          <w:tcPr>
            <w:tcW w:w="7083" w:type="dxa"/>
            <w:gridSpan w:val="2"/>
            <w:vAlign w:val="center"/>
          </w:tcPr>
          <w:p>
            <w:pPr>
              <w:pStyle w:val="165"/>
              <w:kinsoku w:val="0"/>
              <w:overflowPunct w:val="0"/>
              <w:spacing w:line="240" w:lineRule="auto"/>
              <w:ind w:firstLine="0" w:firstLineChars="0"/>
              <w:jc w:val="center"/>
              <w:rPr>
                <w:color w:val="auto"/>
              </w:rPr>
            </w:pPr>
            <w:r>
              <w:rPr>
                <w:color w:val="auto"/>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自燃点</w:t>
            </w:r>
          </w:p>
        </w:tc>
        <w:tc>
          <w:tcPr>
            <w:tcW w:w="7083" w:type="dxa"/>
            <w:gridSpan w:val="2"/>
            <w:vAlign w:val="center"/>
          </w:tcPr>
          <w:p>
            <w:pPr>
              <w:pStyle w:val="165"/>
              <w:kinsoku w:val="0"/>
              <w:overflowPunct w:val="0"/>
              <w:spacing w:line="240" w:lineRule="auto"/>
              <w:ind w:firstLine="0" w:firstLineChars="0"/>
              <w:jc w:val="center"/>
              <w:rPr>
                <w:color w:val="auto"/>
              </w:rPr>
            </w:pPr>
            <w:r>
              <w:rPr>
                <w:color w:val="auto"/>
                <w:sz w:val="21"/>
                <w:szCs w:val="21"/>
              </w:rPr>
              <w:t>257</w:t>
            </w:r>
            <w:r>
              <w:rPr>
                <w:rFonts w:hint="eastAsia" w:ascii="宋体" w:cs="宋体"/>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溶解性</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不溶于水，易溶于苯、二硫化碳、醇，易溶于脂肪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left"/>
              <w:rPr>
                <w:rFonts w:ascii="宋体" w:cs="宋体"/>
                <w:b/>
                <w:color w:val="auto"/>
                <w:sz w:val="21"/>
                <w:szCs w:val="21"/>
              </w:rPr>
            </w:pPr>
            <w:r>
              <w:rPr>
                <w:rFonts w:cs="Times New Roman" w:eastAsiaTheme="minorEastAsia"/>
                <w:b/>
                <w:color w:val="auto"/>
                <w:sz w:val="21"/>
                <w:szCs w:val="21"/>
              </w:rPr>
              <w:t>3</w:t>
            </w:r>
            <w:r>
              <w:rPr>
                <w:rFonts w:hint="eastAsia"/>
                <w:b/>
                <w:color w:val="auto"/>
                <w:sz w:val="21"/>
                <w:szCs w:val="21"/>
              </w:rPr>
              <w:t>、稳定性及化学活性</w:t>
            </w:r>
          </w:p>
        </w:tc>
        <w:tc>
          <w:tcPr>
            <w:tcW w:w="7083" w:type="dxa"/>
            <w:gridSpan w:val="2"/>
            <w:vAlign w:val="center"/>
          </w:tcPr>
          <w:p>
            <w:pPr>
              <w:pStyle w:val="165"/>
              <w:kinsoku w:val="0"/>
              <w:overflowPunct w:val="0"/>
              <w:spacing w:line="240" w:lineRule="auto"/>
              <w:ind w:firstLine="0" w:firstLineChars="0"/>
              <w:jc w:val="center"/>
              <w:rPr>
                <w:rFonts w:ascii="宋体" w:cs="宋体"/>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稳定性</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稳定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避免接触的条件</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明火、高热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禁配物</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强氧化剂、强酸碱、卤素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聚合危险</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不聚合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分解产污</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无资料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Before w:val="2"/>
          <w:wBefore w:w="26" w:type="dxa"/>
          <w:trHeight w:val="369" w:hRule="exact"/>
          <w:jc w:val="center"/>
        </w:trPr>
        <w:tc>
          <w:tcPr>
            <w:tcW w:w="2204" w:type="dxa"/>
            <w:gridSpan w:val="2"/>
            <w:vAlign w:val="center"/>
          </w:tcPr>
          <w:p>
            <w:pPr>
              <w:pStyle w:val="165"/>
              <w:kinsoku w:val="0"/>
              <w:overflowPunct w:val="0"/>
              <w:spacing w:line="240" w:lineRule="auto"/>
              <w:ind w:firstLine="0" w:firstLineChars="0"/>
              <w:jc w:val="left"/>
              <w:rPr>
                <w:rFonts w:ascii="宋体" w:cs="宋体"/>
                <w:b/>
                <w:color w:val="auto"/>
                <w:sz w:val="21"/>
                <w:szCs w:val="21"/>
              </w:rPr>
            </w:pPr>
            <w:r>
              <w:rPr>
                <w:rFonts w:cs="Times New Roman" w:eastAsiaTheme="minorEastAsia"/>
                <w:b/>
                <w:color w:val="auto"/>
                <w:sz w:val="21"/>
                <w:szCs w:val="21"/>
              </w:rPr>
              <w:t>4</w:t>
            </w:r>
            <w:r>
              <w:rPr>
                <w:rFonts w:hint="eastAsia"/>
                <w:b/>
                <w:color w:val="auto"/>
                <w:sz w:val="21"/>
                <w:szCs w:val="21"/>
              </w:rPr>
              <w:t>、毒理学资料</w:t>
            </w:r>
          </w:p>
        </w:tc>
        <w:tc>
          <w:tcPr>
            <w:tcW w:w="7083" w:type="dxa"/>
            <w:gridSpan w:val="2"/>
            <w:vAlign w:val="center"/>
          </w:tcPr>
          <w:p>
            <w:pPr>
              <w:pStyle w:val="165"/>
              <w:kinsoku w:val="0"/>
              <w:overflowPunct w:val="0"/>
              <w:spacing w:line="240" w:lineRule="auto"/>
              <w:ind w:firstLine="0" w:firstLineChars="0"/>
              <w:jc w:val="center"/>
              <w:rPr>
                <w:rFonts w:ascii="宋体" w:cs="宋体"/>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69" w:hRule="exact"/>
          <w:jc w:val="center"/>
        </w:trPr>
        <w:tc>
          <w:tcPr>
            <w:tcW w:w="2218" w:type="dxa"/>
            <w:gridSpan w:val="3"/>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急性毒性</w:t>
            </w:r>
          </w:p>
        </w:tc>
        <w:tc>
          <w:tcPr>
            <w:tcW w:w="7083" w:type="dxa"/>
            <w:gridSpan w:val="2"/>
            <w:vAlign w:val="center"/>
          </w:tcPr>
          <w:p>
            <w:pPr>
              <w:pStyle w:val="165"/>
              <w:kinsoku w:val="0"/>
              <w:overflowPunct w:val="0"/>
              <w:spacing w:line="240" w:lineRule="auto"/>
              <w:ind w:firstLine="0" w:firstLineChars="0"/>
              <w:jc w:val="center"/>
              <w:rPr>
                <w:color w:val="auto"/>
              </w:rPr>
            </w:pPr>
            <w:r>
              <w:rPr>
                <w:color w:val="auto"/>
                <w:sz w:val="21"/>
                <w:szCs w:val="21"/>
              </w:rPr>
              <w:t>LD</w:t>
            </w:r>
            <w:r>
              <w:rPr>
                <w:color w:val="auto"/>
                <w:position w:val="-3"/>
                <w:sz w:val="14"/>
                <w:szCs w:val="14"/>
              </w:rPr>
              <w:t>50</w:t>
            </w:r>
            <w:r>
              <w:rPr>
                <w:color w:val="auto"/>
                <w:sz w:val="21"/>
                <w:szCs w:val="21"/>
              </w:rPr>
              <w:t>7500</w:t>
            </w:r>
            <w:r>
              <w:rPr>
                <w:rFonts w:hint="eastAsia" w:ascii="宋体" w:cs="宋体"/>
                <w:color w:val="auto"/>
                <w:sz w:val="21"/>
                <w:szCs w:val="21"/>
              </w:rPr>
              <w:t>（大鼠经口），</w:t>
            </w:r>
            <w:r>
              <w:rPr>
                <w:color w:val="auto"/>
                <w:sz w:val="21"/>
                <w:szCs w:val="21"/>
              </w:rPr>
              <w:t>LC</w:t>
            </w:r>
            <w:r>
              <w:rPr>
                <w:color w:val="auto"/>
                <w:position w:val="-3"/>
                <w:sz w:val="14"/>
                <w:szCs w:val="14"/>
              </w:rPr>
              <w:t>50</w:t>
            </w:r>
            <w:r>
              <w:rPr>
                <w:rFonts w:hint="eastAsia" w:ascii="宋体" w:cs="宋体"/>
                <w:color w:val="auto"/>
                <w:sz w:val="21"/>
                <w:szCs w:val="21"/>
              </w:rPr>
              <w:t>无数据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69" w:hRule="exact"/>
          <w:jc w:val="center"/>
        </w:trPr>
        <w:tc>
          <w:tcPr>
            <w:tcW w:w="2218" w:type="dxa"/>
            <w:gridSpan w:val="3"/>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急性中毒</w:t>
            </w:r>
          </w:p>
        </w:tc>
        <w:tc>
          <w:tcPr>
            <w:tcW w:w="7083" w:type="dxa"/>
            <w:gridSpan w:val="2"/>
            <w:vAlign w:val="center"/>
          </w:tcPr>
          <w:p>
            <w:pPr>
              <w:pStyle w:val="165"/>
              <w:kinsoku w:val="0"/>
              <w:overflowPunct w:val="0"/>
              <w:spacing w:line="240" w:lineRule="auto"/>
              <w:ind w:firstLine="0" w:firstLineChars="0"/>
              <w:jc w:val="center"/>
              <w:rPr>
                <w:rFonts w:ascii="宋体" w:cs="宋体"/>
                <w:color w:val="auto"/>
                <w:spacing w:val="-4"/>
                <w:sz w:val="21"/>
                <w:szCs w:val="21"/>
              </w:rPr>
            </w:pPr>
            <w:r>
              <w:rPr>
                <w:rFonts w:hint="eastAsia" w:ascii="宋体" w:cs="宋体"/>
                <w:color w:val="auto"/>
                <w:spacing w:val="-4"/>
                <w:sz w:val="21"/>
                <w:szCs w:val="21"/>
              </w:rPr>
              <w:t>皮肤接触柴油可引起接触性皮炎、油性痤疮，吸入可引起吸入性肺炎，能经</w:t>
            </w:r>
          </w:p>
          <w:p>
            <w:pPr>
              <w:pStyle w:val="165"/>
              <w:kinsoku w:val="0"/>
              <w:overflowPunct w:val="0"/>
              <w:spacing w:line="240" w:lineRule="auto"/>
              <w:ind w:firstLine="0" w:firstLineChars="0"/>
              <w:jc w:val="center"/>
              <w:rPr>
                <w:color w:val="auto"/>
              </w:rPr>
            </w:pPr>
            <w:r>
              <w:rPr>
                <w:rFonts w:hint="eastAsia" w:ascii="宋体" w:cs="宋体"/>
                <w:color w:val="auto"/>
                <w:sz w:val="21"/>
                <w:szCs w:val="21"/>
              </w:rPr>
              <w:t>胎盘进入胎儿血中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69" w:hRule="exact"/>
          <w:jc w:val="center"/>
        </w:trPr>
        <w:tc>
          <w:tcPr>
            <w:tcW w:w="2218" w:type="dxa"/>
            <w:gridSpan w:val="3"/>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慢性中毒</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柴油废气可引起眼、鼻刺激症状，头疼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69" w:hRule="exact"/>
          <w:jc w:val="center"/>
        </w:trPr>
        <w:tc>
          <w:tcPr>
            <w:tcW w:w="2218" w:type="dxa"/>
            <w:gridSpan w:val="3"/>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刺激性</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具有刺激作用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69" w:hRule="exact"/>
          <w:jc w:val="center"/>
        </w:trPr>
        <w:tc>
          <w:tcPr>
            <w:tcW w:w="2218" w:type="dxa"/>
            <w:gridSpan w:val="3"/>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最高容许浓度</w:t>
            </w:r>
          </w:p>
        </w:tc>
        <w:tc>
          <w:tcPr>
            <w:tcW w:w="7083" w:type="dxa"/>
            <w:gridSpan w:val="2"/>
            <w:vAlign w:val="center"/>
          </w:tcPr>
          <w:p>
            <w:pPr>
              <w:pStyle w:val="165"/>
              <w:kinsoku w:val="0"/>
              <w:overflowPunct w:val="0"/>
              <w:spacing w:line="240" w:lineRule="auto"/>
              <w:ind w:firstLine="0" w:firstLineChars="0"/>
              <w:jc w:val="center"/>
              <w:rPr>
                <w:color w:val="auto"/>
              </w:rPr>
            </w:pPr>
            <w:r>
              <w:rPr>
                <w:rFonts w:hint="eastAsia" w:ascii="宋体" w:cs="宋体"/>
                <w:color w:val="auto"/>
                <w:sz w:val="21"/>
                <w:szCs w:val="21"/>
              </w:rPr>
              <w:t>目前无标准</w:t>
            </w:r>
          </w:p>
        </w:tc>
      </w:tr>
    </w:tbl>
    <w:p>
      <w:pPr>
        <w:pStyle w:val="4"/>
        <w:numPr>
          <w:ilvl w:val="2"/>
          <w:numId w:val="0"/>
        </w:numPr>
        <w:snapToGrid w:val="0"/>
        <w:ind w:firstLine="480" w:firstLineChars="200"/>
        <w:rPr>
          <w:rFonts w:cs="Times New Roman"/>
          <w:color w:val="auto"/>
        </w:rPr>
      </w:pPr>
      <w:r>
        <w:rPr>
          <w:rFonts w:cs="Times New Roman"/>
          <w:color w:val="auto"/>
        </w:rPr>
        <w:t>7.2.2</w:t>
      </w:r>
      <w:r>
        <w:rPr>
          <w:rFonts w:hint="eastAsia" w:cs="Times New Roman"/>
          <w:color w:val="auto"/>
        </w:rPr>
        <w:t>评价等级的判定</w:t>
      </w:r>
    </w:p>
    <w:p>
      <w:pPr>
        <w:adjustRightInd w:val="0"/>
        <w:snapToGrid w:val="0"/>
        <w:ind w:firstLine="480"/>
        <w:rPr>
          <w:rFonts w:cs="Times New Roman" w:eastAsiaTheme="minorEastAsia"/>
          <w:color w:val="auto"/>
          <w:kern w:val="0"/>
        </w:rPr>
      </w:pPr>
      <w:r>
        <w:rPr>
          <w:rFonts w:cs="Times New Roman" w:eastAsiaTheme="minorEastAsia"/>
          <w:color w:val="auto"/>
          <w:kern w:val="0"/>
        </w:rPr>
        <w:t>1</w:t>
      </w:r>
      <w:r>
        <w:rPr>
          <w:rFonts w:hint="eastAsia" w:cs="Times New Roman" w:eastAsiaTheme="minorEastAsia"/>
          <w:color w:val="auto"/>
          <w:kern w:val="0"/>
        </w:rPr>
        <w:t>.危险物质数量与临界量比值（</w:t>
      </w:r>
      <w:r>
        <w:rPr>
          <w:rFonts w:cs="Times New Roman" w:eastAsiaTheme="minorEastAsia"/>
          <w:color w:val="auto"/>
          <w:kern w:val="0"/>
        </w:rPr>
        <w:t>Q</w:t>
      </w:r>
      <w:r>
        <w:rPr>
          <w:rFonts w:hint="eastAsia" w:cs="Times New Roman" w:eastAsiaTheme="minorEastAsia"/>
          <w:color w:val="auto"/>
          <w:kern w:val="0"/>
        </w:rPr>
        <w:t>）</w:t>
      </w:r>
    </w:p>
    <w:p>
      <w:pPr>
        <w:adjustRightInd w:val="0"/>
        <w:snapToGrid w:val="0"/>
        <w:ind w:firstLine="480"/>
        <w:rPr>
          <w:rFonts w:cs="Times New Roman" w:eastAsiaTheme="minorEastAsia"/>
          <w:color w:val="auto"/>
          <w:kern w:val="0"/>
        </w:rPr>
      </w:pPr>
      <w:r>
        <w:rPr>
          <w:rFonts w:cs="Times New Roman" w:eastAsiaTheme="minorEastAsia"/>
          <w:color w:val="auto"/>
          <w:kern w:val="0"/>
        </w:rPr>
        <w:t>（1）当企业只涉及一种风险物质时，该物质的数量与其临界量比值，即为Q。</w:t>
      </w:r>
    </w:p>
    <w:p>
      <w:pPr>
        <w:adjustRightInd w:val="0"/>
        <w:snapToGrid w:val="0"/>
        <w:ind w:firstLine="480"/>
        <w:rPr>
          <w:rFonts w:cs="Times New Roman" w:eastAsiaTheme="minorEastAsia"/>
          <w:color w:val="auto"/>
          <w:kern w:val="0"/>
        </w:rPr>
      </w:pPr>
      <w:r>
        <w:rPr>
          <w:rFonts w:cs="Times New Roman" w:eastAsiaTheme="minorEastAsia"/>
          <w:color w:val="auto"/>
          <w:kern w:val="0"/>
        </w:rPr>
        <w:t>（2）当企业存在多种风险物质时，则按下列计算：</w:t>
      </w:r>
    </w:p>
    <w:p>
      <w:pPr>
        <w:snapToGrid w:val="0"/>
        <w:ind w:firstLine="2160" w:firstLineChars="900"/>
        <w:rPr>
          <w:rFonts w:cs="Times New Roman" w:eastAsiaTheme="minorEastAsia"/>
          <w:color w:val="auto"/>
          <w:kern w:val="0"/>
        </w:rPr>
      </w:pPr>
      <w:r>
        <w:rPr>
          <w:rFonts w:cs="Times New Roman" w:eastAsiaTheme="minorEastAsia"/>
          <w:color w:val="auto"/>
          <w:kern w:val="0"/>
        </w:rPr>
        <w:pict>
          <v:shape id="_x0000_i1025" o:spt="75" type="#_x0000_t75" style="height:33.35pt;width:112pt;" filled="f" o:preferrelative="t" stroked="f" coordsize="21600,21600">
            <v:path/>
            <v:fill on="f" focussize="0,0"/>
            <v:stroke on="f" joinstyle="miter"/>
            <v:imagedata r:id="rId37" o:title=""/>
            <o:lock v:ext="edit" aspectratio="t"/>
            <w10:wrap type="none"/>
            <w10:anchorlock/>
          </v:shape>
        </w:pict>
      </w:r>
    </w:p>
    <w:p>
      <w:pPr>
        <w:snapToGrid w:val="0"/>
        <w:ind w:firstLine="480"/>
        <w:rPr>
          <w:rFonts w:cs="Times New Roman" w:eastAsiaTheme="minorEastAsia"/>
          <w:color w:val="auto"/>
          <w:kern w:val="0"/>
        </w:rPr>
      </w:pPr>
      <w:r>
        <w:rPr>
          <w:rFonts w:cs="Times New Roman" w:eastAsiaTheme="minorEastAsia"/>
          <w:color w:val="auto"/>
          <w:kern w:val="0"/>
        </w:rPr>
        <w:t>式中：w</w:t>
      </w:r>
      <w:r>
        <w:rPr>
          <w:rFonts w:cs="Times New Roman" w:eastAsiaTheme="minorEastAsia"/>
          <w:color w:val="auto"/>
          <w:kern w:val="0"/>
          <w:vertAlign w:val="subscript"/>
        </w:rPr>
        <w:t>1</w:t>
      </w:r>
      <w:r>
        <w:rPr>
          <w:rFonts w:cs="Times New Roman" w:eastAsiaTheme="minorEastAsia"/>
          <w:color w:val="auto"/>
          <w:kern w:val="0"/>
        </w:rPr>
        <w:t>,w</w:t>
      </w:r>
      <w:r>
        <w:rPr>
          <w:rFonts w:cs="Times New Roman" w:eastAsiaTheme="minorEastAsia"/>
          <w:color w:val="auto"/>
          <w:kern w:val="0"/>
          <w:vertAlign w:val="subscript"/>
        </w:rPr>
        <w:t>2</w:t>
      </w:r>
      <w:r>
        <w:rPr>
          <w:rFonts w:cs="Times New Roman" w:eastAsiaTheme="minorEastAsia"/>
          <w:color w:val="auto"/>
          <w:kern w:val="0"/>
        </w:rPr>
        <w:t>,...,w</w:t>
      </w:r>
      <w:r>
        <w:rPr>
          <w:rFonts w:cs="Times New Roman" w:eastAsiaTheme="minorEastAsia"/>
          <w:color w:val="auto"/>
          <w:kern w:val="0"/>
          <w:vertAlign w:val="subscript"/>
        </w:rPr>
        <w:t>n</w:t>
      </w:r>
      <w:r>
        <w:rPr>
          <w:rFonts w:cs="Times New Roman" w:eastAsiaTheme="minorEastAsia"/>
          <w:color w:val="auto"/>
          <w:kern w:val="0"/>
        </w:rPr>
        <w:t>——每种风险物质的存在量，t；</w:t>
      </w:r>
    </w:p>
    <w:p>
      <w:pPr>
        <w:snapToGrid w:val="0"/>
        <w:ind w:firstLine="1200" w:firstLineChars="500"/>
        <w:rPr>
          <w:rFonts w:cs="Times New Roman" w:eastAsiaTheme="minorEastAsia"/>
          <w:color w:val="auto"/>
          <w:kern w:val="0"/>
        </w:rPr>
      </w:pPr>
      <w:r>
        <w:rPr>
          <w:rFonts w:cs="Times New Roman" w:eastAsiaTheme="minorEastAsia"/>
          <w:color w:val="auto"/>
          <w:kern w:val="0"/>
        </w:rPr>
        <w:t>W</w:t>
      </w:r>
      <w:r>
        <w:rPr>
          <w:rFonts w:cs="Times New Roman" w:eastAsiaTheme="minorEastAsia"/>
          <w:color w:val="auto"/>
          <w:kern w:val="0"/>
          <w:vertAlign w:val="subscript"/>
        </w:rPr>
        <w:t>1</w:t>
      </w:r>
      <w:r>
        <w:rPr>
          <w:rFonts w:cs="Times New Roman" w:eastAsiaTheme="minorEastAsia"/>
          <w:color w:val="auto"/>
          <w:kern w:val="0"/>
        </w:rPr>
        <w:t>,W</w:t>
      </w:r>
      <w:r>
        <w:rPr>
          <w:rFonts w:cs="Times New Roman" w:eastAsiaTheme="minorEastAsia"/>
          <w:color w:val="auto"/>
          <w:kern w:val="0"/>
          <w:vertAlign w:val="subscript"/>
        </w:rPr>
        <w:t>2</w:t>
      </w:r>
      <w:r>
        <w:rPr>
          <w:rFonts w:cs="Times New Roman" w:eastAsiaTheme="minorEastAsia"/>
          <w:color w:val="auto"/>
          <w:kern w:val="0"/>
        </w:rPr>
        <w:t>,...,W</w:t>
      </w:r>
      <w:r>
        <w:rPr>
          <w:rFonts w:cs="Times New Roman" w:eastAsiaTheme="minorEastAsia"/>
          <w:color w:val="auto"/>
          <w:kern w:val="0"/>
          <w:vertAlign w:val="subscript"/>
        </w:rPr>
        <w:t>n</w:t>
      </w:r>
      <w:r>
        <w:rPr>
          <w:rFonts w:cs="Times New Roman" w:eastAsiaTheme="minorEastAsia"/>
          <w:color w:val="auto"/>
          <w:kern w:val="0"/>
        </w:rPr>
        <w:t>——每种风险物质的临界量，t。</w:t>
      </w:r>
    </w:p>
    <w:p>
      <w:pPr>
        <w:snapToGrid w:val="0"/>
        <w:ind w:firstLine="480"/>
        <w:rPr>
          <w:rFonts w:cs="Times New Roman" w:eastAsiaTheme="minorEastAsia"/>
          <w:color w:val="auto"/>
          <w:kern w:val="0"/>
        </w:rPr>
      </w:pPr>
      <w:r>
        <w:rPr>
          <w:rFonts w:cs="Times New Roman" w:eastAsiaTheme="minorEastAsia"/>
          <w:color w:val="auto"/>
          <w:kern w:val="0"/>
        </w:rPr>
        <w:t>按数值大小，将Q划分为4个水平：</w:t>
      </w:r>
    </w:p>
    <w:p>
      <w:pPr>
        <w:snapToGrid w:val="0"/>
        <w:ind w:firstLine="480"/>
        <w:rPr>
          <w:rFonts w:cs="Times New Roman" w:eastAsiaTheme="minorEastAsia"/>
          <w:color w:val="auto"/>
          <w:kern w:val="0"/>
        </w:rPr>
      </w:pPr>
      <w:r>
        <w:rPr>
          <w:rFonts w:cs="Times New Roman" w:eastAsiaTheme="minorEastAsia"/>
          <w:color w:val="auto"/>
          <w:kern w:val="0"/>
        </w:rPr>
        <w:t>（1）Q＜1，以Q0表示，企业直接评为一般环境风险等级；</w:t>
      </w:r>
    </w:p>
    <w:p>
      <w:pPr>
        <w:snapToGrid w:val="0"/>
        <w:ind w:firstLine="480"/>
        <w:rPr>
          <w:rFonts w:cs="Times New Roman" w:eastAsiaTheme="minorEastAsia"/>
          <w:color w:val="auto"/>
          <w:kern w:val="0"/>
        </w:rPr>
      </w:pPr>
      <w:r>
        <w:rPr>
          <w:rFonts w:cs="Times New Roman" w:eastAsiaTheme="minorEastAsia"/>
          <w:color w:val="auto"/>
          <w:kern w:val="0"/>
        </w:rPr>
        <w:t>（2）1≤Q＜10，以Q1表示；</w:t>
      </w:r>
    </w:p>
    <w:p>
      <w:pPr>
        <w:snapToGrid w:val="0"/>
        <w:ind w:firstLine="480"/>
        <w:rPr>
          <w:rFonts w:cs="Times New Roman" w:eastAsiaTheme="minorEastAsia"/>
          <w:color w:val="auto"/>
          <w:kern w:val="0"/>
        </w:rPr>
      </w:pPr>
      <w:r>
        <w:rPr>
          <w:rFonts w:cs="Times New Roman" w:eastAsiaTheme="minorEastAsia"/>
          <w:color w:val="auto"/>
          <w:kern w:val="0"/>
        </w:rPr>
        <w:t>（3）10≤Q＜100，以Q2表示；</w:t>
      </w:r>
    </w:p>
    <w:p>
      <w:pPr>
        <w:snapToGrid w:val="0"/>
        <w:ind w:firstLine="480"/>
        <w:rPr>
          <w:rFonts w:cs="Times New Roman" w:eastAsiaTheme="minorEastAsia"/>
          <w:color w:val="auto"/>
        </w:rPr>
      </w:pPr>
      <w:r>
        <w:rPr>
          <w:rFonts w:cs="Times New Roman" w:eastAsiaTheme="minorEastAsia"/>
          <w:color w:val="auto"/>
          <w:kern w:val="0"/>
        </w:rPr>
        <w:t>（4）Q≥100,以Q3表示。</w:t>
      </w:r>
    </w:p>
    <w:p>
      <w:pPr>
        <w:pStyle w:val="7"/>
        <w:kinsoku w:val="0"/>
        <w:overflowPunct w:val="0"/>
        <w:snapToGrid w:val="0"/>
        <w:spacing w:after="0"/>
        <w:ind w:firstLine="480"/>
        <w:rPr>
          <w:color w:val="auto"/>
        </w:rPr>
      </w:pPr>
      <w:r>
        <w:rPr>
          <w:rFonts w:hint="eastAsia" w:cs="Times New Roman"/>
          <w:color w:val="auto"/>
        </w:rPr>
        <w:t>本项目施工期</w:t>
      </w:r>
      <w:r>
        <w:rPr>
          <w:rFonts w:cs="Times New Roman"/>
          <w:color w:val="auto"/>
        </w:rPr>
        <w:t>主要危险物质为柴油。依据《企业突发环境事件风险分级方法》，柴油的临界量都为2500t</w:t>
      </w:r>
      <w:r>
        <w:rPr>
          <w:rFonts w:hint="eastAsia" w:cs="Times New Roman"/>
          <w:color w:val="auto"/>
        </w:rPr>
        <w:t>。根据建设单位的资料，项目施工期间机械设备柴油最大存在总量为</w:t>
      </w:r>
      <w:r>
        <w:rPr>
          <w:rFonts w:hint="eastAsia" w:cs="Times New Roman"/>
          <w:color w:val="auto"/>
          <w:lang w:val="en-US" w:eastAsia="zh-CN"/>
        </w:rPr>
        <w:t>4</w:t>
      </w:r>
      <w:r>
        <w:rPr>
          <w:rFonts w:cs="Times New Roman"/>
          <w:color w:val="auto"/>
        </w:rPr>
        <w:t>t</w:t>
      </w:r>
      <w:r>
        <w:rPr>
          <w:rFonts w:hint="eastAsia" w:cs="Times New Roman"/>
          <w:color w:val="auto"/>
        </w:rPr>
        <w:t>，则</w:t>
      </w:r>
      <w:r>
        <w:rPr>
          <w:rFonts w:hint="eastAsia"/>
          <w:color w:val="auto"/>
        </w:rPr>
        <w:t>项目</w:t>
      </w:r>
      <w:r>
        <w:rPr>
          <w:rFonts w:cs="Times New Roman"/>
          <w:color w:val="auto"/>
        </w:rPr>
        <w:t>Q=0.002</w:t>
      </w:r>
      <w:r>
        <w:rPr>
          <w:rFonts w:hint="eastAsia"/>
          <w:color w:val="auto"/>
        </w:rPr>
        <w:t>＜</w:t>
      </w:r>
      <w:r>
        <w:rPr>
          <w:rFonts w:cs="Times New Roman"/>
          <w:color w:val="auto"/>
        </w:rPr>
        <w:t>1</w:t>
      </w:r>
      <w:r>
        <w:rPr>
          <w:rFonts w:hint="eastAsia"/>
          <w:color w:val="auto"/>
        </w:rPr>
        <w:t>，因此项目为一般环境风险等级。</w:t>
      </w:r>
    </w:p>
    <w:p>
      <w:pPr>
        <w:adjustRightInd w:val="0"/>
        <w:snapToGrid w:val="0"/>
        <w:ind w:firstLine="480"/>
        <w:rPr>
          <w:rFonts w:cs="Times New Roman" w:eastAsiaTheme="minorEastAsia"/>
          <w:color w:val="auto"/>
          <w:kern w:val="0"/>
        </w:rPr>
      </w:pPr>
      <w:r>
        <w:rPr>
          <w:rFonts w:cs="Times New Roman" w:eastAsiaTheme="minorEastAsia"/>
          <w:color w:val="auto"/>
          <w:kern w:val="0"/>
        </w:rPr>
        <w:t>2</w:t>
      </w:r>
      <w:r>
        <w:rPr>
          <w:rFonts w:hint="eastAsia" w:cs="Times New Roman" w:eastAsiaTheme="minorEastAsia"/>
          <w:color w:val="auto"/>
          <w:kern w:val="0"/>
        </w:rPr>
        <w:t>、评价等级的确定</w:t>
      </w:r>
    </w:p>
    <w:p>
      <w:pPr>
        <w:pStyle w:val="7"/>
        <w:kinsoku w:val="0"/>
        <w:overflowPunct w:val="0"/>
        <w:snapToGrid w:val="0"/>
        <w:spacing w:after="0"/>
        <w:ind w:firstLine="480"/>
        <w:rPr>
          <w:color w:val="auto"/>
        </w:rPr>
      </w:pPr>
      <w:r>
        <w:rPr>
          <w:rFonts w:hint="eastAsia"/>
          <w:color w:val="auto"/>
        </w:rPr>
        <w:t>《建设项目环境风险评价技术导则》（</w:t>
      </w:r>
      <w:r>
        <w:rPr>
          <w:color w:val="auto"/>
        </w:rPr>
        <w:t>HJ169-2018</w:t>
      </w:r>
      <w:r>
        <w:rPr>
          <w:rFonts w:hint="eastAsia"/>
          <w:color w:val="auto"/>
        </w:rPr>
        <w:t>）中环境风险评价工作等级划分基本原则见表</w:t>
      </w:r>
      <w:r>
        <w:rPr>
          <w:color w:val="auto"/>
        </w:rPr>
        <w:t>7.2-2</w:t>
      </w:r>
      <w:r>
        <w:rPr>
          <w:rFonts w:hint="eastAsia"/>
          <w:color w:val="auto"/>
        </w:rPr>
        <w:t>。本项目环境风险潜势为</w:t>
      </w:r>
      <w:r>
        <w:rPr>
          <w:color w:val="auto"/>
        </w:rPr>
        <w:t>I</w:t>
      </w:r>
      <w:r>
        <w:rPr>
          <w:rFonts w:hint="eastAsia"/>
          <w:color w:val="auto"/>
        </w:rPr>
        <w:t>级，本项目的风险评价等级为简单分析。</w:t>
      </w:r>
    </w:p>
    <w:p>
      <w:pPr>
        <w:pStyle w:val="7"/>
        <w:kinsoku w:val="0"/>
        <w:overflowPunct w:val="0"/>
        <w:snapToGrid w:val="0"/>
        <w:spacing w:after="0" w:line="240" w:lineRule="auto"/>
        <w:ind w:firstLine="0" w:firstLineChars="0"/>
        <w:jc w:val="center"/>
        <w:rPr>
          <w:color w:val="auto"/>
          <w:szCs w:val="21"/>
        </w:rPr>
      </w:pPr>
      <w:r>
        <w:rPr>
          <w:rFonts w:hint="eastAsia"/>
          <w:b/>
          <w:bCs/>
          <w:color w:val="auto"/>
          <w:szCs w:val="21"/>
        </w:rPr>
        <w:t>表</w:t>
      </w:r>
      <w:r>
        <w:rPr>
          <w:rFonts w:cs="Times New Roman"/>
          <w:b/>
          <w:bCs/>
          <w:color w:val="auto"/>
          <w:szCs w:val="21"/>
        </w:rPr>
        <w:t xml:space="preserve">7.2-2  </w:t>
      </w:r>
      <w:r>
        <w:rPr>
          <w:rFonts w:cs="Times New Roman"/>
          <w:b/>
          <w:bCs/>
          <w:color w:val="auto"/>
          <w:spacing w:val="-1"/>
          <w:szCs w:val="21"/>
        </w:rPr>
        <w:t xml:space="preserve"> </w:t>
      </w:r>
      <w:r>
        <w:rPr>
          <w:rFonts w:hint="eastAsia"/>
          <w:b/>
          <w:bCs/>
          <w:color w:val="auto"/>
          <w:szCs w:val="21"/>
        </w:rPr>
        <w:t>项目风险评价工作等级</w:t>
      </w:r>
    </w:p>
    <w:tbl>
      <w:tblPr>
        <w:tblStyle w:val="42"/>
        <w:tblW w:w="0" w:type="auto"/>
        <w:tblInd w:w="116" w:type="dxa"/>
        <w:tblLayout w:type="fixed"/>
        <w:tblCellMar>
          <w:top w:w="0" w:type="dxa"/>
          <w:left w:w="0" w:type="dxa"/>
          <w:bottom w:w="0" w:type="dxa"/>
          <w:right w:w="0" w:type="dxa"/>
        </w:tblCellMar>
      </w:tblPr>
      <w:tblGrid>
        <w:gridCol w:w="1932"/>
        <w:gridCol w:w="1215"/>
        <w:gridCol w:w="1971"/>
        <w:gridCol w:w="2345"/>
        <w:gridCol w:w="1824"/>
      </w:tblGrid>
      <w:tr>
        <w:tblPrEx>
          <w:tblCellMar>
            <w:top w:w="0" w:type="dxa"/>
            <w:left w:w="0" w:type="dxa"/>
            <w:bottom w:w="0" w:type="dxa"/>
            <w:right w:w="0" w:type="dxa"/>
          </w:tblCellMar>
        </w:tblPrEx>
        <w:trPr>
          <w:trHeight w:val="369" w:hRule="exact"/>
        </w:trPr>
        <w:tc>
          <w:tcPr>
            <w:tcW w:w="1932" w:type="dxa"/>
            <w:tcBorders>
              <w:top w:val="single" w:color="000000" w:sz="12" w:space="0"/>
              <w:left w:val="nil"/>
              <w:bottom w:val="single" w:color="000000" w:sz="12" w:space="0"/>
              <w:right w:val="single" w:color="000000" w:sz="2" w:space="0"/>
            </w:tcBorders>
            <w:shd w:val="clear" w:color="auto" w:fill="auto"/>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环境风险潜势</w:t>
            </w:r>
          </w:p>
        </w:tc>
        <w:tc>
          <w:tcPr>
            <w:tcW w:w="1215" w:type="dxa"/>
            <w:tcBorders>
              <w:top w:val="single" w:color="000000" w:sz="12" w:space="0"/>
              <w:left w:val="single" w:color="000000" w:sz="2" w:space="0"/>
              <w:bottom w:val="single" w:color="000000" w:sz="12" w:space="0"/>
              <w:right w:val="single" w:color="000000" w:sz="2" w:space="0"/>
            </w:tcBorders>
            <w:shd w:val="clear" w:color="auto" w:fill="auto"/>
          </w:tcPr>
          <w:p>
            <w:pPr>
              <w:pStyle w:val="165"/>
              <w:kinsoku w:val="0"/>
              <w:overflowPunct w:val="0"/>
              <w:snapToGrid w:val="0"/>
              <w:spacing w:line="240" w:lineRule="auto"/>
              <w:ind w:firstLine="0" w:firstLineChars="0"/>
              <w:jc w:val="center"/>
              <w:rPr>
                <w:color w:val="auto"/>
              </w:rPr>
            </w:pPr>
            <w:r>
              <w:rPr>
                <w:color w:val="auto"/>
                <w:sz w:val="21"/>
                <w:szCs w:val="21"/>
              </w:rPr>
              <w:t>IV</w:t>
            </w:r>
            <w:r>
              <w:rPr>
                <w:rFonts w:hint="eastAsia" w:ascii="宋体" w:cs="宋体"/>
                <w:color w:val="auto"/>
                <w:sz w:val="21"/>
                <w:szCs w:val="21"/>
              </w:rPr>
              <w:t>、</w:t>
            </w:r>
            <w:r>
              <w:rPr>
                <w:color w:val="auto"/>
                <w:sz w:val="21"/>
                <w:szCs w:val="21"/>
              </w:rPr>
              <w:t>IV</w:t>
            </w:r>
            <w:r>
              <w:rPr>
                <w:color w:val="auto"/>
                <w:position w:val="10"/>
                <w:sz w:val="14"/>
                <w:szCs w:val="14"/>
              </w:rPr>
              <w:t>+</w:t>
            </w:r>
          </w:p>
        </w:tc>
        <w:tc>
          <w:tcPr>
            <w:tcW w:w="1971" w:type="dxa"/>
            <w:tcBorders>
              <w:top w:val="single" w:color="000000" w:sz="12" w:space="0"/>
              <w:left w:val="single" w:color="000000" w:sz="2" w:space="0"/>
              <w:bottom w:val="single" w:color="000000" w:sz="12" w:space="0"/>
              <w:right w:val="single" w:color="000000" w:sz="2" w:space="0"/>
            </w:tcBorders>
            <w:shd w:val="clear" w:color="auto" w:fill="auto"/>
          </w:tcPr>
          <w:p>
            <w:pPr>
              <w:pStyle w:val="165"/>
              <w:kinsoku w:val="0"/>
              <w:overflowPunct w:val="0"/>
              <w:snapToGrid w:val="0"/>
              <w:spacing w:line="240" w:lineRule="auto"/>
              <w:ind w:firstLine="0" w:firstLineChars="0"/>
              <w:jc w:val="center"/>
              <w:rPr>
                <w:color w:val="auto"/>
              </w:rPr>
            </w:pPr>
            <w:r>
              <w:rPr>
                <w:color w:val="auto"/>
                <w:sz w:val="21"/>
                <w:szCs w:val="21"/>
              </w:rPr>
              <w:t>III</w:t>
            </w:r>
          </w:p>
        </w:tc>
        <w:tc>
          <w:tcPr>
            <w:tcW w:w="2345" w:type="dxa"/>
            <w:tcBorders>
              <w:top w:val="single" w:color="000000" w:sz="12" w:space="0"/>
              <w:left w:val="single" w:color="000000" w:sz="2" w:space="0"/>
              <w:bottom w:val="single" w:color="000000" w:sz="12" w:space="0"/>
              <w:right w:val="single" w:color="000000" w:sz="2" w:space="0"/>
            </w:tcBorders>
            <w:shd w:val="clear" w:color="auto" w:fill="auto"/>
          </w:tcPr>
          <w:p>
            <w:pPr>
              <w:pStyle w:val="165"/>
              <w:kinsoku w:val="0"/>
              <w:overflowPunct w:val="0"/>
              <w:snapToGrid w:val="0"/>
              <w:spacing w:line="240" w:lineRule="auto"/>
              <w:ind w:firstLine="0" w:firstLineChars="0"/>
              <w:jc w:val="center"/>
              <w:rPr>
                <w:color w:val="auto"/>
              </w:rPr>
            </w:pPr>
            <w:r>
              <w:rPr>
                <w:color w:val="auto"/>
                <w:sz w:val="21"/>
                <w:szCs w:val="21"/>
              </w:rPr>
              <w:t>II</w:t>
            </w:r>
          </w:p>
        </w:tc>
        <w:tc>
          <w:tcPr>
            <w:tcW w:w="1824" w:type="dxa"/>
            <w:tcBorders>
              <w:top w:val="single" w:color="000000" w:sz="12" w:space="0"/>
              <w:left w:val="single" w:color="000000" w:sz="2" w:space="0"/>
              <w:bottom w:val="single" w:color="000000" w:sz="12" w:space="0"/>
              <w:right w:val="nil"/>
            </w:tcBorders>
            <w:shd w:val="clear" w:color="auto" w:fill="auto"/>
          </w:tcPr>
          <w:p>
            <w:pPr>
              <w:pStyle w:val="165"/>
              <w:kinsoku w:val="0"/>
              <w:overflowPunct w:val="0"/>
              <w:snapToGrid w:val="0"/>
              <w:spacing w:line="240" w:lineRule="auto"/>
              <w:ind w:firstLine="0" w:firstLineChars="0"/>
              <w:jc w:val="center"/>
              <w:rPr>
                <w:color w:val="auto"/>
              </w:rPr>
            </w:pPr>
            <w:r>
              <w:rPr>
                <w:color w:val="auto"/>
                <w:sz w:val="21"/>
                <w:szCs w:val="21"/>
              </w:rPr>
              <w:t>I</w:t>
            </w:r>
          </w:p>
        </w:tc>
      </w:tr>
      <w:tr>
        <w:tblPrEx>
          <w:tblCellMar>
            <w:top w:w="0" w:type="dxa"/>
            <w:left w:w="0" w:type="dxa"/>
            <w:bottom w:w="0" w:type="dxa"/>
            <w:right w:w="0" w:type="dxa"/>
          </w:tblCellMar>
        </w:tblPrEx>
        <w:trPr>
          <w:trHeight w:val="369" w:hRule="exact"/>
        </w:trPr>
        <w:tc>
          <w:tcPr>
            <w:tcW w:w="1932" w:type="dxa"/>
            <w:tcBorders>
              <w:top w:val="single" w:color="000000" w:sz="12" w:space="0"/>
              <w:left w:val="nil"/>
              <w:bottom w:val="single" w:color="000000" w:sz="10" w:space="0"/>
              <w:right w:val="single" w:color="000000" w:sz="2" w:space="0"/>
            </w:tcBorders>
            <w:shd w:val="clear" w:color="auto" w:fill="auto"/>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评价工作等级</w:t>
            </w:r>
          </w:p>
        </w:tc>
        <w:tc>
          <w:tcPr>
            <w:tcW w:w="1215" w:type="dxa"/>
            <w:tcBorders>
              <w:top w:val="single" w:color="000000" w:sz="12" w:space="0"/>
              <w:left w:val="single" w:color="000000" w:sz="2" w:space="0"/>
              <w:bottom w:val="single" w:color="000000" w:sz="10" w:space="0"/>
              <w:right w:val="single" w:color="000000" w:sz="2" w:space="0"/>
            </w:tcBorders>
            <w:shd w:val="clear" w:color="auto" w:fill="auto"/>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一</w:t>
            </w:r>
          </w:p>
        </w:tc>
        <w:tc>
          <w:tcPr>
            <w:tcW w:w="1971" w:type="dxa"/>
            <w:tcBorders>
              <w:top w:val="single" w:color="000000" w:sz="12" w:space="0"/>
              <w:left w:val="single" w:color="000000" w:sz="2" w:space="0"/>
              <w:bottom w:val="single" w:color="000000" w:sz="10" w:space="0"/>
              <w:right w:val="single" w:color="000000" w:sz="2" w:space="0"/>
            </w:tcBorders>
            <w:shd w:val="clear" w:color="auto" w:fill="auto"/>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二</w:t>
            </w:r>
          </w:p>
        </w:tc>
        <w:tc>
          <w:tcPr>
            <w:tcW w:w="2345" w:type="dxa"/>
            <w:tcBorders>
              <w:top w:val="single" w:color="000000" w:sz="12" w:space="0"/>
              <w:left w:val="single" w:color="000000" w:sz="2" w:space="0"/>
              <w:bottom w:val="single" w:color="000000" w:sz="10" w:space="0"/>
              <w:right w:val="single" w:color="000000" w:sz="2" w:space="0"/>
            </w:tcBorders>
            <w:shd w:val="clear" w:color="auto" w:fill="auto"/>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三</w:t>
            </w:r>
          </w:p>
        </w:tc>
        <w:tc>
          <w:tcPr>
            <w:tcW w:w="1824" w:type="dxa"/>
            <w:tcBorders>
              <w:top w:val="single" w:color="000000" w:sz="12" w:space="0"/>
              <w:left w:val="single" w:color="000000" w:sz="2" w:space="0"/>
              <w:bottom w:val="single" w:color="000000" w:sz="12" w:space="0"/>
              <w:right w:val="nil"/>
            </w:tcBorders>
            <w:shd w:val="clear" w:color="auto" w:fill="auto"/>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简单分析</w:t>
            </w:r>
            <w:r>
              <w:rPr>
                <w:color w:val="auto"/>
                <w:position w:val="10"/>
                <w:sz w:val="14"/>
                <w:szCs w:val="14"/>
              </w:rPr>
              <w:t>a</w:t>
            </w:r>
          </w:p>
        </w:tc>
      </w:tr>
      <w:tr>
        <w:tblPrEx>
          <w:tblCellMar>
            <w:top w:w="0" w:type="dxa"/>
            <w:left w:w="0" w:type="dxa"/>
            <w:bottom w:w="0" w:type="dxa"/>
            <w:right w:w="0" w:type="dxa"/>
          </w:tblCellMar>
        </w:tblPrEx>
        <w:trPr>
          <w:trHeight w:val="583" w:hRule="exact"/>
        </w:trPr>
        <w:tc>
          <w:tcPr>
            <w:tcW w:w="9287" w:type="dxa"/>
            <w:gridSpan w:val="5"/>
            <w:tcBorders>
              <w:top w:val="single" w:color="000000" w:sz="10" w:space="0"/>
              <w:left w:val="nil"/>
              <w:bottom w:val="single" w:color="000000" w:sz="12" w:space="0"/>
            </w:tcBorders>
            <w:shd w:val="clear" w:color="auto" w:fill="auto"/>
          </w:tcPr>
          <w:p>
            <w:pPr>
              <w:pStyle w:val="165"/>
              <w:kinsoku w:val="0"/>
              <w:overflowPunct w:val="0"/>
              <w:snapToGrid w:val="0"/>
              <w:spacing w:line="240" w:lineRule="auto"/>
              <w:ind w:firstLine="0" w:firstLineChars="0"/>
              <w:rPr>
                <w:rFonts w:ascii="宋体" w:cs="宋体"/>
                <w:color w:val="auto"/>
                <w:sz w:val="21"/>
                <w:szCs w:val="21"/>
              </w:rPr>
            </w:pPr>
            <w:r>
              <w:rPr>
                <w:rFonts w:hint="eastAsia"/>
                <w:color w:val="auto"/>
                <w:spacing w:val="-3"/>
                <w:sz w:val="21"/>
                <w:szCs w:val="21"/>
                <w:vertAlign w:val="superscript"/>
              </w:rPr>
              <w:t>a</w:t>
            </w:r>
            <w:r>
              <w:rPr>
                <w:rFonts w:hint="eastAsia"/>
                <w:color w:val="auto"/>
                <w:spacing w:val="-3"/>
                <w:sz w:val="21"/>
                <w:szCs w:val="21"/>
              </w:rPr>
              <w:t>是相对于详细评价工作内容而言，在描述危险物质、环境影响途径、环境后果、风险防范措施</w:t>
            </w:r>
            <w:r>
              <w:rPr>
                <w:color w:val="auto"/>
                <w:spacing w:val="-79"/>
                <w:sz w:val="21"/>
                <w:szCs w:val="21"/>
              </w:rPr>
              <w:t xml:space="preserve"> </w:t>
            </w:r>
            <w:r>
              <w:rPr>
                <w:rFonts w:hint="eastAsia"/>
                <w:color w:val="auto"/>
                <w:sz w:val="21"/>
                <w:szCs w:val="21"/>
              </w:rPr>
              <w:t>等方面给出定性的说明。</w:t>
            </w:r>
          </w:p>
        </w:tc>
      </w:tr>
    </w:tbl>
    <w:p>
      <w:pPr>
        <w:pStyle w:val="4"/>
        <w:numPr>
          <w:ilvl w:val="2"/>
          <w:numId w:val="0"/>
        </w:numPr>
        <w:snapToGrid w:val="0"/>
        <w:ind w:firstLine="480" w:firstLineChars="200"/>
        <w:rPr>
          <w:rFonts w:cs="Times New Roman"/>
          <w:color w:val="auto"/>
        </w:rPr>
      </w:pPr>
      <w:r>
        <w:rPr>
          <w:rFonts w:cs="Times New Roman"/>
          <w:color w:val="auto"/>
        </w:rPr>
        <w:t>7.2.3</w:t>
      </w:r>
      <w:r>
        <w:rPr>
          <w:rFonts w:hint="eastAsia" w:cs="Times New Roman"/>
          <w:color w:val="auto"/>
        </w:rPr>
        <w:t>事故影响分析</w:t>
      </w:r>
    </w:p>
    <w:p>
      <w:pPr>
        <w:pStyle w:val="7"/>
        <w:kinsoku w:val="0"/>
        <w:overflowPunct w:val="0"/>
        <w:snapToGrid w:val="0"/>
        <w:spacing w:after="0"/>
        <w:ind w:firstLine="480"/>
        <w:rPr>
          <w:rFonts w:cs="Times New Roman"/>
          <w:color w:val="auto"/>
        </w:rPr>
      </w:pPr>
      <w:r>
        <w:rPr>
          <w:rFonts w:hint="eastAsia" w:cs="Times New Roman"/>
          <w:color w:val="auto"/>
        </w:rPr>
        <w:t>机械设备柴油的泄露将会对区域水域的水生生物产生一定影响，主要表现为：①河面连片的油膜使水体的阳光投射率下降，降低浮游植物的光合作用，从而影响水域的初级生产力，同时干扰浮游动物的昼夜垂直迁移。②油污染能伤害水生生物的化学感应器，干扰、破坏生物的趋化性，使其感应系统发生紊乱。③水生生物的孪和幼体对油污染非常敏感，而且由于卵和幼体大都漂浮在水体表面，表面油污染浓度最高，对生物种类的破坏性最大。④溶解和分散在水体中的油类较易侵入水生生物的上皮细胞，破坏动植物的细胞质膜和线粒体膜，损害生物的酶系统和蛋白质结构，导致基础代谢活动出现障碍，引起生物种类异常。⑤由于不同种类生物对油污染的敏感性有很大差异，水体受油污染后，对油污染抵抗性差的生物数量将大量减少或消失，而一些嗜油菌落和好油生物将大量繁殖和生长，从而改变原有的结构种类，引起生态平衡失调。</w:t>
      </w:r>
    </w:p>
    <w:p>
      <w:pPr>
        <w:pStyle w:val="7"/>
        <w:kinsoku w:val="0"/>
        <w:overflowPunct w:val="0"/>
        <w:snapToGrid w:val="0"/>
        <w:spacing w:after="0"/>
        <w:ind w:firstLine="480"/>
        <w:rPr>
          <w:rFonts w:cs="Times New Roman"/>
          <w:color w:val="auto"/>
        </w:rPr>
      </w:pPr>
      <w:r>
        <w:rPr>
          <w:rFonts w:hint="eastAsia" w:cs="Times New Roman"/>
          <w:color w:val="auto"/>
        </w:rPr>
        <w:t>溢油事故对水生生态风险评价如下：一旦发生溢油污染事故，对评价区域内的生物和鱼类影响较大。以柴油污染为例，</w:t>
      </w:r>
    </w:p>
    <w:p>
      <w:pPr>
        <w:pStyle w:val="7"/>
        <w:kinsoku w:val="0"/>
        <w:overflowPunct w:val="0"/>
        <w:snapToGrid w:val="0"/>
        <w:spacing w:after="0"/>
        <w:ind w:firstLine="480"/>
        <w:rPr>
          <w:rFonts w:cs="Times New Roman"/>
          <w:color w:val="auto"/>
        </w:rPr>
      </w:pPr>
      <w:r>
        <w:rPr>
          <w:rFonts w:hint="eastAsia" w:cs="Times New Roman"/>
          <w:color w:val="auto"/>
        </w:rPr>
        <w:t>其危害是由柴油的化学组成、特征及其在水体的存在形式决定。在柴油不同组分中，低沸点的芳香烃对一切生物均有毒性，而高沸点的芳香烃则是长效毒性，会对流域鱼类资源及水生生物构成威胁和危害直至死亡。</w:t>
      </w:r>
    </w:p>
    <w:p>
      <w:pPr>
        <w:pStyle w:val="7"/>
        <w:kinsoku w:val="0"/>
        <w:overflowPunct w:val="0"/>
        <w:snapToGrid w:val="0"/>
        <w:spacing w:after="0"/>
        <w:ind w:firstLine="480"/>
        <w:rPr>
          <w:rFonts w:cs="Times New Roman"/>
          <w:color w:val="auto"/>
        </w:rPr>
      </w:pPr>
      <w:r>
        <w:rPr>
          <w:rFonts w:hint="eastAsia" w:cs="Times New Roman"/>
          <w:color w:val="auto"/>
        </w:rPr>
        <w:t>（1）对鱼类的急性毒性测试</w:t>
      </w:r>
    </w:p>
    <w:p>
      <w:pPr>
        <w:pStyle w:val="7"/>
        <w:kinsoku w:val="0"/>
        <w:overflowPunct w:val="0"/>
        <w:snapToGrid w:val="0"/>
        <w:spacing w:after="0"/>
        <w:ind w:firstLine="480"/>
        <w:rPr>
          <w:rFonts w:cs="Times New Roman"/>
          <w:color w:val="auto"/>
        </w:rPr>
      </w:pPr>
      <w:r>
        <w:rPr>
          <w:rFonts w:hint="eastAsia" w:cs="Times New Roman"/>
          <w:color w:val="auto"/>
        </w:rPr>
        <w:t>①对鱼类的急性毒性测试</w:t>
      </w:r>
    </w:p>
    <w:p>
      <w:pPr>
        <w:pStyle w:val="7"/>
        <w:kinsoku w:val="0"/>
        <w:overflowPunct w:val="0"/>
        <w:snapToGrid w:val="0"/>
        <w:spacing w:after="0"/>
        <w:ind w:firstLine="480"/>
        <w:rPr>
          <w:rFonts w:cs="Times New Roman"/>
          <w:color w:val="auto"/>
        </w:rPr>
      </w:pPr>
      <w:r>
        <w:rPr>
          <w:rFonts w:hint="eastAsia" w:cs="Times New Roman"/>
          <w:color w:val="auto"/>
        </w:rPr>
        <w:t>根据近年来对不同鱼类仔鱼的毒性试验按结果表明，石油类对鲤鱼仔鱼</w:t>
      </w:r>
      <w:r>
        <w:rPr>
          <w:rFonts w:cs="Times New Roman"/>
          <w:color w:val="auto"/>
        </w:rPr>
        <w:t>96h</w:t>
      </w:r>
      <w:r>
        <w:rPr>
          <w:rFonts w:hint="eastAsia" w:cs="Times New Roman"/>
          <w:color w:val="auto"/>
        </w:rPr>
        <w:t>的</w:t>
      </w:r>
      <w:r>
        <w:rPr>
          <w:rFonts w:cs="Times New Roman"/>
          <w:color w:val="auto"/>
        </w:rPr>
        <w:t>LC50</w:t>
      </w:r>
      <w:r>
        <w:rPr>
          <w:rFonts w:hint="eastAsia" w:cs="Times New Roman"/>
          <w:color w:val="auto"/>
        </w:rPr>
        <w:t>值为</w:t>
      </w:r>
      <w:r>
        <w:rPr>
          <w:rFonts w:cs="Times New Roman"/>
          <w:color w:val="auto"/>
        </w:rPr>
        <w:t>0.5~3.0mg/L</w:t>
      </w:r>
      <w:r>
        <w:rPr>
          <w:rFonts w:hint="eastAsia" w:cs="Times New Roman"/>
          <w:color w:val="auto"/>
        </w:rPr>
        <w:t>，因此污染带瞬时高浓度排放（即事故排放）可导致急性中毒死鱼事故。</w:t>
      </w:r>
    </w:p>
    <w:p>
      <w:pPr>
        <w:pStyle w:val="7"/>
        <w:kinsoku w:val="0"/>
        <w:overflowPunct w:val="0"/>
        <w:snapToGrid w:val="0"/>
        <w:spacing w:after="0"/>
        <w:ind w:firstLine="480"/>
        <w:rPr>
          <w:rFonts w:cs="Times New Roman"/>
          <w:color w:val="auto"/>
        </w:rPr>
      </w:pPr>
      <w:r>
        <w:rPr>
          <w:rFonts w:hint="eastAsia" w:cs="Times New Roman"/>
          <w:color w:val="auto"/>
        </w:rPr>
        <w:t>②对鱼卵、仔稚鱼的影响</w:t>
      </w:r>
    </w:p>
    <w:p>
      <w:pPr>
        <w:pStyle w:val="7"/>
        <w:kinsoku w:val="0"/>
        <w:overflowPunct w:val="0"/>
        <w:snapToGrid w:val="0"/>
        <w:spacing w:after="0"/>
        <w:ind w:firstLine="480"/>
        <w:rPr>
          <w:rFonts w:cs="Times New Roman"/>
          <w:color w:val="auto"/>
        </w:rPr>
      </w:pPr>
      <w:r>
        <w:rPr>
          <w:rFonts w:hint="eastAsia" w:cs="Times New Roman"/>
          <w:color w:val="auto"/>
        </w:rPr>
        <w:t>油膜对卵子的粘着、渗透等直接影响鱼卵的孵化率和孵化量，而仔稚鱼对油污染反应极为敏感。较低的石油浓度即能引起仔稚鱼的死亡和畸变，抑制鱼卵孵化、滞缓发育、生理功能低落，以及导致畸形和死亡等。溢油事故中沉降的油块也可能对一些沉性卵产生影响。此外，由于卵子一般为附着性卵，随水流飘逸，而仔稚鱼游泳能力较差，因而一旦发生溢油，将对卵子和仔稚鱼产生毁灭性的破坏。</w:t>
      </w:r>
    </w:p>
    <w:p>
      <w:pPr>
        <w:pStyle w:val="7"/>
        <w:topLinePunct/>
        <w:snapToGrid w:val="0"/>
        <w:spacing w:after="0"/>
        <w:ind w:firstLine="480"/>
        <w:rPr>
          <w:rFonts w:cs="Times New Roman"/>
          <w:color w:val="auto"/>
        </w:rPr>
      </w:pPr>
      <w:r>
        <w:rPr>
          <w:rFonts w:hint="eastAsia" w:cs="Times New Roman"/>
          <w:color w:val="auto"/>
        </w:rPr>
        <w:t>③石油类在鱼体内的蓄积残留分析</w:t>
      </w:r>
    </w:p>
    <w:p>
      <w:pPr>
        <w:pStyle w:val="7"/>
        <w:topLinePunct/>
        <w:snapToGrid w:val="0"/>
        <w:spacing w:after="0"/>
        <w:ind w:firstLine="480"/>
        <w:rPr>
          <w:rFonts w:cs="Times New Roman"/>
          <w:color w:val="auto"/>
        </w:rPr>
      </w:pPr>
      <w:r>
        <w:rPr>
          <w:rFonts w:hint="eastAsia" w:cs="Times New Roman"/>
          <w:color w:val="auto"/>
        </w:rPr>
        <w:t>污染因子石油类在鱼体中的积累和残留可引起鱼类慢性中毒而带来长效应的污染影响，这种影响不仅可以引起鱼类资源的变动，甚至会引起鱼类种质的变异。鱼类一旦与油分子接触就会在短时间内发生油臭，从而影响其食用价值。</w:t>
      </w:r>
    </w:p>
    <w:p>
      <w:pPr>
        <w:pStyle w:val="7"/>
        <w:topLinePunct/>
        <w:snapToGrid w:val="0"/>
        <w:spacing w:after="0"/>
        <w:ind w:firstLine="480"/>
        <w:rPr>
          <w:rFonts w:cs="Times New Roman"/>
          <w:color w:val="auto"/>
        </w:rPr>
      </w:pPr>
      <w:r>
        <w:rPr>
          <w:rFonts w:hint="eastAsia" w:cs="Times New Roman"/>
          <w:color w:val="auto"/>
        </w:rPr>
        <w:t>④石油类对鱼的致突变性分析</w:t>
      </w:r>
    </w:p>
    <w:p>
      <w:pPr>
        <w:pStyle w:val="7"/>
        <w:topLinePunct/>
        <w:snapToGrid w:val="0"/>
        <w:spacing w:after="0"/>
        <w:ind w:firstLine="480"/>
        <w:rPr>
          <w:rFonts w:cs="Times New Roman"/>
          <w:color w:val="auto"/>
        </w:rPr>
      </w:pPr>
      <w:r>
        <w:rPr>
          <w:rFonts w:hint="eastAsia" w:cs="Times New Roman"/>
          <w:color w:val="auto"/>
        </w:rPr>
        <w:t>近年来对几种定居性的长江鱼类仔鱼鱼类外周血微核试验表明，长江鱼类（主要是定居性鱼类）微核的高检出率是由于长江水环境污染的高浓度诱变物的诱发作用而引起，而石油类污染物可能是其主要的诱变源。</w:t>
      </w:r>
    </w:p>
    <w:p>
      <w:pPr>
        <w:pStyle w:val="7"/>
        <w:topLinePunct/>
        <w:snapToGrid w:val="0"/>
        <w:spacing w:after="0"/>
        <w:ind w:firstLine="480"/>
        <w:rPr>
          <w:rFonts w:cs="Times New Roman"/>
          <w:color w:val="auto"/>
        </w:rPr>
      </w:pPr>
      <w:r>
        <w:rPr>
          <w:rFonts w:hint="eastAsia" w:cs="Times New Roman"/>
          <w:color w:val="auto"/>
        </w:rPr>
        <w:t>（</w:t>
      </w:r>
      <w:r>
        <w:rPr>
          <w:rFonts w:cs="Times New Roman"/>
          <w:color w:val="auto"/>
        </w:rPr>
        <w:t>2</w:t>
      </w:r>
      <w:r>
        <w:rPr>
          <w:rFonts w:hint="eastAsia" w:cs="Times New Roman"/>
          <w:color w:val="auto"/>
        </w:rPr>
        <w:t>）对浮游植物的影响</w:t>
      </w:r>
    </w:p>
    <w:p>
      <w:pPr>
        <w:pStyle w:val="7"/>
        <w:topLinePunct/>
        <w:snapToGrid w:val="0"/>
        <w:spacing w:after="0"/>
        <w:ind w:firstLine="480"/>
        <w:rPr>
          <w:rFonts w:cs="Times New Roman"/>
          <w:color w:val="auto"/>
        </w:rPr>
      </w:pPr>
      <w:r>
        <w:rPr>
          <w:rFonts w:hint="eastAsia" w:cs="Times New Roman"/>
          <w:color w:val="auto"/>
        </w:rPr>
        <w:t>浮游植物是水体中有机质的主要生产者，它是浮游动物的基础饵料，也是河流食物网结构的基础环节，在水生生态系统的物质循环与能量循环转换过程中起着重要的作用。溢油发生时，大部分溢油浮于水面并扩散成油膜，油膜在水面的停留将影响水体与大气之间的物质交换和热交换，使水体中的含氧量、温度等因素发生较大的变化，使浮游植物窒息死亡，并会破坏浮游植物细胞，降低透光率，影响浮游植物的光合作用。根据国内外许多毒性试验结果表明，作为鱼、虾类饵料基础的浮游植物，对各类油类的耐受能力都很低；一般浮游植物石油急性中毒致死浓度为</w:t>
      </w:r>
      <w:r>
        <w:rPr>
          <w:rFonts w:cs="Times New Roman"/>
          <w:color w:val="auto"/>
        </w:rPr>
        <w:t>0.1~10.0mg/L</w:t>
      </w:r>
      <w:r>
        <w:rPr>
          <w:rFonts w:hint="eastAsia" w:cs="Times New Roman"/>
          <w:color w:val="auto"/>
        </w:rPr>
        <w:t>，一般为</w:t>
      </w:r>
      <w:r>
        <w:rPr>
          <w:rFonts w:cs="Times New Roman"/>
          <w:color w:val="auto"/>
        </w:rPr>
        <w:t>1.0~3.6mg/L</w:t>
      </w:r>
      <w:r>
        <w:rPr>
          <w:rFonts w:hint="eastAsia" w:cs="Times New Roman"/>
          <w:color w:val="auto"/>
        </w:rPr>
        <w:t>，对于更敏感的种类，油浓度低于</w:t>
      </w:r>
      <w:r>
        <w:rPr>
          <w:rFonts w:cs="Times New Roman"/>
          <w:color w:val="auto"/>
        </w:rPr>
        <w:t>0.1mg/L</w:t>
      </w:r>
      <w:r>
        <w:rPr>
          <w:rFonts w:hint="eastAsia" w:cs="Times New Roman"/>
          <w:color w:val="auto"/>
        </w:rPr>
        <w:t>时，也会妨碍细胞的分裂和生长的速率。</w:t>
      </w:r>
    </w:p>
    <w:p>
      <w:pPr>
        <w:pStyle w:val="7"/>
        <w:topLinePunct/>
        <w:snapToGrid w:val="0"/>
        <w:spacing w:after="0"/>
        <w:ind w:firstLine="480"/>
        <w:rPr>
          <w:rFonts w:cs="Times New Roman"/>
          <w:color w:val="auto"/>
        </w:rPr>
      </w:pPr>
      <w:r>
        <w:rPr>
          <w:rFonts w:hint="eastAsia" w:cs="Times New Roman"/>
          <w:color w:val="auto"/>
        </w:rPr>
        <w:t>因此，若发生溢油时，油膜所经过的河流水面，水中的浮游植物受污染的影响较大。</w:t>
      </w:r>
    </w:p>
    <w:p>
      <w:pPr>
        <w:pStyle w:val="7"/>
        <w:kinsoku w:val="0"/>
        <w:overflowPunct w:val="0"/>
        <w:snapToGrid w:val="0"/>
        <w:spacing w:after="0"/>
        <w:ind w:firstLine="480"/>
        <w:rPr>
          <w:rFonts w:cs="Times New Roman"/>
          <w:color w:val="auto"/>
        </w:rPr>
      </w:pPr>
      <w:r>
        <w:rPr>
          <w:rFonts w:hint="eastAsia" w:cs="Times New Roman"/>
          <w:color w:val="auto"/>
        </w:rPr>
        <w:t>（</w:t>
      </w:r>
      <w:r>
        <w:rPr>
          <w:rFonts w:cs="Times New Roman"/>
          <w:color w:val="auto"/>
        </w:rPr>
        <w:t>3</w:t>
      </w:r>
      <w:r>
        <w:rPr>
          <w:rFonts w:hint="eastAsia" w:cs="Times New Roman"/>
          <w:color w:val="auto"/>
        </w:rPr>
        <w:t>）对浮游动物的影响</w:t>
      </w:r>
    </w:p>
    <w:p>
      <w:pPr>
        <w:pStyle w:val="7"/>
        <w:kinsoku w:val="0"/>
        <w:overflowPunct w:val="0"/>
        <w:snapToGrid w:val="0"/>
        <w:spacing w:after="0"/>
        <w:ind w:firstLine="480"/>
        <w:rPr>
          <w:rFonts w:cs="Times New Roman"/>
          <w:color w:val="auto"/>
        </w:rPr>
      </w:pPr>
      <w:r>
        <w:rPr>
          <w:rFonts w:hint="eastAsia" w:cs="Times New Roman"/>
          <w:color w:val="auto"/>
        </w:rPr>
        <w:t>浮游动物对石油类的敏感性较高，一旦发生溢油将对浮游动物产生较大的毒害效应。许多实验结果表明，油类浓度超过</w:t>
      </w:r>
      <w:r>
        <w:rPr>
          <w:rFonts w:cs="Times New Roman"/>
          <w:color w:val="auto"/>
        </w:rPr>
        <w:t>50mg/L</w:t>
      </w:r>
      <w:r>
        <w:rPr>
          <w:rFonts w:hint="eastAsia" w:cs="Times New Roman"/>
          <w:color w:val="auto"/>
        </w:rPr>
        <w:t>时，对桡足类动物在</w:t>
      </w:r>
      <w:r>
        <w:rPr>
          <w:rFonts w:cs="Times New Roman"/>
          <w:color w:val="auto"/>
        </w:rPr>
        <w:t>24h</w:t>
      </w:r>
      <w:r>
        <w:rPr>
          <w:rFonts w:hint="eastAsia" w:cs="Times New Roman"/>
          <w:color w:val="auto"/>
        </w:rPr>
        <w:t>内将发生有害影响，并且幼体的敏感性高于成体。此外若溢油发生时，大部分溢油浮于水面并扩散成油膜，油膜在水面的停留将影响水与大气之间的物质交流和热交换，使水体的含氧量、温度等因素发生较大的变化，使其窒息死亡。</w:t>
      </w:r>
    </w:p>
    <w:p>
      <w:pPr>
        <w:pStyle w:val="7"/>
        <w:kinsoku w:val="0"/>
        <w:overflowPunct w:val="0"/>
        <w:snapToGrid w:val="0"/>
        <w:spacing w:after="0"/>
        <w:ind w:firstLine="480"/>
        <w:rPr>
          <w:rFonts w:cs="Times New Roman"/>
          <w:color w:val="auto"/>
        </w:rPr>
      </w:pPr>
      <w:r>
        <w:rPr>
          <w:rFonts w:hint="eastAsia" w:cs="Times New Roman"/>
          <w:color w:val="auto"/>
        </w:rPr>
        <w:t>（</w:t>
      </w:r>
      <w:r>
        <w:rPr>
          <w:rFonts w:cs="Times New Roman"/>
          <w:color w:val="auto"/>
        </w:rPr>
        <w:t>4</w:t>
      </w:r>
      <w:r>
        <w:rPr>
          <w:rFonts w:hint="eastAsia" w:cs="Times New Roman"/>
          <w:color w:val="auto"/>
        </w:rPr>
        <w:t>）对底栖生物的影响</w:t>
      </w:r>
    </w:p>
    <w:p>
      <w:pPr>
        <w:pStyle w:val="7"/>
        <w:topLinePunct/>
        <w:snapToGrid w:val="0"/>
        <w:spacing w:after="0"/>
        <w:ind w:firstLine="480"/>
        <w:rPr>
          <w:rFonts w:cs="Times New Roman"/>
          <w:color w:val="auto"/>
        </w:rPr>
      </w:pPr>
      <w:r>
        <w:rPr>
          <w:rFonts w:hint="eastAsia" w:cs="Times New Roman"/>
          <w:color w:val="auto"/>
        </w:rPr>
        <w:t>不同种类底栖生物对石油类浓度的适应性具有差异，多数底栖生物石油类急性中毒致死浓度范围在</w:t>
      </w:r>
      <w:r>
        <w:rPr>
          <w:rFonts w:cs="Times New Roman"/>
          <w:color w:val="auto"/>
        </w:rPr>
        <w:t>2.0~15mg/L</w:t>
      </w:r>
      <w:r>
        <w:rPr>
          <w:rFonts w:hint="eastAsia" w:cs="Times New Roman"/>
          <w:color w:val="auto"/>
        </w:rPr>
        <w:t>，其幼体的致死浓度范围更小些。底栖生物的耐油污性通常很差，即使水体中石油类含量只有</w:t>
      </w:r>
      <w:r>
        <w:rPr>
          <w:rFonts w:cs="Times New Roman"/>
          <w:color w:val="auto"/>
        </w:rPr>
        <w:t>0.0lppm</w:t>
      </w:r>
      <w:r>
        <w:rPr>
          <w:rFonts w:hint="eastAsia" w:cs="Times New Roman"/>
          <w:color w:val="auto"/>
        </w:rPr>
        <w:t>，也会导致其死亡。当水体中石油类浓度在</w:t>
      </w:r>
      <w:r>
        <w:rPr>
          <w:rFonts w:cs="Times New Roman"/>
          <w:color w:val="auto"/>
        </w:rPr>
        <w:t>0.1~0.01ppm</w:t>
      </w:r>
      <w:r>
        <w:rPr>
          <w:rFonts w:hint="eastAsia" w:cs="Times New Roman"/>
          <w:color w:val="auto"/>
        </w:rPr>
        <w:t>时，对某些底栖甲壳类动物幼体（如：无节幼虫、藤壶幼体和蟹幼体）有明显的毒效。</w:t>
      </w:r>
    </w:p>
    <w:p>
      <w:pPr>
        <w:pStyle w:val="7"/>
        <w:kinsoku w:val="0"/>
        <w:overflowPunct w:val="0"/>
        <w:snapToGrid w:val="0"/>
        <w:spacing w:after="0"/>
        <w:ind w:firstLine="480"/>
        <w:rPr>
          <w:rFonts w:cs="Times New Roman"/>
          <w:color w:val="auto"/>
        </w:rPr>
      </w:pPr>
      <w:r>
        <w:rPr>
          <w:rFonts w:hint="eastAsia" w:cs="Times New Roman"/>
          <w:color w:val="auto"/>
        </w:rPr>
        <w:t>综上所述，工程施工期或运行期内一旦发生溢油事故，污染因子石油类将会对流域内鱼类的急性中毒、在鱼体内的蓄积残留和对鱼的致突变性产生较大的负面影响，而且对浮游植物和动物也会产生一定的影响，故建设单位必须严格落实本报告书提出的各项风险防范措施和事故应急预案。</w:t>
      </w:r>
    </w:p>
    <w:p>
      <w:pPr>
        <w:pStyle w:val="3"/>
        <w:numPr>
          <w:ilvl w:val="1"/>
          <w:numId w:val="0"/>
        </w:numPr>
        <w:ind w:firstLine="560" w:firstLineChars="200"/>
        <w:rPr>
          <w:rFonts w:cs="Times New Roman"/>
          <w:b w:val="0"/>
          <w:color w:val="auto"/>
        </w:rPr>
      </w:pPr>
      <w:bookmarkStart w:id="86" w:name="bookmark46"/>
      <w:bookmarkEnd w:id="86"/>
      <w:bookmarkStart w:id="87" w:name="_Toc142388387"/>
      <w:r>
        <w:rPr>
          <w:rFonts w:cs="Times New Roman"/>
          <w:b w:val="0"/>
          <w:color w:val="auto"/>
        </w:rPr>
        <w:t>7.3</w:t>
      </w:r>
      <w:r>
        <w:rPr>
          <w:rFonts w:hint="eastAsia" w:cs="Times New Roman"/>
          <w:b w:val="0"/>
          <w:color w:val="auto"/>
        </w:rPr>
        <w:t>风险事故防范对策和措施</w:t>
      </w:r>
      <w:bookmarkEnd w:id="87"/>
    </w:p>
    <w:p>
      <w:pPr>
        <w:pStyle w:val="4"/>
        <w:numPr>
          <w:ilvl w:val="0"/>
          <w:numId w:val="0"/>
        </w:numPr>
        <w:topLinePunct/>
        <w:snapToGrid w:val="0"/>
        <w:ind w:firstLine="480" w:firstLineChars="200"/>
        <w:rPr>
          <w:b/>
          <w:bCs/>
          <w:color w:val="auto"/>
        </w:rPr>
      </w:pPr>
      <w:r>
        <w:rPr>
          <w:rFonts w:cs="Times New Roman" w:eastAsiaTheme="minorEastAsia"/>
          <w:color w:val="auto"/>
        </w:rPr>
        <w:t>7.3.1</w:t>
      </w:r>
      <w:r>
        <w:rPr>
          <w:rFonts w:hint="eastAsia"/>
          <w:color w:val="auto"/>
        </w:rPr>
        <w:t>事故防范措施</w:t>
      </w:r>
    </w:p>
    <w:p>
      <w:pPr>
        <w:pStyle w:val="7"/>
        <w:topLinePunct/>
        <w:snapToGrid w:val="0"/>
        <w:ind w:firstLine="480"/>
        <w:rPr>
          <w:color w:val="auto"/>
        </w:rPr>
      </w:pPr>
      <w:r>
        <w:rPr>
          <w:rFonts w:hint="eastAsia"/>
          <w:color w:val="auto"/>
        </w:rPr>
        <w:t>鉴于事故性化学品泄漏危害较大且大多由人为因素所致，因此杜绝该事故发生主要是从管理方面着手，制定并采取切实可行的管理、防范措施。另外，一旦发生事故必须立即采取有效应急措施，以减轻其所产生的危害，切实做到</w:t>
      </w:r>
      <w:r>
        <w:rPr>
          <w:color w:val="auto"/>
        </w:rPr>
        <w:t>“</w:t>
      </w:r>
      <w:r>
        <w:rPr>
          <w:rFonts w:hint="eastAsia"/>
          <w:color w:val="auto"/>
        </w:rPr>
        <w:t>以防为主，管治结合</w:t>
      </w:r>
      <w:r>
        <w:rPr>
          <w:color w:val="auto"/>
        </w:rPr>
        <w:t>”</w:t>
      </w:r>
      <w:r>
        <w:rPr>
          <w:rFonts w:hint="eastAsia"/>
          <w:color w:val="auto"/>
        </w:rPr>
        <w:t>。针对溢油事故风险情况，提出如下防范措施：</w:t>
      </w:r>
    </w:p>
    <w:p>
      <w:pPr>
        <w:pStyle w:val="7"/>
        <w:topLinePunct/>
        <w:snapToGrid w:val="0"/>
        <w:spacing w:after="0"/>
        <w:ind w:firstLine="480"/>
        <w:rPr>
          <w:color w:val="auto"/>
        </w:rPr>
      </w:pPr>
      <w:r>
        <w:rPr>
          <w:rFonts w:hint="eastAsia"/>
          <w:color w:val="auto"/>
        </w:rPr>
        <w:t>（</w:t>
      </w:r>
      <w:r>
        <w:rPr>
          <w:color w:val="auto"/>
        </w:rPr>
        <w:t>1</w:t>
      </w:r>
      <w:r>
        <w:rPr>
          <w:rFonts w:hint="eastAsia"/>
          <w:color w:val="auto"/>
        </w:rPr>
        <w:t>）加强环保宣传教育，提高全体人员的环保意识，尤其是提高机械设备操作人员安全生产的高度责任感和责任心，增加对溢油事故危害和污染损害严重性的认识，提高实际操作应变能力、避免人为因素。</w:t>
      </w:r>
    </w:p>
    <w:p>
      <w:pPr>
        <w:pStyle w:val="7"/>
        <w:topLinePunct/>
        <w:snapToGrid w:val="0"/>
        <w:spacing w:after="0"/>
        <w:ind w:firstLine="480"/>
        <w:rPr>
          <w:color w:val="auto"/>
        </w:rPr>
      </w:pPr>
      <w:r>
        <w:rPr>
          <w:rFonts w:hint="eastAsia"/>
          <w:color w:val="auto"/>
        </w:rPr>
        <w:t>（</w:t>
      </w:r>
      <w:r>
        <w:rPr>
          <w:color w:val="auto"/>
        </w:rPr>
        <w:t>2</w:t>
      </w:r>
      <w:r>
        <w:rPr>
          <w:rFonts w:hint="eastAsia"/>
          <w:color w:val="auto"/>
        </w:rPr>
        <w:t>）工程施工过程中，应监督施工单位，使用专用的施工船舶和施工机械，禁止使用改造机械，按规章制度和施工程序进行施工，严禁超载域超速，在一定程度上可以降低船舶事故发生机率。</w:t>
      </w:r>
    </w:p>
    <w:p>
      <w:pPr>
        <w:pStyle w:val="7"/>
        <w:topLinePunct/>
        <w:snapToGrid w:val="0"/>
        <w:spacing w:after="0"/>
        <w:ind w:firstLine="480"/>
        <w:rPr>
          <w:color w:val="auto"/>
        </w:rPr>
      </w:pPr>
      <w:r>
        <w:rPr>
          <w:rFonts w:hint="eastAsia"/>
          <w:color w:val="auto"/>
        </w:rPr>
        <w:t>（</w:t>
      </w:r>
      <w:r>
        <w:rPr>
          <w:color w:val="auto"/>
        </w:rPr>
        <w:t>3</w:t>
      </w:r>
      <w:r>
        <w:rPr>
          <w:rFonts w:hint="eastAsia"/>
          <w:color w:val="auto"/>
        </w:rPr>
        <w:t>）</w:t>
      </w:r>
      <w:r>
        <w:rPr>
          <w:color w:val="auto"/>
        </w:rPr>
        <w:t>施工单位</w:t>
      </w:r>
      <w:r>
        <w:rPr>
          <w:rFonts w:hint="eastAsia"/>
          <w:color w:val="auto"/>
        </w:rPr>
        <w:t>配备</w:t>
      </w:r>
      <w:r>
        <w:rPr>
          <w:color w:val="auto"/>
        </w:rPr>
        <w:t>固体浮子式围油栏和吸油毡，一旦发生</w:t>
      </w:r>
      <w:r>
        <w:rPr>
          <w:rFonts w:hint="eastAsia"/>
          <w:color w:val="auto"/>
          <w:sz w:val="23"/>
          <w:szCs w:val="23"/>
        </w:rPr>
        <w:t>漏油事故迅速用固体浮子式围油栏截断，将溢油事故污染范围控制在围油栏包围的水域，以阻止油污扩散，同时迅速用吸油毡吸油，并配备报警系统及必要的通信器材，以便及时与施工辖区内的水务部门，及时采取应急措施，以减轻对周围水体的影响</w:t>
      </w:r>
      <w:r>
        <w:rPr>
          <w:rFonts w:hint="eastAsia"/>
          <w:color w:val="auto"/>
        </w:rPr>
        <w:t>。</w:t>
      </w:r>
    </w:p>
    <w:p>
      <w:pPr>
        <w:pStyle w:val="7"/>
        <w:topLinePunct/>
        <w:snapToGrid w:val="0"/>
        <w:spacing w:after="0"/>
        <w:ind w:firstLine="480"/>
        <w:rPr>
          <w:color w:val="auto"/>
        </w:rPr>
      </w:pPr>
      <w:r>
        <w:rPr>
          <w:rFonts w:hint="eastAsia" w:cs="Times New Roman" w:eastAsiaTheme="minorEastAsia"/>
          <w:color w:val="auto"/>
        </w:rPr>
        <w:t>（</w:t>
      </w:r>
      <w:r>
        <w:rPr>
          <w:rFonts w:cs="Times New Roman" w:eastAsiaTheme="minorEastAsia"/>
          <w:color w:val="auto"/>
        </w:rPr>
        <w:t>3</w:t>
      </w:r>
      <w:r>
        <w:rPr>
          <w:rFonts w:hint="eastAsia"/>
          <w:color w:val="auto"/>
        </w:rPr>
        <w:t>）</w:t>
      </w:r>
      <w:r>
        <w:rPr>
          <w:rFonts w:hint="eastAsia"/>
          <w:color w:val="auto"/>
          <w:spacing w:val="-2"/>
        </w:rPr>
        <w:t>为减少风险事故发生的危害，施工单位须针对可能发生的风险事</w:t>
      </w:r>
      <w:r>
        <w:rPr>
          <w:rFonts w:hint="eastAsia"/>
          <w:color w:val="auto"/>
        </w:rPr>
        <w:t>故制定相应的风险应急预案，风险应急预案的内容包括以下几个方面。</w:t>
      </w:r>
    </w:p>
    <w:p>
      <w:pPr>
        <w:pStyle w:val="7"/>
        <w:topLinePunct/>
        <w:snapToGrid w:val="0"/>
        <w:spacing w:after="0"/>
        <w:ind w:firstLine="480"/>
        <w:rPr>
          <w:color w:val="auto"/>
        </w:rPr>
      </w:pPr>
      <w:r>
        <w:rPr>
          <w:rFonts w:hint="eastAsia"/>
          <w:color w:val="auto"/>
        </w:rPr>
        <w:t>①指导方针与原则</w:t>
      </w:r>
    </w:p>
    <w:p>
      <w:pPr>
        <w:pStyle w:val="7"/>
        <w:topLinePunct/>
        <w:snapToGrid w:val="0"/>
        <w:spacing w:after="0"/>
        <w:ind w:firstLine="480"/>
        <w:rPr>
          <w:color w:val="auto"/>
        </w:rPr>
      </w:pPr>
      <w:r>
        <w:rPr>
          <w:rFonts w:hint="eastAsia"/>
          <w:color w:val="auto"/>
        </w:rPr>
        <w:t>方针：以人为本、预控风险、高效救援、确保安全。</w:t>
      </w:r>
    </w:p>
    <w:p>
      <w:pPr>
        <w:pStyle w:val="7"/>
        <w:topLinePunct/>
        <w:snapToGrid w:val="0"/>
        <w:spacing w:after="0"/>
        <w:ind w:firstLine="472"/>
        <w:rPr>
          <w:color w:val="auto"/>
        </w:rPr>
      </w:pPr>
      <w:r>
        <w:rPr>
          <w:rFonts w:hint="eastAsia"/>
          <w:color w:val="auto"/>
          <w:spacing w:val="-2"/>
        </w:rPr>
        <w:t>原则：保护人员安全优先，防止事故蔓延优先，减少损失救援优先，持续改进高效</w:t>
      </w:r>
      <w:r>
        <w:rPr>
          <w:rFonts w:hint="eastAsia"/>
          <w:color w:val="auto"/>
        </w:rPr>
        <w:t>优先。</w:t>
      </w:r>
    </w:p>
    <w:p>
      <w:pPr>
        <w:pStyle w:val="7"/>
        <w:topLinePunct/>
        <w:snapToGrid w:val="0"/>
        <w:spacing w:after="0"/>
        <w:ind w:firstLine="480"/>
        <w:rPr>
          <w:color w:val="auto"/>
        </w:rPr>
      </w:pPr>
      <w:r>
        <w:rPr>
          <w:rFonts w:hint="eastAsia"/>
          <w:color w:val="auto"/>
        </w:rPr>
        <w:t>②可能发生交通事故的主要工程及部位、环节</w:t>
      </w:r>
      <w:r>
        <w:rPr>
          <w:rFonts w:hint="eastAsia"/>
          <w:color w:val="auto"/>
          <w:spacing w:val="-2"/>
        </w:rPr>
        <w:t>施工运输及交通行车可能造成人员重伤或亡人事故发生，鉴于上述情况，建立应急</w:t>
      </w:r>
      <w:r>
        <w:rPr>
          <w:rFonts w:hint="eastAsia"/>
          <w:color w:val="auto"/>
        </w:rPr>
        <w:t>预案，做好应急准备，以高效的工作减少人员伤亡和企业经济损失。</w:t>
      </w:r>
    </w:p>
    <w:p>
      <w:pPr>
        <w:pStyle w:val="7"/>
        <w:topLinePunct/>
        <w:snapToGrid w:val="0"/>
        <w:spacing w:after="0"/>
        <w:ind w:firstLine="480"/>
        <w:rPr>
          <w:color w:val="auto"/>
        </w:rPr>
      </w:pPr>
      <w:r>
        <w:rPr>
          <w:rFonts w:hint="eastAsia"/>
          <w:color w:val="auto"/>
        </w:rPr>
        <w:t>③应急计划</w:t>
      </w:r>
    </w:p>
    <w:p>
      <w:pPr>
        <w:pStyle w:val="7"/>
        <w:topLinePunct/>
        <w:snapToGrid w:val="0"/>
        <w:spacing w:after="0"/>
        <w:ind w:firstLine="480"/>
        <w:rPr>
          <w:color w:val="auto"/>
        </w:rPr>
      </w:pPr>
      <w:r>
        <w:rPr>
          <w:rFonts w:cs="Times New Roman" w:eastAsiaTheme="minorEastAsia"/>
          <w:color w:val="auto"/>
        </w:rPr>
        <w:t>A</w:t>
      </w:r>
      <w:r>
        <w:rPr>
          <w:rFonts w:hint="eastAsia"/>
          <w:color w:val="auto"/>
        </w:rPr>
        <w:t>、应急救援领导小组</w:t>
      </w:r>
    </w:p>
    <w:p>
      <w:pPr>
        <w:pStyle w:val="7"/>
        <w:topLinePunct/>
        <w:snapToGrid w:val="0"/>
        <w:spacing w:after="0"/>
        <w:ind w:firstLine="472"/>
        <w:rPr>
          <w:color w:val="auto"/>
        </w:rPr>
      </w:pPr>
      <w:r>
        <w:rPr>
          <w:rFonts w:hint="eastAsia"/>
          <w:color w:val="auto"/>
          <w:spacing w:val="-2"/>
        </w:rPr>
        <w:t>施工单位需成立相应的应急救援领导小组，项目经理任组长，项目部副经理、项目</w:t>
      </w:r>
      <w:r>
        <w:rPr>
          <w:rFonts w:hint="eastAsia"/>
          <w:color w:val="auto"/>
        </w:rPr>
        <w:t>总工任副组长，组员由各下属负责人组成。</w:t>
      </w:r>
    </w:p>
    <w:p>
      <w:pPr>
        <w:pStyle w:val="7"/>
        <w:topLinePunct/>
        <w:snapToGrid w:val="0"/>
        <w:spacing w:after="0"/>
        <w:ind w:firstLine="480"/>
        <w:rPr>
          <w:color w:val="auto"/>
        </w:rPr>
      </w:pPr>
      <w:r>
        <w:rPr>
          <w:rFonts w:cs="Times New Roman" w:eastAsiaTheme="minorEastAsia"/>
          <w:color w:val="auto"/>
        </w:rPr>
        <w:t>B</w:t>
      </w:r>
      <w:r>
        <w:rPr>
          <w:rFonts w:hint="eastAsia"/>
          <w:color w:val="auto"/>
        </w:rPr>
        <w:t>、应急救援预案启动条件</w:t>
      </w:r>
    </w:p>
    <w:p>
      <w:pPr>
        <w:pStyle w:val="7"/>
        <w:topLinePunct/>
        <w:snapToGrid w:val="0"/>
        <w:spacing w:after="0"/>
        <w:ind w:firstLine="472"/>
        <w:rPr>
          <w:color w:val="auto"/>
        </w:rPr>
      </w:pPr>
      <w:r>
        <w:rPr>
          <w:rFonts w:hint="eastAsia"/>
          <w:color w:val="auto"/>
          <w:spacing w:val="-2"/>
        </w:rPr>
        <w:t>当项目在日常施工生产中突发施工运输或交通行车安全事故（状态）时，由当事项目部上报应急救援领导小组，同时项目经理下达指令并运行本应急救援预案，全力挽救</w:t>
      </w:r>
      <w:r>
        <w:rPr>
          <w:rFonts w:hint="eastAsia"/>
          <w:color w:val="auto"/>
        </w:rPr>
        <w:t>员工生命财产安全，减少经济损失。</w:t>
      </w:r>
    </w:p>
    <w:p>
      <w:pPr>
        <w:pStyle w:val="7"/>
        <w:topLinePunct/>
        <w:snapToGrid w:val="0"/>
        <w:spacing w:after="0"/>
        <w:ind w:firstLine="480"/>
        <w:rPr>
          <w:color w:val="auto"/>
        </w:rPr>
      </w:pPr>
      <w:r>
        <w:rPr>
          <w:rFonts w:cs="Times New Roman" w:eastAsiaTheme="minorEastAsia"/>
          <w:color w:val="auto"/>
        </w:rPr>
        <w:t>C</w:t>
      </w:r>
      <w:r>
        <w:rPr>
          <w:rFonts w:hint="eastAsia"/>
          <w:color w:val="auto"/>
        </w:rPr>
        <w:t>、应急救援资源配备</w:t>
      </w:r>
    </w:p>
    <w:p>
      <w:pPr>
        <w:pStyle w:val="7"/>
        <w:topLinePunct/>
        <w:snapToGrid w:val="0"/>
        <w:spacing w:after="0"/>
        <w:ind w:firstLine="472"/>
        <w:rPr>
          <w:color w:val="auto"/>
        </w:rPr>
      </w:pPr>
      <w:r>
        <w:rPr>
          <w:rFonts w:hint="eastAsia"/>
          <w:color w:val="auto"/>
          <w:spacing w:val="-2"/>
        </w:rPr>
        <w:t>由项目经理批准，施工单位必须保证一定的应急救援备用金，以备施工运输或交通</w:t>
      </w:r>
      <w:r>
        <w:rPr>
          <w:rFonts w:hint="eastAsia"/>
          <w:color w:val="auto"/>
        </w:rPr>
        <w:t>行车事故紧急事件发生时，有足够的财力支持应急救援工作顺利落实。应急救援物资、</w:t>
      </w:r>
      <w:r>
        <w:rPr>
          <w:rFonts w:hint="eastAsia"/>
          <w:color w:val="auto"/>
          <w:spacing w:val="-5"/>
        </w:rPr>
        <w:t>设备和设施主要包括：物资运输车、挖掘机、医用箱和药品、扩音喇叭、应急联络电话。</w:t>
      </w:r>
      <w:r>
        <w:rPr>
          <w:rFonts w:hint="eastAsia"/>
          <w:color w:val="auto"/>
          <w:spacing w:val="-2"/>
        </w:rPr>
        <w:t>同时在发生突发性施工运输和交通行车紧急事故时，充分利用社会资源，根据实际需要</w:t>
      </w:r>
      <w:r>
        <w:rPr>
          <w:rFonts w:hint="eastAsia"/>
          <w:color w:val="auto"/>
        </w:rPr>
        <w:t>与工程所在地地方政府机构或部门请求支援，如请求</w:t>
      </w:r>
      <w:r>
        <w:rPr>
          <w:rFonts w:cs="Times New Roman"/>
          <w:color w:val="auto"/>
          <w:spacing w:val="-3"/>
        </w:rPr>
        <w:t>119</w:t>
      </w:r>
      <w:r>
        <w:rPr>
          <w:rFonts w:hint="eastAsia"/>
          <w:color w:val="auto"/>
          <w:spacing w:val="-3"/>
        </w:rPr>
        <w:t>、</w:t>
      </w:r>
      <w:r>
        <w:rPr>
          <w:rFonts w:cs="Times New Roman"/>
          <w:color w:val="auto"/>
          <w:spacing w:val="-3"/>
        </w:rPr>
        <w:t>120</w:t>
      </w:r>
      <w:r>
        <w:rPr>
          <w:rFonts w:hint="eastAsia"/>
          <w:color w:val="auto"/>
          <w:spacing w:val="-3"/>
        </w:rPr>
        <w:t>、</w:t>
      </w:r>
      <w:r>
        <w:rPr>
          <w:rFonts w:cs="Times New Roman"/>
          <w:color w:val="auto"/>
          <w:spacing w:val="-3"/>
        </w:rPr>
        <w:t>110</w:t>
      </w:r>
      <w:r>
        <w:rPr>
          <w:rFonts w:hint="eastAsia"/>
          <w:color w:val="auto"/>
        </w:rPr>
        <w:t>支援等。在发生道路交通行车紧急事故时，在请求上述社会资源的同时，应拨打</w:t>
      </w:r>
      <w:r>
        <w:rPr>
          <w:rFonts w:cs="Times New Roman"/>
          <w:color w:val="auto"/>
        </w:rPr>
        <w:t>122</w:t>
      </w:r>
      <w:r>
        <w:rPr>
          <w:rFonts w:hint="eastAsia"/>
          <w:color w:val="auto"/>
        </w:rPr>
        <w:t>电话进行交通事故报案。</w:t>
      </w:r>
    </w:p>
    <w:p>
      <w:pPr>
        <w:pStyle w:val="7"/>
        <w:topLinePunct/>
        <w:snapToGrid w:val="0"/>
        <w:spacing w:after="0"/>
        <w:ind w:firstLine="480"/>
        <w:rPr>
          <w:color w:val="auto"/>
        </w:rPr>
      </w:pPr>
      <w:r>
        <w:rPr>
          <w:rFonts w:cs="Times New Roman" w:eastAsiaTheme="minorEastAsia"/>
          <w:color w:val="auto"/>
        </w:rPr>
        <w:t>D</w:t>
      </w:r>
      <w:r>
        <w:rPr>
          <w:rFonts w:hint="eastAsia"/>
          <w:color w:val="auto"/>
        </w:rPr>
        <w:t>、应急计划的实施</w:t>
      </w:r>
    </w:p>
    <w:p>
      <w:pPr>
        <w:pStyle w:val="7"/>
        <w:topLinePunct/>
        <w:snapToGrid w:val="0"/>
        <w:spacing w:after="0"/>
        <w:ind w:firstLine="480"/>
        <w:rPr>
          <w:color w:val="auto"/>
        </w:rPr>
      </w:pPr>
      <w:r>
        <w:rPr>
          <w:rFonts w:cs="Times New Roman"/>
          <w:color w:val="auto"/>
        </w:rPr>
        <w:t>a</w:t>
      </w:r>
      <w:r>
        <w:rPr>
          <w:rFonts w:hint="eastAsia"/>
          <w:color w:val="auto"/>
        </w:rPr>
        <w:t>、接警：接警部门为现场值班办公室，值班人员接到报警后，应迅速弄清和掌握</w:t>
      </w:r>
      <w:r>
        <w:rPr>
          <w:rFonts w:hint="eastAsia"/>
          <w:color w:val="auto"/>
          <w:spacing w:val="-2"/>
        </w:rPr>
        <w:t>事故发生时间、详细地点、事故性质、事故原因初步判断、简要经过、人员伤亡及被困</w:t>
      </w:r>
      <w:r>
        <w:rPr>
          <w:rFonts w:hint="eastAsia"/>
          <w:color w:val="auto"/>
        </w:rPr>
        <w:t>情况、现场事态控制及发展情况等，并做好记录。</w:t>
      </w:r>
    </w:p>
    <w:p>
      <w:pPr>
        <w:pStyle w:val="7"/>
        <w:topLinePunct/>
        <w:snapToGrid w:val="0"/>
        <w:spacing w:after="0"/>
        <w:ind w:firstLine="480"/>
        <w:rPr>
          <w:color w:val="auto"/>
        </w:rPr>
      </w:pPr>
      <w:r>
        <w:rPr>
          <w:rFonts w:cs="Times New Roman" w:eastAsiaTheme="minorEastAsia"/>
          <w:color w:val="auto"/>
        </w:rPr>
        <w:t>b</w:t>
      </w:r>
      <w:r>
        <w:rPr>
          <w:rFonts w:hint="eastAsia"/>
          <w:color w:val="auto"/>
        </w:rPr>
        <w:t>、通知：现场值班员立即向项目经理详细报告，项目经理马上决定是否启动应急</w:t>
      </w:r>
      <w:r>
        <w:rPr>
          <w:rFonts w:hint="eastAsia"/>
          <w:color w:val="auto"/>
          <w:spacing w:val="-2"/>
        </w:rPr>
        <w:t>救援预案及是否向有关应急机构、政府及业主发出应急救援请求。启动应急救援预案的</w:t>
      </w:r>
      <w:r>
        <w:rPr>
          <w:rFonts w:hint="eastAsia"/>
          <w:color w:val="auto"/>
        </w:rPr>
        <w:t>通知应由项目办公室通知应急组织机构中各部门负责人。</w:t>
      </w:r>
    </w:p>
    <w:p>
      <w:pPr>
        <w:pStyle w:val="7"/>
        <w:topLinePunct/>
        <w:snapToGrid w:val="0"/>
        <w:spacing w:after="0"/>
        <w:ind w:firstLine="480"/>
        <w:rPr>
          <w:color w:val="auto"/>
        </w:rPr>
      </w:pPr>
      <w:r>
        <w:rPr>
          <w:rFonts w:cs="Times New Roman" w:eastAsiaTheme="minorEastAsia"/>
          <w:color w:val="auto"/>
        </w:rPr>
        <w:t>c</w:t>
      </w:r>
      <w:r>
        <w:rPr>
          <w:rFonts w:hint="eastAsia"/>
          <w:color w:val="auto"/>
        </w:rPr>
        <w:t>、应急通讯联络与报告：项目应急救援联络工作由项目部办公室主任负责。</w:t>
      </w:r>
    </w:p>
    <w:p>
      <w:pPr>
        <w:pStyle w:val="7"/>
        <w:topLinePunct/>
        <w:snapToGrid w:val="0"/>
        <w:spacing w:after="0"/>
        <w:ind w:firstLine="480"/>
        <w:rPr>
          <w:color w:val="auto"/>
        </w:rPr>
      </w:pPr>
      <w:r>
        <w:rPr>
          <w:rFonts w:cs="Times New Roman"/>
          <w:color w:val="auto"/>
        </w:rPr>
        <w:t>d</w:t>
      </w:r>
      <w:r>
        <w:rPr>
          <w:rFonts w:hint="eastAsia"/>
          <w:color w:val="auto"/>
        </w:rPr>
        <w:t>、急救与抢险：由项目部卫生所组成临时医护队</w:t>
      </w:r>
      <w:r>
        <w:rPr>
          <w:rFonts w:cs="Times New Roman"/>
          <w:color w:val="auto"/>
        </w:rPr>
        <w:t>,</w:t>
      </w:r>
      <w:r>
        <w:rPr>
          <w:rFonts w:hint="eastAsia"/>
          <w:color w:val="auto"/>
        </w:rPr>
        <w:t>对事故中的伤员进行急救，最大限度地减少伤亡，争取住院时间，对死亡者进行临时处理；配合</w:t>
      </w:r>
      <w:r>
        <w:rPr>
          <w:rFonts w:cs="Times New Roman"/>
          <w:color w:val="auto"/>
        </w:rPr>
        <w:t>120</w:t>
      </w:r>
      <w:r>
        <w:rPr>
          <w:rFonts w:hint="eastAsia"/>
          <w:color w:val="auto"/>
        </w:rPr>
        <w:t>急救医生做好抢救。</w:t>
      </w:r>
      <w:r>
        <w:rPr>
          <w:rFonts w:hint="eastAsia"/>
          <w:color w:val="auto"/>
          <w:spacing w:val="-5"/>
        </w:rPr>
        <w:t>抢险工作由项目部经理总体指挥，项目副经理、项目总工同经理轮流昼夜指挥抢险，</w:t>
      </w:r>
      <w:r>
        <w:rPr>
          <w:rFonts w:hint="eastAsia"/>
          <w:color w:val="auto"/>
        </w:rPr>
        <w:t>各部门各自完成本部门的应急任务，对救援队现场指挥，合理调配备机械设备、设施，充分利用应急物资，确保高效救援，尽快恢复现场，避免扩大事故和财产损失。</w:t>
      </w:r>
    </w:p>
    <w:p>
      <w:pPr>
        <w:pStyle w:val="7"/>
        <w:topLinePunct/>
        <w:snapToGrid w:val="0"/>
        <w:spacing w:after="0"/>
        <w:ind w:firstLine="480"/>
        <w:rPr>
          <w:color w:val="auto"/>
        </w:rPr>
      </w:pPr>
      <w:r>
        <w:rPr>
          <w:rFonts w:cs="Times New Roman" w:eastAsiaTheme="minorEastAsia"/>
          <w:color w:val="auto"/>
        </w:rPr>
        <w:t>e</w:t>
      </w:r>
      <w:r>
        <w:rPr>
          <w:rFonts w:hint="eastAsia"/>
          <w:color w:val="auto"/>
        </w:rPr>
        <w:t>、现场保护与警戒：事故发生后，安全科和计划科应立即派人赶赴事发现场，负</w:t>
      </w:r>
      <w:r>
        <w:rPr>
          <w:rFonts w:hint="eastAsia"/>
          <w:color w:val="auto"/>
          <w:spacing w:val="-3"/>
        </w:rPr>
        <w:t>责事故</w:t>
      </w:r>
      <w:r>
        <w:rPr>
          <w:rFonts w:cs="Times New Roman"/>
          <w:color w:val="auto"/>
          <w:spacing w:val="-3"/>
        </w:rPr>
        <w:t>/</w:t>
      </w:r>
      <w:r>
        <w:rPr>
          <w:rFonts w:hint="eastAsia"/>
          <w:color w:val="auto"/>
          <w:spacing w:val="-3"/>
        </w:rPr>
        <w:t>事件现场保护，立即开展收集证据工作，需要移动现场物件时，要做好标志、标</w:t>
      </w:r>
      <w:r>
        <w:rPr>
          <w:rFonts w:hint="eastAsia"/>
          <w:color w:val="auto"/>
        </w:rPr>
        <w:t>记，并绘制现场简图，写出书面材料，妥善保存现场重要痕迹、物证。</w:t>
      </w:r>
    </w:p>
    <w:p>
      <w:pPr>
        <w:pStyle w:val="7"/>
        <w:topLinePunct/>
        <w:snapToGrid w:val="0"/>
        <w:spacing w:after="0"/>
        <w:ind w:firstLine="480"/>
        <w:rPr>
          <w:color w:val="auto"/>
        </w:rPr>
      </w:pPr>
      <w:r>
        <w:rPr>
          <w:rFonts w:hint="eastAsia"/>
          <w:color w:val="auto"/>
        </w:rPr>
        <w:t>根据应急救援需要，由公安部门在事故与现场周边建立警戒区域，实施交通管制，</w:t>
      </w:r>
      <w:r>
        <w:rPr>
          <w:rFonts w:hint="eastAsia"/>
          <w:color w:val="auto"/>
          <w:spacing w:val="-2"/>
        </w:rPr>
        <w:t>维护好现场治安秩序，防止无关人员进入事故现场，保障救援队伍、物资运输和人群疏</w:t>
      </w:r>
      <w:r>
        <w:rPr>
          <w:rFonts w:hint="eastAsia"/>
          <w:color w:val="auto"/>
        </w:rPr>
        <w:t>散等迅速进入现场，并避免发生不必要的伤亡。</w:t>
      </w:r>
    </w:p>
    <w:p>
      <w:pPr>
        <w:pStyle w:val="7"/>
        <w:topLinePunct/>
        <w:snapToGrid w:val="0"/>
        <w:spacing w:after="0"/>
        <w:ind w:firstLine="472"/>
        <w:rPr>
          <w:color w:val="auto"/>
        </w:rPr>
      </w:pPr>
      <w:r>
        <w:rPr>
          <w:rFonts w:hint="eastAsia"/>
          <w:color w:val="auto"/>
          <w:spacing w:val="-2"/>
        </w:rPr>
        <w:t>现场警戒措施包括：危险区边界警戒线为黄黑带，警戒哨佩带臂章，警车鸣警灯和</w:t>
      </w:r>
      <w:r>
        <w:rPr>
          <w:rFonts w:hint="eastAsia"/>
          <w:color w:val="auto"/>
        </w:rPr>
        <w:t>警笛，用扩音喇叭警告，警戒哨人员负责阻止与救援无关的人员进入事故救援现场。</w:t>
      </w:r>
    </w:p>
    <w:p>
      <w:pPr>
        <w:pStyle w:val="7"/>
        <w:topLinePunct/>
        <w:snapToGrid w:val="0"/>
        <w:spacing w:after="0"/>
        <w:ind w:firstLine="488"/>
        <w:rPr>
          <w:color w:val="auto"/>
        </w:rPr>
      </w:pPr>
      <w:r>
        <w:rPr>
          <w:rFonts w:cs="Times New Roman" w:eastAsiaTheme="minorEastAsia"/>
          <w:color w:val="auto"/>
          <w:spacing w:val="2"/>
        </w:rPr>
        <w:t>f</w:t>
      </w:r>
      <w:r>
        <w:rPr>
          <w:rFonts w:hint="eastAsia"/>
          <w:color w:val="auto"/>
          <w:spacing w:val="2"/>
        </w:rPr>
        <w:t>、应急救援人员的安全：应急救援过程中，应对参与应急救援人员（指挥人员）</w:t>
      </w:r>
      <w:r>
        <w:rPr>
          <w:rFonts w:hint="eastAsia"/>
          <w:color w:val="auto"/>
          <w:spacing w:val="-2"/>
        </w:rPr>
        <w:t>的安全进行周密的考虑和监视。必要时，应有专业抢险人员参与指挥或作业，在应急救援过程中，由项目安全科指派专人负责对参与应急救援人员的安全进行过程监视，及时</w:t>
      </w:r>
      <w:r>
        <w:rPr>
          <w:rFonts w:hint="eastAsia"/>
          <w:color w:val="auto"/>
        </w:rPr>
        <w:t>发现受伤人员并组织轮换抢救。</w:t>
      </w:r>
    </w:p>
    <w:p>
      <w:pPr>
        <w:pStyle w:val="7"/>
        <w:topLinePunct/>
        <w:snapToGrid w:val="0"/>
        <w:spacing w:after="0"/>
        <w:ind w:firstLine="480"/>
        <w:rPr>
          <w:color w:val="auto"/>
        </w:rPr>
      </w:pPr>
      <w:r>
        <w:rPr>
          <w:rFonts w:cs="Times New Roman" w:eastAsiaTheme="minorEastAsia"/>
          <w:color w:val="auto"/>
        </w:rPr>
        <w:t>g</w:t>
      </w:r>
      <w:r>
        <w:rPr>
          <w:rFonts w:hint="eastAsia"/>
          <w:color w:val="auto"/>
        </w:rPr>
        <w:t>、应急终止与现场恢复：当事态得到有效控制，危险得以消除时，由项目经理下达应急令。由安质、技术等部门验证现场，当隐患消除后解除现场警戒。警戒解除后，</w:t>
      </w:r>
      <w:r>
        <w:rPr>
          <w:rFonts w:hint="eastAsia"/>
          <w:color w:val="auto"/>
          <w:spacing w:val="-2"/>
        </w:rPr>
        <w:t>由应急救援队伍负责恢复现场。主要清理临时设施、救援过程中产生的废弃物、恢复现</w:t>
      </w:r>
      <w:r>
        <w:rPr>
          <w:rFonts w:hint="eastAsia"/>
          <w:color w:val="auto"/>
        </w:rPr>
        <w:t>场办公生活基本功能等。由职工工会负责组织被疏散人员的回撤和安置。</w:t>
      </w:r>
    </w:p>
    <w:p>
      <w:pPr>
        <w:pStyle w:val="7"/>
        <w:topLinePunct/>
        <w:snapToGrid w:val="0"/>
        <w:spacing w:after="0"/>
        <w:ind w:firstLine="480"/>
        <w:rPr>
          <w:color w:val="auto"/>
          <w:sz w:val="21"/>
          <w:szCs w:val="21"/>
        </w:rPr>
      </w:pPr>
      <w:r>
        <w:rPr>
          <w:rFonts w:cs="Times New Roman" w:eastAsiaTheme="minorEastAsia"/>
          <w:color w:val="auto"/>
        </w:rPr>
        <w:t>h</w:t>
      </w:r>
      <w:r>
        <w:rPr>
          <w:rFonts w:hint="eastAsia"/>
          <w:color w:val="auto"/>
        </w:rPr>
        <w:t>、应急预案培训与演练：应急预案的培训由项目部安全科组织实施。培训时间为项目开工后第</w:t>
      </w:r>
      <w:r>
        <w:rPr>
          <w:rFonts w:cs="Times New Roman"/>
          <w:color w:val="auto"/>
        </w:rPr>
        <w:t>3</w:t>
      </w:r>
      <w:r>
        <w:rPr>
          <w:rFonts w:hint="eastAsia"/>
          <w:color w:val="auto"/>
        </w:rPr>
        <w:t>个月，培训对象应包括参与应急救援的指挥人员、救援队伍人员、辅助</w:t>
      </w:r>
      <w:r>
        <w:rPr>
          <w:rFonts w:hint="eastAsia"/>
          <w:color w:val="auto"/>
          <w:spacing w:val="-2"/>
        </w:rPr>
        <w:t>等人员。培训方式采用集中培训，培训地点为项目会议室，对培训结果应组织考核，并</w:t>
      </w:r>
      <w:r>
        <w:rPr>
          <w:rFonts w:hint="eastAsia"/>
          <w:color w:val="auto"/>
        </w:rPr>
        <w:t>应保存培训考核的记录。</w:t>
      </w:r>
    </w:p>
    <w:p>
      <w:pPr>
        <w:pStyle w:val="3"/>
        <w:numPr>
          <w:ilvl w:val="1"/>
          <w:numId w:val="0"/>
        </w:numPr>
        <w:ind w:firstLine="560" w:firstLineChars="200"/>
        <w:rPr>
          <w:rFonts w:cs="Times New Roman"/>
          <w:b w:val="0"/>
          <w:color w:val="auto"/>
        </w:rPr>
      </w:pPr>
      <w:bookmarkStart w:id="88" w:name="bookmark47"/>
      <w:bookmarkEnd w:id="88"/>
      <w:bookmarkStart w:id="89" w:name="bookmark48"/>
      <w:bookmarkEnd w:id="89"/>
      <w:bookmarkStart w:id="90" w:name="_Toc142388388"/>
      <w:r>
        <w:rPr>
          <w:rFonts w:cs="Times New Roman"/>
          <w:b w:val="0"/>
          <w:color w:val="auto"/>
        </w:rPr>
        <w:t>7.4</w:t>
      </w:r>
      <w:r>
        <w:rPr>
          <w:rFonts w:hint="eastAsia" w:cs="Times New Roman"/>
          <w:b w:val="0"/>
          <w:color w:val="auto"/>
        </w:rPr>
        <w:t>环境风险评价结论</w:t>
      </w:r>
      <w:bookmarkEnd w:id="90"/>
    </w:p>
    <w:p>
      <w:pPr>
        <w:pStyle w:val="7"/>
        <w:kinsoku w:val="0"/>
        <w:overflowPunct w:val="0"/>
        <w:snapToGrid w:val="0"/>
        <w:spacing w:after="0"/>
        <w:ind w:firstLine="472"/>
        <w:rPr>
          <w:color w:val="auto"/>
        </w:rPr>
        <w:sectPr>
          <w:footerReference r:id="rId15" w:type="default"/>
          <w:pgSz w:w="11906" w:h="16838"/>
          <w:pgMar w:top="1417" w:right="1531" w:bottom="1417" w:left="1417" w:header="850" w:footer="850" w:gutter="0"/>
          <w:pgBorders>
            <w:top w:val="none" w:sz="0" w:space="0"/>
            <w:left w:val="none" w:sz="0" w:space="0"/>
            <w:bottom w:val="none" w:sz="0" w:space="0"/>
            <w:right w:val="none" w:sz="0" w:space="0"/>
          </w:pgBorders>
          <w:cols w:space="0" w:num="1"/>
          <w:docGrid w:type="lines" w:linePitch="400" w:charSpace="0"/>
        </w:sectPr>
      </w:pPr>
      <w:r>
        <w:rPr>
          <w:rFonts w:hint="eastAsia"/>
          <w:color w:val="auto"/>
          <w:spacing w:val="-2"/>
        </w:rPr>
        <w:t>项目在运行过程中存在的环境风险较小，但项目工程部在施工过程中仍要切实做好防范措施。建设单位严格落实本评价提出的各项环境风险防范措施和各项应急预案，从</w:t>
      </w:r>
      <w:r>
        <w:rPr>
          <w:rFonts w:hint="eastAsia"/>
          <w:color w:val="auto"/>
        </w:rPr>
        <w:t>而减缓、降低项目风险事故，在此基础上项目存在的风险属于可接受范围内。</w:t>
      </w:r>
    </w:p>
    <w:p>
      <w:pPr>
        <w:pStyle w:val="2"/>
        <w:numPr>
          <w:ilvl w:val="0"/>
          <w:numId w:val="0"/>
        </w:numPr>
        <w:ind w:left="432"/>
        <w:rPr>
          <w:rFonts w:cs="Times New Roman"/>
          <w:color w:val="auto"/>
        </w:rPr>
      </w:pPr>
      <w:bookmarkStart w:id="91" w:name="_Toc142388389"/>
      <w:r>
        <w:rPr>
          <w:rFonts w:cs="Times New Roman"/>
          <w:color w:val="auto"/>
        </w:rPr>
        <w:t>8环境影响经济损益分析</w:t>
      </w:r>
      <w:bookmarkEnd w:id="82"/>
      <w:bookmarkEnd w:id="91"/>
    </w:p>
    <w:p>
      <w:pPr>
        <w:snapToGrid w:val="0"/>
        <w:ind w:firstLine="480"/>
        <w:rPr>
          <w:rFonts w:cs="Times New Roman"/>
          <w:color w:val="auto"/>
        </w:rPr>
      </w:pPr>
      <w:r>
        <w:rPr>
          <w:rFonts w:cs="Times New Roman"/>
          <w:color w:val="auto"/>
        </w:rPr>
        <w:t>环境经济损益分析是环境影响评价的重要环节之一，它的主要任务是衡量建设项目需要投入的环保投资所能收入的环保效果及其建设项目对外界产生的环境影响、经济影响和社会影响。</w:t>
      </w:r>
    </w:p>
    <w:p>
      <w:pPr>
        <w:snapToGrid w:val="0"/>
        <w:ind w:firstLine="480"/>
        <w:rPr>
          <w:rFonts w:cs="Times New Roman"/>
          <w:color w:val="auto"/>
        </w:rPr>
      </w:pPr>
      <w:r>
        <w:rPr>
          <w:rFonts w:cs="Times New Roman"/>
          <w:color w:val="auto"/>
        </w:rPr>
        <w:t>本项目所涉及行业类别包括“E4822河湖治理及防洪设施工程建筑”。因此，本项目是以</w:t>
      </w:r>
      <w:r>
        <w:rPr>
          <w:rFonts w:hint="eastAsia" w:cs="Times New Roman"/>
          <w:color w:val="auto"/>
          <w:lang w:val="en-US" w:eastAsia="zh-CN"/>
        </w:rPr>
        <w:t>生态护坡</w:t>
      </w:r>
      <w:r>
        <w:rPr>
          <w:rFonts w:hint="eastAsia" w:cs="Times New Roman"/>
          <w:color w:val="auto"/>
        </w:rPr>
        <w:t>为主</w:t>
      </w:r>
      <w:r>
        <w:rPr>
          <w:rFonts w:cs="Times New Roman"/>
          <w:color w:val="auto"/>
        </w:rPr>
        <w:t>，满足防洪排涝标准，属于生态效益为主、兼顾一定的社会效益公益性工程，并不以盈利为目的。本项目对国民经济的发展所起的作用主要体现在外部整体环境的改善，所产生的效益表现为难以用货币量化的环境效益和社会效益。</w:t>
      </w:r>
    </w:p>
    <w:p>
      <w:pPr>
        <w:pStyle w:val="3"/>
        <w:numPr>
          <w:ilvl w:val="1"/>
          <w:numId w:val="0"/>
        </w:numPr>
        <w:ind w:firstLine="560" w:firstLineChars="200"/>
        <w:rPr>
          <w:rFonts w:cs="Times New Roman"/>
          <w:b w:val="0"/>
          <w:color w:val="auto"/>
        </w:rPr>
      </w:pPr>
      <w:bookmarkStart w:id="92" w:name="_Toc142388390"/>
      <w:r>
        <w:rPr>
          <w:rFonts w:cs="Times New Roman"/>
          <w:b w:val="0"/>
          <w:color w:val="auto"/>
        </w:rPr>
        <w:t>8.1环境影响损失</w:t>
      </w:r>
      <w:bookmarkEnd w:id="92"/>
    </w:p>
    <w:p>
      <w:pPr>
        <w:snapToGrid w:val="0"/>
        <w:ind w:firstLine="480"/>
        <w:rPr>
          <w:rFonts w:cs="Times New Roman"/>
          <w:color w:val="auto"/>
        </w:rPr>
      </w:pPr>
      <w:r>
        <w:rPr>
          <w:rFonts w:cs="Times New Roman"/>
          <w:color w:val="auto"/>
        </w:rPr>
        <w:t>（1）植物资源损失</w:t>
      </w:r>
    </w:p>
    <w:p>
      <w:pPr>
        <w:snapToGrid w:val="0"/>
        <w:ind w:firstLine="480"/>
        <w:rPr>
          <w:rFonts w:cs="Times New Roman"/>
          <w:color w:val="auto"/>
        </w:rPr>
      </w:pPr>
      <w:r>
        <w:rPr>
          <w:rFonts w:cs="Times New Roman"/>
          <w:color w:val="auto"/>
        </w:rPr>
        <w:t>生物量损失主要为</w:t>
      </w:r>
      <w:r>
        <w:rPr>
          <w:rFonts w:hint="eastAsia" w:cs="Times New Roman"/>
          <w:color w:val="auto"/>
          <w:lang w:val="en-US" w:eastAsia="zh-CN"/>
        </w:rPr>
        <w:t>河滩地</w:t>
      </w:r>
      <w:r>
        <w:rPr>
          <w:rFonts w:cs="Times New Roman"/>
          <w:color w:val="auto"/>
        </w:rPr>
        <w:t>，占区域总生物量比例较小。</w:t>
      </w:r>
    </w:p>
    <w:p>
      <w:pPr>
        <w:snapToGrid w:val="0"/>
        <w:ind w:firstLine="480"/>
        <w:rPr>
          <w:rFonts w:cs="Times New Roman"/>
          <w:color w:val="auto"/>
        </w:rPr>
      </w:pPr>
      <w:r>
        <w:rPr>
          <w:rFonts w:cs="Times New Roman"/>
          <w:color w:val="auto"/>
        </w:rPr>
        <w:t>（2）土地资源损失</w:t>
      </w:r>
    </w:p>
    <w:p>
      <w:pPr>
        <w:snapToGrid w:val="0"/>
        <w:ind w:firstLine="480"/>
        <w:rPr>
          <w:rFonts w:cs="Times New Roman"/>
          <w:color w:val="auto"/>
        </w:rPr>
      </w:pPr>
      <w:r>
        <w:rPr>
          <w:rFonts w:cs="Times New Roman"/>
          <w:color w:val="auto"/>
        </w:rPr>
        <w:t>永久占地包括水系占地、</w:t>
      </w:r>
      <w:r>
        <w:rPr>
          <w:rFonts w:hint="eastAsia" w:cs="Times New Roman"/>
          <w:color w:val="auto"/>
          <w:lang w:val="en-US" w:eastAsia="zh-CN"/>
        </w:rPr>
        <w:t>人工湿地、生态缓冲带</w:t>
      </w:r>
      <w:r>
        <w:rPr>
          <w:rFonts w:cs="Times New Roman"/>
          <w:color w:val="auto"/>
        </w:rPr>
        <w:t>占地。临时占地主要为施工生产生活区占地等。临时占地在施工结束后可恢复原地貌，不改变土地的使用性质。</w:t>
      </w:r>
    </w:p>
    <w:p>
      <w:pPr>
        <w:snapToGrid w:val="0"/>
        <w:ind w:firstLine="480"/>
        <w:rPr>
          <w:rFonts w:cs="Times New Roman"/>
          <w:color w:val="auto"/>
        </w:rPr>
      </w:pPr>
      <w:r>
        <w:rPr>
          <w:rFonts w:cs="Times New Roman"/>
          <w:color w:val="auto"/>
        </w:rPr>
        <w:t>（3）陆生生态完整性损失</w:t>
      </w:r>
    </w:p>
    <w:p>
      <w:pPr>
        <w:snapToGrid w:val="0"/>
        <w:ind w:firstLine="480"/>
        <w:rPr>
          <w:rFonts w:cs="Times New Roman"/>
          <w:color w:val="auto"/>
        </w:rPr>
      </w:pPr>
      <w:r>
        <w:rPr>
          <w:rFonts w:cs="Times New Roman"/>
          <w:color w:val="auto"/>
        </w:rPr>
        <w:t>工程施工占地范围内，植被会遭到一定程度的破坏，但由于占地面积很小，不会影响当地植被的整体性和多样性，只要注意落实相关的水土保持防治措施，陆生生态环境的影响较小。</w:t>
      </w:r>
    </w:p>
    <w:p>
      <w:pPr>
        <w:snapToGrid w:val="0"/>
        <w:ind w:firstLine="480"/>
        <w:rPr>
          <w:rFonts w:cs="Times New Roman"/>
          <w:color w:val="auto"/>
        </w:rPr>
      </w:pPr>
      <w:r>
        <w:rPr>
          <w:rFonts w:cs="Times New Roman"/>
          <w:color w:val="auto"/>
        </w:rPr>
        <w:t>（4）对水土流失的影响</w:t>
      </w:r>
    </w:p>
    <w:p>
      <w:pPr>
        <w:snapToGrid w:val="0"/>
        <w:ind w:firstLine="480"/>
        <w:rPr>
          <w:rFonts w:cs="Times New Roman"/>
          <w:color w:val="auto"/>
        </w:rPr>
      </w:pPr>
      <w:r>
        <w:rPr>
          <w:rFonts w:cs="Times New Roman"/>
          <w:color w:val="auto"/>
        </w:rPr>
        <w:t>工程建设可能造成的水土流失危害主要表现为影响生态环境，施工活动将破坏原有地表植被，降低项目区的植被覆盖度，易产生水土流失，给当地生态环境带来不良影响；本项目建设引起的水土流失如不进行有效的防治，在施工区域内将产生水力侵蚀为主的水土流失。</w:t>
      </w:r>
    </w:p>
    <w:p>
      <w:pPr>
        <w:snapToGrid w:val="0"/>
        <w:ind w:firstLine="480"/>
        <w:rPr>
          <w:rFonts w:cs="Times New Roman"/>
          <w:color w:val="auto"/>
        </w:rPr>
      </w:pPr>
      <w:r>
        <w:rPr>
          <w:rFonts w:cs="Times New Roman"/>
          <w:color w:val="auto"/>
        </w:rPr>
        <w:t>通过水土保持综合治理，项目区水土流失将得到有效控制，各项治理成果能够达到方案提出的防治目标。</w:t>
      </w:r>
    </w:p>
    <w:p>
      <w:pPr>
        <w:snapToGrid w:val="0"/>
        <w:ind w:firstLine="480"/>
        <w:rPr>
          <w:rFonts w:cs="Times New Roman"/>
          <w:color w:val="auto"/>
        </w:rPr>
      </w:pPr>
      <w:r>
        <w:rPr>
          <w:rFonts w:cs="Times New Roman"/>
          <w:color w:val="auto"/>
        </w:rPr>
        <w:t>（5）周边环境及人群健康损失</w:t>
      </w:r>
    </w:p>
    <w:p>
      <w:pPr>
        <w:snapToGrid w:val="0"/>
        <w:ind w:firstLine="480"/>
        <w:rPr>
          <w:rFonts w:cs="Times New Roman"/>
          <w:color w:val="auto"/>
        </w:rPr>
      </w:pPr>
      <w:r>
        <w:rPr>
          <w:rFonts w:cs="Times New Roman"/>
          <w:color w:val="auto"/>
        </w:rPr>
        <w:t>由于工程施工期长，施工量大，施工期施工区人员高度集中，在工程建设过程中所产生的废水、废气、废渣将对局部环境产生不利影响，工程施工过程中建设物资的运输也会增加局部地区的环境污染。生活垃圾堆放破坏环境卫生，影响施工人员身体健康。人口密度的增加可能使传染病的发病率上升，应做好充分的防护工作。</w:t>
      </w:r>
    </w:p>
    <w:p>
      <w:pPr>
        <w:pStyle w:val="3"/>
        <w:numPr>
          <w:ilvl w:val="1"/>
          <w:numId w:val="0"/>
        </w:numPr>
        <w:ind w:firstLine="560" w:firstLineChars="200"/>
        <w:rPr>
          <w:rFonts w:cs="Times New Roman"/>
          <w:b w:val="0"/>
          <w:color w:val="auto"/>
        </w:rPr>
      </w:pPr>
      <w:bookmarkStart w:id="93" w:name="_Toc142388391"/>
      <w:r>
        <w:rPr>
          <w:rFonts w:cs="Times New Roman"/>
          <w:b w:val="0"/>
          <w:color w:val="auto"/>
        </w:rPr>
        <w:t>8.2环境经济效益分析</w:t>
      </w:r>
      <w:bookmarkEnd w:id="93"/>
    </w:p>
    <w:p>
      <w:pPr>
        <w:snapToGrid w:val="0"/>
        <w:ind w:firstLine="480"/>
        <w:rPr>
          <w:rFonts w:cs="Times New Roman"/>
          <w:color w:val="auto"/>
        </w:rPr>
      </w:pPr>
      <w:r>
        <w:rPr>
          <w:rFonts w:cs="Times New Roman"/>
          <w:color w:val="auto"/>
        </w:rPr>
        <w:t>（1）植物资源损失</w:t>
      </w:r>
    </w:p>
    <w:p>
      <w:pPr>
        <w:snapToGrid w:val="0"/>
        <w:ind w:firstLine="480"/>
        <w:rPr>
          <w:rFonts w:cs="Times New Roman"/>
          <w:color w:val="auto"/>
        </w:rPr>
      </w:pPr>
      <w:r>
        <w:rPr>
          <w:rFonts w:cs="Times New Roman"/>
          <w:color w:val="auto"/>
        </w:rPr>
        <w:t>生物量损失主要为农田</w:t>
      </w:r>
      <w:r>
        <w:rPr>
          <w:rFonts w:hint="eastAsia" w:cs="Times New Roman"/>
          <w:color w:val="auto"/>
        </w:rPr>
        <w:t>和</w:t>
      </w:r>
      <w:r>
        <w:rPr>
          <w:rFonts w:cs="Times New Roman"/>
          <w:color w:val="auto"/>
        </w:rPr>
        <w:t>草地，占区域总生物量比例较小。</w:t>
      </w:r>
    </w:p>
    <w:p>
      <w:pPr>
        <w:snapToGrid w:val="0"/>
        <w:ind w:firstLine="480"/>
        <w:rPr>
          <w:rFonts w:cs="Times New Roman"/>
          <w:color w:val="auto"/>
        </w:rPr>
      </w:pPr>
      <w:r>
        <w:rPr>
          <w:rFonts w:cs="Times New Roman"/>
          <w:color w:val="auto"/>
        </w:rPr>
        <w:t>（2）土地资源损失</w:t>
      </w:r>
    </w:p>
    <w:p>
      <w:pPr>
        <w:snapToGrid w:val="0"/>
        <w:ind w:firstLine="480"/>
        <w:rPr>
          <w:rFonts w:cs="Times New Roman"/>
          <w:color w:val="auto"/>
        </w:rPr>
      </w:pPr>
      <w:r>
        <w:rPr>
          <w:rFonts w:cs="Times New Roman"/>
          <w:color w:val="auto"/>
        </w:rPr>
        <w:t>永久占地包括水系占地、</w:t>
      </w:r>
      <w:r>
        <w:rPr>
          <w:rFonts w:hint="eastAsia" w:cs="Times New Roman"/>
          <w:color w:val="auto"/>
          <w:lang w:val="en-US" w:eastAsia="zh-CN"/>
        </w:rPr>
        <w:t>人工湿地、生态缓冲带</w:t>
      </w:r>
      <w:r>
        <w:rPr>
          <w:rFonts w:cs="Times New Roman"/>
          <w:color w:val="auto"/>
        </w:rPr>
        <w:t>占地。临时占地主要为施工生产生活区占地等。临时占地在施工结束后可恢复原地貌，不改变土地的使用性质。</w:t>
      </w:r>
    </w:p>
    <w:p>
      <w:pPr>
        <w:snapToGrid w:val="0"/>
        <w:ind w:firstLine="480"/>
        <w:rPr>
          <w:rFonts w:cs="Times New Roman"/>
          <w:color w:val="auto"/>
        </w:rPr>
      </w:pPr>
      <w:r>
        <w:rPr>
          <w:rFonts w:cs="Times New Roman"/>
          <w:color w:val="auto"/>
        </w:rPr>
        <w:t>（3）陆生生态完整性损失</w:t>
      </w:r>
    </w:p>
    <w:p>
      <w:pPr>
        <w:snapToGrid w:val="0"/>
        <w:ind w:firstLine="480"/>
        <w:rPr>
          <w:rFonts w:cs="Times New Roman"/>
          <w:color w:val="auto"/>
        </w:rPr>
      </w:pPr>
      <w:r>
        <w:rPr>
          <w:rFonts w:cs="Times New Roman"/>
          <w:color w:val="auto"/>
        </w:rPr>
        <w:t>工程施工占地范围内，植被会遭到一定程度的破坏，但由于占地面积很小，不会影响当地植被的整体性和多样性，只要注意落实相关的水土保持防治措施，陆生生态环境的影响较小。</w:t>
      </w:r>
    </w:p>
    <w:p>
      <w:pPr>
        <w:snapToGrid w:val="0"/>
        <w:ind w:firstLine="480"/>
        <w:rPr>
          <w:rFonts w:cs="Times New Roman"/>
          <w:color w:val="auto"/>
        </w:rPr>
      </w:pPr>
      <w:r>
        <w:rPr>
          <w:rFonts w:cs="Times New Roman"/>
          <w:color w:val="auto"/>
        </w:rPr>
        <w:t>（4）对水土流失的影响</w:t>
      </w:r>
    </w:p>
    <w:p>
      <w:pPr>
        <w:snapToGrid w:val="0"/>
        <w:ind w:firstLine="480"/>
        <w:rPr>
          <w:rFonts w:cs="Times New Roman"/>
          <w:color w:val="auto"/>
        </w:rPr>
      </w:pPr>
      <w:r>
        <w:rPr>
          <w:rFonts w:cs="Times New Roman"/>
          <w:color w:val="auto"/>
        </w:rPr>
        <w:t>工程建设可能造成的水土流失危害主要表现为影响生态环境，施工活动将破坏原有地表植被，降低项目区的植被覆盖度，易产生水土流失，给当地生态环境带来不良影响；本项目建设引起的水土流失如不进行有效的防治，在施工区域内将产生水力侵蚀为主的水土流失。</w:t>
      </w:r>
    </w:p>
    <w:p>
      <w:pPr>
        <w:snapToGrid w:val="0"/>
        <w:ind w:firstLine="480"/>
        <w:rPr>
          <w:rFonts w:cs="Times New Roman"/>
          <w:color w:val="auto"/>
        </w:rPr>
      </w:pPr>
      <w:r>
        <w:rPr>
          <w:rFonts w:cs="Times New Roman"/>
          <w:color w:val="auto"/>
        </w:rPr>
        <w:t>通过水土保持综合治理，项目区水土流失将得到有效控制，各项治理成果能够达到方案提出的防治目标。</w:t>
      </w:r>
    </w:p>
    <w:p>
      <w:pPr>
        <w:snapToGrid w:val="0"/>
        <w:ind w:firstLine="480"/>
        <w:rPr>
          <w:rFonts w:cs="Times New Roman"/>
          <w:color w:val="auto"/>
        </w:rPr>
      </w:pPr>
      <w:r>
        <w:rPr>
          <w:rFonts w:cs="Times New Roman"/>
          <w:color w:val="auto"/>
        </w:rPr>
        <w:t>（5）周边环境及人群健康损失</w:t>
      </w:r>
    </w:p>
    <w:p>
      <w:pPr>
        <w:snapToGrid w:val="0"/>
        <w:ind w:firstLine="480"/>
        <w:rPr>
          <w:rFonts w:cs="Times New Roman"/>
          <w:color w:val="auto"/>
        </w:rPr>
      </w:pPr>
      <w:r>
        <w:rPr>
          <w:rFonts w:cs="Times New Roman"/>
          <w:color w:val="auto"/>
        </w:rPr>
        <w:t>由于工程施工期长，施工量大，施工期施工区人员高度集中，在工程建设过程中所产生的废水、废气、废渣将对局部环境产生不利影响，工程施工过程中大宗建设物资的运输也会增加局部地区的环境污染。生活垃圾堆放破坏环境卫生，影响施工人员身体健康。人口密度的增加可能使传染病的发病率上升，应做好充分的防护工作。</w:t>
      </w:r>
    </w:p>
    <w:p>
      <w:pPr>
        <w:pStyle w:val="3"/>
        <w:numPr>
          <w:ilvl w:val="1"/>
          <w:numId w:val="0"/>
        </w:numPr>
        <w:ind w:firstLine="560" w:firstLineChars="200"/>
        <w:rPr>
          <w:rFonts w:cs="Times New Roman"/>
          <w:b w:val="0"/>
          <w:color w:val="auto"/>
        </w:rPr>
      </w:pPr>
      <w:bookmarkStart w:id="94" w:name="_Toc142388392"/>
      <w:r>
        <w:rPr>
          <w:rFonts w:cs="Times New Roman"/>
          <w:b w:val="0"/>
          <w:color w:val="auto"/>
        </w:rPr>
        <w:t>8.3环保投资估算</w:t>
      </w:r>
      <w:bookmarkEnd w:id="94"/>
    </w:p>
    <w:p>
      <w:pPr>
        <w:snapToGrid w:val="0"/>
        <w:ind w:firstLine="480"/>
        <w:rPr>
          <w:rFonts w:cs="Times New Roman"/>
          <w:color w:val="auto"/>
        </w:rPr>
      </w:pPr>
      <w:r>
        <w:rPr>
          <w:rFonts w:cs="Times New Roman"/>
          <w:color w:val="auto"/>
        </w:rPr>
        <w:t>估算本工程的环保专项投资324.24万元，占总投资比例1.32%。本具体各项环保投资见表</w:t>
      </w:r>
      <w:r>
        <w:rPr>
          <w:rFonts w:hint="eastAsia" w:cs="Times New Roman"/>
          <w:color w:val="auto"/>
        </w:rPr>
        <w:t>8</w:t>
      </w:r>
      <w:r>
        <w:rPr>
          <w:rFonts w:cs="Times New Roman"/>
          <w:color w:val="auto"/>
        </w:rPr>
        <w:t>.3-1。</w:t>
      </w:r>
    </w:p>
    <w:p>
      <w:pPr>
        <w:snapToGrid w:val="0"/>
        <w:spacing w:line="240" w:lineRule="auto"/>
        <w:ind w:firstLine="482"/>
        <w:jc w:val="center"/>
        <w:rPr>
          <w:rFonts w:cs="Times New Roman" w:eastAsiaTheme="minorEastAsia"/>
          <w:b/>
          <w:color w:val="auto"/>
        </w:rPr>
      </w:pPr>
      <w:r>
        <w:rPr>
          <w:rFonts w:cs="Times New Roman" w:eastAsiaTheme="minorEastAsia"/>
          <w:b/>
          <w:color w:val="auto"/>
        </w:rPr>
        <w:t>表8.3-1  项目环保设施及投资估算</w:t>
      </w:r>
    </w:p>
    <w:tbl>
      <w:tblPr>
        <w:tblStyle w:val="42"/>
        <w:tblW w:w="9313" w:type="dxa"/>
        <w:tblInd w:w="-1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3"/>
        <w:gridCol w:w="2811"/>
        <w:gridCol w:w="1016"/>
        <w:gridCol w:w="1417"/>
        <w:gridCol w:w="1276"/>
        <w:gridCol w:w="18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tcBorders>
              <w:top w:val="single" w:color="auto" w:sz="12" w:space="0"/>
              <w:bottom w:val="single" w:color="auto" w:sz="12" w:space="0"/>
            </w:tcBorders>
            <w:shd w:val="clear" w:color="auto" w:fill="auto"/>
            <w:vAlign w:val="center"/>
          </w:tcPr>
          <w:p>
            <w:pPr>
              <w:widowControl/>
              <w:snapToGrid w:val="0"/>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序号</w:t>
            </w:r>
          </w:p>
        </w:tc>
        <w:tc>
          <w:tcPr>
            <w:tcW w:w="2811" w:type="dxa"/>
            <w:tcBorders>
              <w:top w:val="single" w:color="auto" w:sz="12" w:space="0"/>
              <w:bottom w:val="single" w:color="auto" w:sz="12" w:space="0"/>
            </w:tcBorders>
            <w:shd w:val="clear" w:color="auto" w:fill="auto"/>
            <w:vAlign w:val="center"/>
          </w:tcPr>
          <w:p>
            <w:pPr>
              <w:widowControl/>
              <w:snapToGrid w:val="0"/>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项目和费用名称</w:t>
            </w:r>
          </w:p>
        </w:tc>
        <w:tc>
          <w:tcPr>
            <w:tcW w:w="1016" w:type="dxa"/>
            <w:tcBorders>
              <w:top w:val="single" w:color="auto" w:sz="12" w:space="0"/>
              <w:bottom w:val="single" w:color="auto" w:sz="12" w:space="0"/>
            </w:tcBorders>
            <w:shd w:val="clear" w:color="auto" w:fill="auto"/>
            <w:vAlign w:val="center"/>
          </w:tcPr>
          <w:p>
            <w:pPr>
              <w:widowControl/>
              <w:snapToGrid w:val="0"/>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单位</w:t>
            </w:r>
          </w:p>
        </w:tc>
        <w:tc>
          <w:tcPr>
            <w:tcW w:w="1417" w:type="dxa"/>
            <w:tcBorders>
              <w:top w:val="single" w:color="auto" w:sz="12" w:space="0"/>
              <w:bottom w:val="single" w:color="auto" w:sz="12" w:space="0"/>
            </w:tcBorders>
            <w:shd w:val="clear" w:color="auto" w:fill="auto"/>
            <w:vAlign w:val="center"/>
          </w:tcPr>
          <w:p>
            <w:pPr>
              <w:widowControl/>
              <w:snapToGrid w:val="0"/>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数量</w:t>
            </w:r>
          </w:p>
        </w:tc>
        <w:tc>
          <w:tcPr>
            <w:tcW w:w="1276" w:type="dxa"/>
            <w:tcBorders>
              <w:top w:val="single" w:color="auto" w:sz="12" w:space="0"/>
              <w:bottom w:val="single" w:color="auto" w:sz="12" w:space="0"/>
            </w:tcBorders>
            <w:shd w:val="clear" w:color="auto" w:fill="auto"/>
            <w:vAlign w:val="center"/>
          </w:tcPr>
          <w:p>
            <w:pPr>
              <w:widowControl/>
              <w:snapToGrid w:val="0"/>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单价（元）</w:t>
            </w:r>
          </w:p>
        </w:tc>
        <w:tc>
          <w:tcPr>
            <w:tcW w:w="1800" w:type="dxa"/>
            <w:tcBorders>
              <w:top w:val="single" w:color="auto" w:sz="12" w:space="0"/>
              <w:bottom w:val="single" w:color="auto" w:sz="12" w:space="0"/>
            </w:tcBorders>
            <w:shd w:val="clear" w:color="auto" w:fill="auto"/>
            <w:vAlign w:val="center"/>
          </w:tcPr>
          <w:p>
            <w:pPr>
              <w:widowControl/>
              <w:snapToGrid w:val="0"/>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合计（元）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804" w:type="dxa"/>
            <w:gridSpan w:val="2"/>
            <w:shd w:val="clear" w:color="auto" w:fill="auto"/>
            <w:vAlign w:val="center"/>
          </w:tcPr>
          <w:p>
            <w:pPr>
              <w:widowControl/>
              <w:snapToGrid w:val="0"/>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第</w:t>
            </w:r>
            <w:r>
              <w:rPr>
                <w:rFonts w:hint="eastAsia" w:cs="Times New Roman"/>
                <w:b/>
                <w:bCs/>
                <w:color w:val="auto"/>
                <w:kern w:val="0"/>
                <w:sz w:val="21"/>
                <w:szCs w:val="21"/>
              </w:rPr>
              <w:t>一</w:t>
            </w:r>
            <w:r>
              <w:rPr>
                <w:rFonts w:cs="Times New Roman"/>
                <w:b/>
                <w:bCs/>
                <w:color w:val="auto"/>
                <w:kern w:val="0"/>
                <w:sz w:val="21"/>
                <w:szCs w:val="21"/>
              </w:rPr>
              <w:t>部分环境监测措施</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160000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施工期</w:t>
            </w:r>
            <w:r>
              <w:rPr>
                <w:rFonts w:hint="eastAsia" w:cs="Times New Roman"/>
                <w:color w:val="auto"/>
                <w:kern w:val="0"/>
                <w:sz w:val="21"/>
                <w:szCs w:val="21"/>
              </w:rPr>
              <w:t>地</w:t>
            </w:r>
            <w:r>
              <w:rPr>
                <w:rFonts w:hint="eastAsia" w:cs="Times New Roman"/>
                <w:color w:val="auto"/>
                <w:kern w:val="0"/>
                <w:sz w:val="21"/>
                <w:szCs w:val="21"/>
                <w:lang w:val="en-US" w:eastAsia="zh-CN"/>
              </w:rPr>
              <w:t>下</w:t>
            </w:r>
            <w:r>
              <w:rPr>
                <w:rFonts w:hint="eastAsia" w:cs="Times New Roman"/>
                <w:color w:val="auto"/>
                <w:kern w:val="0"/>
                <w:sz w:val="21"/>
                <w:szCs w:val="21"/>
              </w:rPr>
              <w:t>水</w:t>
            </w:r>
            <w:r>
              <w:rPr>
                <w:rFonts w:cs="Times New Roman"/>
                <w:color w:val="auto"/>
                <w:kern w:val="0"/>
                <w:sz w:val="21"/>
                <w:szCs w:val="21"/>
              </w:rPr>
              <w:t>监测</w:t>
            </w:r>
          </w:p>
        </w:tc>
        <w:tc>
          <w:tcPr>
            <w:tcW w:w="1016"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次·指标</w:t>
            </w:r>
          </w:p>
        </w:tc>
        <w:tc>
          <w:tcPr>
            <w:tcW w:w="1417" w:type="dxa"/>
            <w:shd w:val="clear" w:color="auto" w:fill="auto"/>
            <w:vAlign w:val="center"/>
          </w:tcPr>
          <w:p>
            <w:pPr>
              <w:widowControl/>
              <w:snapToGrid w:val="0"/>
              <w:spacing w:line="240" w:lineRule="auto"/>
              <w:ind w:firstLine="0" w:firstLineChars="0"/>
              <w:jc w:val="center"/>
              <w:rPr>
                <w:rFonts w:hint="eastAsia" w:eastAsia="等线" w:cs="Times New Roman"/>
                <w:color w:val="auto"/>
                <w:kern w:val="0"/>
                <w:sz w:val="21"/>
                <w:szCs w:val="21"/>
                <w:lang w:eastAsia="zh-CN"/>
              </w:rPr>
            </w:pPr>
            <w:r>
              <w:rPr>
                <w:rFonts w:hint="eastAsia" w:eastAsia="等线" w:cs="Times New Roman"/>
                <w:color w:val="auto"/>
                <w:kern w:val="0"/>
                <w:sz w:val="21"/>
                <w:szCs w:val="21"/>
                <w:lang w:val="en-US" w:eastAsia="zh-CN"/>
              </w:rPr>
              <w:t>6</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1800</w:t>
            </w: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hint="eastAsia" w:eastAsia="等线" w:cs="Times New Roman"/>
                <w:color w:val="auto"/>
                <w:kern w:val="0"/>
                <w:sz w:val="21"/>
                <w:szCs w:val="21"/>
                <w:lang w:eastAsia="zh-CN"/>
              </w:rPr>
            </w:pPr>
            <w:r>
              <w:rPr>
                <w:rFonts w:hint="eastAsia" w:eastAsia="等线" w:cs="Times New Roman"/>
                <w:color w:val="auto"/>
                <w:kern w:val="0"/>
                <w:sz w:val="21"/>
                <w:szCs w:val="21"/>
                <w:lang w:val="en-US" w:eastAsia="zh-CN"/>
              </w:rPr>
              <w:t>2</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施工期噪声监测</w:t>
            </w:r>
          </w:p>
        </w:tc>
        <w:tc>
          <w:tcPr>
            <w:tcW w:w="1016"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点次</w:t>
            </w: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60</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800</w:t>
            </w: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48000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804" w:type="dxa"/>
            <w:gridSpan w:val="2"/>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b/>
                <w:bCs/>
                <w:color w:val="auto"/>
                <w:kern w:val="0"/>
                <w:sz w:val="21"/>
                <w:szCs w:val="21"/>
              </w:rPr>
              <w:t>第</w:t>
            </w:r>
            <w:r>
              <w:rPr>
                <w:rFonts w:hint="eastAsia" w:cs="Times New Roman"/>
                <w:b/>
                <w:bCs/>
                <w:color w:val="auto"/>
                <w:kern w:val="0"/>
                <w:sz w:val="21"/>
                <w:szCs w:val="21"/>
              </w:rPr>
              <w:t>二</w:t>
            </w:r>
            <w:r>
              <w:rPr>
                <w:rFonts w:cs="Times New Roman"/>
                <w:b/>
                <w:bCs/>
                <w:color w:val="auto"/>
                <w:kern w:val="0"/>
                <w:sz w:val="21"/>
                <w:szCs w:val="21"/>
              </w:rPr>
              <w:t>部分环境保护临时措施</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2</w:t>
            </w:r>
            <w:r>
              <w:rPr>
                <w:rFonts w:eastAsia="等线" w:cs="Times New Roman"/>
                <w:color w:val="auto"/>
                <w:kern w:val="0"/>
                <w:sz w:val="21"/>
                <w:szCs w:val="21"/>
              </w:rPr>
              <w:t>632400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施工区污废水处理</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280000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hint="eastAsia" w:eastAsia="等线" w:cs="Times New Roman"/>
                <w:color w:val="auto"/>
                <w:kern w:val="0"/>
                <w:sz w:val="21"/>
                <w:szCs w:val="21"/>
                <w:lang w:eastAsia="zh-CN"/>
              </w:rPr>
            </w:pPr>
            <w:r>
              <w:rPr>
                <w:rFonts w:eastAsia="等线" w:cs="Times New Roman"/>
                <w:color w:val="auto"/>
                <w:kern w:val="0"/>
                <w:sz w:val="21"/>
                <w:szCs w:val="21"/>
              </w:rPr>
              <w:t>1.</w:t>
            </w:r>
            <w:r>
              <w:rPr>
                <w:rFonts w:hint="eastAsia" w:eastAsia="等线" w:cs="Times New Roman"/>
                <w:color w:val="auto"/>
                <w:kern w:val="0"/>
                <w:sz w:val="21"/>
                <w:szCs w:val="21"/>
                <w:lang w:val="en-US" w:eastAsia="zh-CN"/>
              </w:rPr>
              <w:t>1</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隔油沉淀池</w:t>
            </w:r>
          </w:p>
        </w:tc>
        <w:tc>
          <w:tcPr>
            <w:tcW w:w="1016"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座</w:t>
            </w:r>
          </w:p>
        </w:tc>
        <w:tc>
          <w:tcPr>
            <w:tcW w:w="1417" w:type="dxa"/>
            <w:shd w:val="clear" w:color="auto" w:fill="auto"/>
            <w:vAlign w:val="center"/>
          </w:tcPr>
          <w:p>
            <w:pPr>
              <w:widowControl/>
              <w:snapToGrid w:val="0"/>
              <w:spacing w:line="240" w:lineRule="auto"/>
              <w:ind w:firstLine="0" w:firstLineChars="0"/>
              <w:jc w:val="center"/>
              <w:rPr>
                <w:rFonts w:hint="eastAsia" w:eastAsia="等线" w:cs="Times New Roman"/>
                <w:color w:val="auto"/>
                <w:kern w:val="0"/>
                <w:sz w:val="21"/>
                <w:szCs w:val="21"/>
                <w:lang w:eastAsia="zh-CN"/>
              </w:rPr>
            </w:pPr>
            <w:r>
              <w:rPr>
                <w:rFonts w:hint="eastAsia" w:eastAsia="等线" w:cs="Times New Roman"/>
                <w:color w:val="auto"/>
                <w:kern w:val="0"/>
                <w:sz w:val="21"/>
                <w:szCs w:val="21"/>
                <w:lang w:val="en-US" w:eastAsia="zh-CN"/>
              </w:rPr>
              <w:t>5</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20000</w:t>
            </w: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hint="eastAsia" w:eastAsia="等线" w:cs="Times New Roman"/>
                <w:color w:val="auto"/>
                <w:kern w:val="0"/>
                <w:sz w:val="21"/>
                <w:szCs w:val="21"/>
                <w:lang w:eastAsia="zh-CN"/>
              </w:rPr>
            </w:pPr>
            <w:r>
              <w:rPr>
                <w:rFonts w:eastAsia="等线" w:cs="Times New Roman"/>
                <w:color w:val="auto"/>
                <w:kern w:val="0"/>
                <w:sz w:val="21"/>
                <w:szCs w:val="21"/>
              </w:rPr>
              <w:t>1.</w:t>
            </w:r>
            <w:r>
              <w:rPr>
                <w:rFonts w:hint="eastAsia" w:eastAsia="等线" w:cs="Times New Roman"/>
                <w:color w:val="auto"/>
                <w:kern w:val="0"/>
                <w:sz w:val="21"/>
                <w:szCs w:val="21"/>
                <w:lang w:val="en-US" w:eastAsia="zh-CN"/>
              </w:rPr>
              <w:t>2</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絮凝沉淀池</w:t>
            </w:r>
          </w:p>
        </w:tc>
        <w:tc>
          <w:tcPr>
            <w:tcW w:w="1016"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座</w:t>
            </w:r>
          </w:p>
        </w:tc>
        <w:tc>
          <w:tcPr>
            <w:tcW w:w="1417" w:type="dxa"/>
            <w:shd w:val="clear" w:color="auto" w:fill="auto"/>
            <w:vAlign w:val="center"/>
          </w:tcPr>
          <w:p>
            <w:pPr>
              <w:widowControl/>
              <w:snapToGrid w:val="0"/>
              <w:spacing w:line="240" w:lineRule="auto"/>
              <w:ind w:firstLine="0" w:firstLineChars="0"/>
              <w:jc w:val="center"/>
              <w:rPr>
                <w:rFonts w:hint="eastAsia" w:eastAsia="等线" w:cs="Times New Roman"/>
                <w:color w:val="auto"/>
                <w:kern w:val="0"/>
                <w:sz w:val="21"/>
                <w:szCs w:val="21"/>
                <w:lang w:eastAsia="zh-CN"/>
              </w:rPr>
            </w:pPr>
            <w:r>
              <w:rPr>
                <w:rFonts w:hint="eastAsia" w:eastAsia="等线" w:cs="Times New Roman"/>
                <w:color w:val="auto"/>
                <w:kern w:val="0"/>
                <w:sz w:val="21"/>
                <w:szCs w:val="21"/>
                <w:lang w:val="en-US" w:eastAsia="zh-CN"/>
              </w:rPr>
              <w:t>5</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20000</w:t>
            </w:r>
          </w:p>
        </w:tc>
        <w:tc>
          <w:tcPr>
            <w:tcW w:w="1800" w:type="dxa"/>
            <w:shd w:val="clear" w:color="auto" w:fill="auto"/>
            <w:vAlign w:val="center"/>
          </w:tcPr>
          <w:p>
            <w:pPr>
              <w:widowControl/>
              <w:snapToGrid w:val="0"/>
              <w:spacing w:line="240" w:lineRule="auto"/>
              <w:ind w:firstLine="0" w:firstLineChars="0"/>
              <w:jc w:val="center"/>
              <w:rPr>
                <w:rFonts w:hint="default" w:eastAsia="等线" w:cs="Times New Roman"/>
                <w:color w:val="auto"/>
                <w:kern w:val="0"/>
                <w:sz w:val="21"/>
                <w:szCs w:val="21"/>
                <w:lang w:val="en-US" w:eastAsia="zh-CN"/>
              </w:rPr>
            </w:pPr>
            <w:r>
              <w:rPr>
                <w:rFonts w:hint="eastAsia" w:eastAsia="等线" w:cs="Times New Roman"/>
                <w:color w:val="auto"/>
                <w:kern w:val="0"/>
                <w:sz w:val="21"/>
                <w:szCs w:val="21"/>
                <w:lang w:val="en-US" w:eastAsia="zh-CN"/>
              </w:rPr>
              <w:t>100000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hint="eastAsia" w:eastAsia="等线" w:cs="Times New Roman"/>
                <w:color w:val="auto"/>
                <w:kern w:val="0"/>
                <w:sz w:val="21"/>
                <w:szCs w:val="21"/>
                <w:lang w:eastAsia="zh-CN"/>
              </w:rPr>
            </w:pPr>
            <w:r>
              <w:rPr>
                <w:rFonts w:hint="eastAsia" w:eastAsia="等线" w:cs="Times New Roman"/>
                <w:color w:val="auto"/>
                <w:kern w:val="0"/>
                <w:sz w:val="21"/>
                <w:szCs w:val="21"/>
              </w:rPr>
              <w:t>1</w:t>
            </w:r>
            <w:r>
              <w:rPr>
                <w:rFonts w:eastAsia="等线" w:cs="Times New Roman"/>
                <w:color w:val="auto"/>
                <w:kern w:val="0"/>
                <w:sz w:val="21"/>
                <w:szCs w:val="21"/>
              </w:rPr>
              <w:t>.</w:t>
            </w:r>
            <w:r>
              <w:rPr>
                <w:rFonts w:hint="eastAsia" w:eastAsia="等线" w:cs="Times New Roman"/>
                <w:color w:val="auto"/>
                <w:kern w:val="0"/>
                <w:sz w:val="21"/>
                <w:szCs w:val="21"/>
                <w:lang w:val="en-US" w:eastAsia="zh-CN"/>
              </w:rPr>
              <w:t>3</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混凝土冲洗废水沉淀池</w:t>
            </w:r>
          </w:p>
        </w:tc>
        <w:tc>
          <w:tcPr>
            <w:tcW w:w="1016"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座</w:t>
            </w: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5</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20000</w:t>
            </w: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1</w:t>
            </w:r>
            <w:r>
              <w:rPr>
                <w:rFonts w:eastAsia="等线" w:cs="Times New Roman"/>
                <w:color w:val="auto"/>
                <w:kern w:val="0"/>
                <w:sz w:val="21"/>
                <w:szCs w:val="21"/>
              </w:rPr>
              <w:t>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2</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施工空气污染防治</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900000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2.1</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洒水</w:t>
            </w:r>
            <w:r>
              <w:rPr>
                <w:rFonts w:hint="eastAsia" w:cs="Times New Roman"/>
                <w:color w:val="auto"/>
                <w:kern w:val="0"/>
                <w:sz w:val="21"/>
                <w:szCs w:val="21"/>
              </w:rPr>
              <w:t>、冲洗</w:t>
            </w:r>
            <w:r>
              <w:rPr>
                <w:rFonts w:cs="Times New Roman"/>
                <w:color w:val="auto"/>
                <w:kern w:val="0"/>
                <w:sz w:val="21"/>
                <w:szCs w:val="21"/>
              </w:rPr>
              <w:t>费用</w:t>
            </w:r>
          </w:p>
        </w:tc>
        <w:tc>
          <w:tcPr>
            <w:tcW w:w="1016"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项</w:t>
            </w: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70000</w:t>
            </w: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700000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2.2</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防尘围挡租用费</w:t>
            </w:r>
          </w:p>
        </w:tc>
        <w:tc>
          <w:tcPr>
            <w:tcW w:w="1016"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元/Km</w:t>
            </w:r>
          </w:p>
        </w:tc>
        <w:tc>
          <w:tcPr>
            <w:tcW w:w="1417" w:type="dxa"/>
            <w:shd w:val="clear" w:color="auto" w:fill="auto"/>
            <w:vAlign w:val="center"/>
          </w:tcPr>
          <w:p>
            <w:pPr>
              <w:widowControl/>
              <w:snapToGrid w:val="0"/>
              <w:spacing w:line="240" w:lineRule="auto"/>
              <w:ind w:firstLine="0" w:firstLineChars="0"/>
              <w:jc w:val="center"/>
              <w:rPr>
                <w:rFonts w:hint="default" w:eastAsia="等线" w:cs="Times New Roman"/>
                <w:color w:val="auto"/>
                <w:kern w:val="0"/>
                <w:sz w:val="21"/>
                <w:szCs w:val="21"/>
                <w:lang w:val="en-US" w:eastAsia="zh-CN"/>
              </w:rPr>
            </w:pPr>
            <w:r>
              <w:rPr>
                <w:rFonts w:hint="eastAsia" w:eastAsia="等线" w:cs="Times New Roman"/>
                <w:color w:val="auto"/>
                <w:kern w:val="0"/>
                <w:sz w:val="21"/>
                <w:szCs w:val="21"/>
                <w:lang w:val="en-US" w:eastAsia="zh-CN"/>
              </w:rPr>
              <w:t>8.7</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5000</w:t>
            </w:r>
          </w:p>
        </w:tc>
        <w:tc>
          <w:tcPr>
            <w:tcW w:w="1800" w:type="dxa"/>
            <w:shd w:val="clear" w:color="auto" w:fill="auto"/>
            <w:vAlign w:val="center"/>
          </w:tcPr>
          <w:p>
            <w:pPr>
              <w:widowControl/>
              <w:snapToGrid w:val="0"/>
              <w:spacing w:line="240" w:lineRule="auto"/>
              <w:ind w:firstLine="0" w:firstLineChars="0"/>
              <w:jc w:val="center"/>
              <w:rPr>
                <w:rFonts w:hint="default" w:eastAsia="等线" w:cs="Times New Roman"/>
                <w:color w:val="auto"/>
                <w:kern w:val="0"/>
                <w:sz w:val="21"/>
                <w:szCs w:val="21"/>
                <w:lang w:val="en-US" w:eastAsia="zh-CN"/>
              </w:rPr>
            </w:pPr>
            <w:r>
              <w:rPr>
                <w:rFonts w:hint="eastAsia" w:eastAsia="等线" w:cs="Times New Roman"/>
                <w:color w:val="auto"/>
                <w:kern w:val="0"/>
                <w:sz w:val="21"/>
                <w:szCs w:val="21"/>
                <w:lang w:val="en-US" w:eastAsia="zh-CN"/>
              </w:rPr>
              <w:t>43500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3</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噪声防护</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1400000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3.1</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隔声</w:t>
            </w:r>
            <w:r>
              <w:rPr>
                <w:rFonts w:hint="eastAsia" w:cs="Times New Roman"/>
                <w:color w:val="auto"/>
                <w:kern w:val="0"/>
                <w:sz w:val="21"/>
                <w:szCs w:val="21"/>
              </w:rPr>
              <w:t>围挡</w:t>
            </w:r>
          </w:p>
        </w:tc>
        <w:tc>
          <w:tcPr>
            <w:tcW w:w="1016"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元/m</w:t>
            </w:r>
          </w:p>
        </w:tc>
        <w:tc>
          <w:tcPr>
            <w:tcW w:w="1417" w:type="dxa"/>
            <w:shd w:val="clear" w:color="auto" w:fill="auto"/>
            <w:vAlign w:val="center"/>
          </w:tcPr>
          <w:p>
            <w:pPr>
              <w:widowControl/>
              <w:snapToGrid w:val="0"/>
              <w:spacing w:line="240" w:lineRule="auto"/>
              <w:ind w:firstLine="0" w:firstLineChars="0"/>
              <w:jc w:val="center"/>
              <w:rPr>
                <w:rFonts w:hint="default" w:eastAsia="等线" w:cs="Times New Roman"/>
                <w:color w:val="auto"/>
                <w:kern w:val="0"/>
                <w:sz w:val="21"/>
                <w:szCs w:val="21"/>
                <w:lang w:val="en-US" w:eastAsia="zh-CN"/>
              </w:rPr>
            </w:pPr>
            <w:r>
              <w:rPr>
                <w:rFonts w:hint="eastAsia" w:eastAsia="等线" w:cs="Times New Roman"/>
                <w:color w:val="auto"/>
                <w:kern w:val="0"/>
                <w:sz w:val="21"/>
                <w:szCs w:val="21"/>
                <w:lang w:val="en-US" w:eastAsia="zh-CN"/>
              </w:rPr>
              <w:t>4000</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200</w:t>
            </w:r>
          </w:p>
        </w:tc>
        <w:tc>
          <w:tcPr>
            <w:tcW w:w="1800" w:type="dxa"/>
            <w:shd w:val="clear" w:color="auto" w:fill="auto"/>
            <w:vAlign w:val="center"/>
          </w:tcPr>
          <w:p>
            <w:pPr>
              <w:widowControl/>
              <w:snapToGrid w:val="0"/>
              <w:spacing w:line="240" w:lineRule="auto"/>
              <w:ind w:firstLine="0" w:firstLineChars="0"/>
              <w:jc w:val="center"/>
              <w:rPr>
                <w:rFonts w:hint="default" w:eastAsia="等线" w:cs="Times New Roman"/>
                <w:color w:val="auto"/>
                <w:kern w:val="0"/>
                <w:sz w:val="21"/>
                <w:szCs w:val="21"/>
                <w:lang w:val="en-US" w:eastAsia="zh-CN"/>
              </w:rPr>
            </w:pPr>
            <w:r>
              <w:rPr>
                <w:rFonts w:hint="eastAsia" w:eastAsia="等线" w:cs="Times New Roman"/>
                <w:color w:val="auto"/>
                <w:kern w:val="0"/>
                <w:sz w:val="21"/>
                <w:szCs w:val="21"/>
                <w:lang w:val="en-US" w:eastAsia="zh-CN"/>
              </w:rPr>
              <w:t>800000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4</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施工固体废弃物</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15560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4.1</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垃圾箱</w:t>
            </w:r>
          </w:p>
        </w:tc>
        <w:tc>
          <w:tcPr>
            <w:tcW w:w="1016"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个</w:t>
            </w:r>
          </w:p>
        </w:tc>
        <w:tc>
          <w:tcPr>
            <w:tcW w:w="1417" w:type="dxa"/>
            <w:shd w:val="clear" w:color="auto" w:fill="auto"/>
            <w:vAlign w:val="center"/>
          </w:tcPr>
          <w:p>
            <w:pPr>
              <w:widowControl/>
              <w:snapToGrid w:val="0"/>
              <w:spacing w:line="240" w:lineRule="auto"/>
              <w:ind w:firstLine="0" w:firstLineChars="0"/>
              <w:jc w:val="center"/>
              <w:rPr>
                <w:rFonts w:hint="default" w:eastAsia="等线" w:cs="Times New Roman"/>
                <w:color w:val="auto"/>
                <w:kern w:val="0"/>
                <w:sz w:val="21"/>
                <w:szCs w:val="21"/>
                <w:lang w:val="en-US" w:eastAsia="zh-CN"/>
              </w:rPr>
            </w:pPr>
            <w:r>
              <w:rPr>
                <w:rFonts w:hint="eastAsia" w:eastAsia="等线" w:cs="Times New Roman"/>
                <w:color w:val="auto"/>
                <w:kern w:val="0"/>
                <w:sz w:val="21"/>
                <w:szCs w:val="21"/>
                <w:lang w:val="en-US" w:eastAsia="zh-CN"/>
              </w:rPr>
              <w:t>20</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500</w:t>
            </w:r>
          </w:p>
        </w:tc>
        <w:tc>
          <w:tcPr>
            <w:tcW w:w="1800" w:type="dxa"/>
            <w:shd w:val="clear" w:color="auto" w:fill="auto"/>
            <w:vAlign w:val="center"/>
          </w:tcPr>
          <w:p>
            <w:pPr>
              <w:widowControl/>
              <w:snapToGrid w:val="0"/>
              <w:spacing w:line="240" w:lineRule="auto"/>
              <w:ind w:firstLine="0" w:firstLineChars="0"/>
              <w:jc w:val="center"/>
              <w:rPr>
                <w:rFonts w:hint="default" w:eastAsia="等线" w:cs="Times New Roman"/>
                <w:color w:val="auto"/>
                <w:kern w:val="0"/>
                <w:sz w:val="21"/>
                <w:szCs w:val="21"/>
                <w:lang w:val="en-US" w:eastAsia="zh-CN"/>
              </w:rPr>
            </w:pPr>
            <w:r>
              <w:rPr>
                <w:rFonts w:hint="eastAsia" w:eastAsia="等线" w:cs="Times New Roman"/>
                <w:color w:val="auto"/>
                <w:kern w:val="0"/>
                <w:sz w:val="21"/>
                <w:szCs w:val="21"/>
                <w:lang w:val="en-US" w:eastAsia="zh-CN"/>
              </w:rPr>
              <w:t>10000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4.2</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垃圾清运</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t</w:t>
            </w: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sz w:val="21"/>
                <w:szCs w:val="21"/>
              </w:rPr>
              <w:t>25.5</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1</w:t>
            </w:r>
            <w:r>
              <w:rPr>
                <w:rFonts w:eastAsia="等线" w:cs="Times New Roman"/>
                <w:color w:val="auto"/>
                <w:kern w:val="0"/>
                <w:sz w:val="21"/>
                <w:szCs w:val="21"/>
              </w:rPr>
              <w:t>20</w:t>
            </w: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3060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4.3</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垃圾处理费</w:t>
            </w:r>
          </w:p>
        </w:tc>
        <w:tc>
          <w:tcPr>
            <w:tcW w:w="1016"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元/人</w:t>
            </w: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1500</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5</w:t>
            </w: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7500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5</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施工迹地恢复</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36840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5.1</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临时占地</w:t>
            </w:r>
            <w:r>
              <w:rPr>
                <w:rFonts w:cs="Times New Roman"/>
                <w:color w:val="auto"/>
                <w:kern w:val="0"/>
                <w:sz w:val="21"/>
                <w:szCs w:val="21"/>
              </w:rPr>
              <w:t>环保措施覆土</w:t>
            </w:r>
          </w:p>
        </w:tc>
        <w:tc>
          <w:tcPr>
            <w:tcW w:w="1016" w:type="dxa"/>
            <w:shd w:val="clear" w:color="auto" w:fill="auto"/>
            <w:vAlign w:val="center"/>
          </w:tcPr>
          <w:p>
            <w:pPr>
              <w:widowControl/>
              <w:snapToGrid w:val="0"/>
              <w:spacing w:line="240" w:lineRule="auto"/>
              <w:ind w:firstLine="0" w:firstLineChars="0"/>
              <w:jc w:val="center"/>
              <w:rPr>
                <w:rFonts w:hint="eastAsia" w:eastAsia="等线" w:cs="Times New Roman"/>
                <w:color w:val="auto"/>
                <w:kern w:val="0"/>
                <w:sz w:val="21"/>
                <w:szCs w:val="21"/>
                <w:lang w:val="en-US" w:eastAsia="zh-CN"/>
              </w:rPr>
            </w:pPr>
            <w:r>
              <w:rPr>
                <w:rFonts w:hint="eastAsia" w:eastAsia="等线" w:cs="Times New Roman"/>
                <w:color w:val="auto"/>
                <w:kern w:val="0"/>
                <w:sz w:val="21"/>
                <w:szCs w:val="21"/>
                <w:lang w:val="en-US" w:eastAsia="zh-CN"/>
              </w:rPr>
              <w:t>h</w:t>
            </w:r>
            <w:r>
              <w:rPr>
                <w:rFonts w:eastAsia="等线" w:cs="Times New Roman"/>
                <w:color w:val="auto"/>
                <w:kern w:val="0"/>
                <w:sz w:val="21"/>
                <w:szCs w:val="21"/>
              </w:rPr>
              <w:t>m</w:t>
            </w:r>
            <w:r>
              <w:rPr>
                <w:rFonts w:hint="eastAsia" w:eastAsia="等线" w:cs="Times New Roman"/>
                <w:color w:val="auto"/>
                <w:kern w:val="0"/>
                <w:sz w:val="21"/>
                <w:szCs w:val="21"/>
                <w:vertAlign w:val="superscript"/>
                <w:lang w:val="en-US" w:eastAsia="zh-CN"/>
              </w:rPr>
              <w:t>2</w:t>
            </w:r>
          </w:p>
        </w:tc>
        <w:tc>
          <w:tcPr>
            <w:tcW w:w="1417" w:type="dxa"/>
            <w:shd w:val="clear" w:color="auto" w:fill="auto"/>
            <w:vAlign w:val="center"/>
          </w:tcPr>
          <w:p>
            <w:pPr>
              <w:widowControl/>
              <w:snapToGrid w:val="0"/>
              <w:spacing w:line="240" w:lineRule="auto"/>
              <w:ind w:firstLine="0" w:firstLineChars="0"/>
              <w:jc w:val="center"/>
              <w:rPr>
                <w:rFonts w:hint="default" w:eastAsia="等线" w:cs="Times New Roman"/>
                <w:color w:val="auto"/>
                <w:kern w:val="0"/>
                <w:sz w:val="21"/>
                <w:szCs w:val="21"/>
                <w:lang w:val="en-US" w:eastAsia="zh-CN"/>
              </w:rPr>
            </w:pPr>
            <w:r>
              <w:rPr>
                <w:rFonts w:hint="eastAsia" w:eastAsia="等线" w:cs="Times New Roman"/>
                <w:color w:val="auto"/>
                <w:sz w:val="21"/>
                <w:szCs w:val="21"/>
                <w:lang w:val="en-US" w:eastAsia="zh-CN"/>
              </w:rPr>
              <w:t>7.27</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4</w:t>
            </w:r>
          </w:p>
        </w:tc>
        <w:tc>
          <w:tcPr>
            <w:tcW w:w="1800" w:type="dxa"/>
            <w:shd w:val="clear" w:color="auto" w:fill="auto"/>
            <w:vAlign w:val="center"/>
          </w:tcPr>
          <w:p>
            <w:pPr>
              <w:widowControl/>
              <w:snapToGrid w:val="0"/>
              <w:spacing w:line="240" w:lineRule="auto"/>
              <w:ind w:firstLine="0" w:firstLineChars="0"/>
              <w:jc w:val="center"/>
              <w:rPr>
                <w:rFonts w:hint="default" w:eastAsia="等线" w:cs="Times New Roman"/>
                <w:color w:val="auto"/>
                <w:kern w:val="0"/>
                <w:sz w:val="21"/>
                <w:szCs w:val="21"/>
                <w:lang w:val="en-US" w:eastAsia="zh-CN"/>
              </w:rPr>
            </w:pPr>
            <w:r>
              <w:rPr>
                <w:rFonts w:hint="eastAsia" w:eastAsia="等线" w:cs="Times New Roman"/>
                <w:color w:val="auto"/>
                <w:kern w:val="0"/>
                <w:sz w:val="21"/>
                <w:szCs w:val="21"/>
                <w:lang w:val="en-US" w:eastAsia="zh-CN"/>
              </w:rPr>
              <w:t>72700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804" w:type="dxa"/>
            <w:gridSpan w:val="2"/>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b/>
                <w:bCs/>
                <w:color w:val="auto"/>
                <w:kern w:val="0"/>
                <w:sz w:val="21"/>
                <w:szCs w:val="21"/>
              </w:rPr>
              <w:t>第</w:t>
            </w:r>
            <w:r>
              <w:rPr>
                <w:rFonts w:hint="eastAsia" w:cs="Times New Roman"/>
                <w:b/>
                <w:bCs/>
                <w:color w:val="auto"/>
                <w:kern w:val="0"/>
                <w:sz w:val="21"/>
                <w:szCs w:val="21"/>
              </w:rPr>
              <w:t>三</w:t>
            </w:r>
            <w:r>
              <w:rPr>
                <w:rFonts w:cs="Times New Roman"/>
                <w:b/>
                <w:bCs/>
                <w:color w:val="auto"/>
                <w:kern w:val="0"/>
                <w:sz w:val="21"/>
                <w:szCs w:val="21"/>
              </w:rPr>
              <w:t>部分环境保护独立费用</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450000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建设管理费</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3</w:t>
            </w:r>
            <w:r>
              <w:rPr>
                <w:rFonts w:hint="eastAsia" w:eastAsia="等线" w:cs="Times New Roman"/>
                <w:color w:val="auto"/>
                <w:kern w:val="0"/>
                <w:sz w:val="21"/>
                <w:szCs w:val="21"/>
                <w:lang w:val="en-US" w:eastAsia="zh-CN"/>
              </w:rPr>
              <w:t>0</w:t>
            </w:r>
            <w:r>
              <w:rPr>
                <w:rFonts w:eastAsia="等线" w:cs="Times New Roman"/>
                <w:color w:val="auto"/>
                <w:kern w:val="0"/>
                <w:sz w:val="21"/>
                <w:szCs w:val="21"/>
              </w:rPr>
              <w:t>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1.1</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环境管理人员费</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cs="Times New Roman"/>
                <w:color w:val="auto"/>
                <w:kern w:val="0"/>
                <w:sz w:val="21"/>
                <w:szCs w:val="21"/>
              </w:rPr>
              <w:t>项</w:t>
            </w: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1</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200000</w:t>
            </w: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200000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1.2</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环境保护宣传及技术培训费</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cs="Times New Roman"/>
                <w:color w:val="auto"/>
                <w:kern w:val="0"/>
                <w:sz w:val="21"/>
                <w:szCs w:val="21"/>
              </w:rPr>
              <w:t>项</w:t>
            </w: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1</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1</w:t>
            </w:r>
            <w:r>
              <w:rPr>
                <w:rFonts w:eastAsia="等线" w:cs="Times New Roman"/>
                <w:color w:val="auto"/>
                <w:kern w:val="0"/>
                <w:sz w:val="21"/>
                <w:szCs w:val="21"/>
              </w:rPr>
              <w:t>00000</w:t>
            </w: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1</w:t>
            </w:r>
            <w:r>
              <w:rPr>
                <w:rFonts w:eastAsia="等线" w:cs="Times New Roman"/>
                <w:color w:val="auto"/>
                <w:kern w:val="0"/>
                <w:sz w:val="21"/>
                <w:szCs w:val="21"/>
              </w:rPr>
              <w:t>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93"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1.3</w:t>
            </w:r>
          </w:p>
        </w:tc>
        <w:tc>
          <w:tcPr>
            <w:tcW w:w="2811" w:type="dxa"/>
            <w:shd w:val="clear" w:color="auto" w:fill="auto"/>
            <w:vAlign w:val="center"/>
          </w:tcPr>
          <w:p>
            <w:pPr>
              <w:widowControl/>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环境保护设施竣工验收费</w:t>
            </w:r>
          </w:p>
        </w:tc>
        <w:tc>
          <w:tcPr>
            <w:tcW w:w="101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cs="Times New Roman"/>
                <w:color w:val="auto"/>
                <w:kern w:val="0"/>
                <w:sz w:val="21"/>
                <w:szCs w:val="21"/>
              </w:rPr>
              <w:t>项</w:t>
            </w:r>
          </w:p>
        </w:tc>
        <w:tc>
          <w:tcPr>
            <w:tcW w:w="1417"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1</w:t>
            </w:r>
          </w:p>
        </w:tc>
        <w:tc>
          <w:tcPr>
            <w:tcW w:w="1276"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1</w:t>
            </w:r>
            <w:r>
              <w:rPr>
                <w:rFonts w:eastAsia="等线" w:cs="Times New Roman"/>
                <w:color w:val="auto"/>
                <w:kern w:val="0"/>
                <w:sz w:val="21"/>
                <w:szCs w:val="21"/>
              </w:rPr>
              <w:t>50000</w:t>
            </w:r>
          </w:p>
        </w:tc>
        <w:tc>
          <w:tcPr>
            <w:tcW w:w="1800" w:type="dxa"/>
            <w:shd w:val="clear" w:color="auto" w:fill="auto"/>
            <w:vAlign w:val="center"/>
          </w:tcPr>
          <w:p>
            <w:pPr>
              <w:widowControl/>
              <w:snapToGrid w:val="0"/>
              <w:spacing w:line="240" w:lineRule="auto"/>
              <w:ind w:firstLine="0" w:firstLineChars="0"/>
              <w:jc w:val="center"/>
              <w:rPr>
                <w:rFonts w:eastAsia="等线" w:cs="Times New Roman"/>
                <w:color w:val="auto"/>
                <w:kern w:val="0"/>
                <w:sz w:val="21"/>
                <w:szCs w:val="21"/>
              </w:rPr>
            </w:pPr>
            <w:r>
              <w:rPr>
                <w:rFonts w:hint="eastAsia" w:eastAsia="等线" w:cs="Times New Roman"/>
                <w:color w:val="auto"/>
                <w:kern w:val="0"/>
                <w:sz w:val="21"/>
                <w:szCs w:val="21"/>
              </w:rPr>
              <w:t>1</w:t>
            </w:r>
            <w:r>
              <w:rPr>
                <w:rFonts w:eastAsia="等线" w:cs="Times New Roman"/>
                <w:color w:val="auto"/>
                <w:kern w:val="0"/>
                <w:sz w:val="21"/>
                <w:szCs w:val="21"/>
              </w:rPr>
              <w:t>50000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513" w:type="dxa"/>
            <w:gridSpan w:val="5"/>
            <w:shd w:val="clear" w:color="auto" w:fill="auto"/>
            <w:noWrap/>
            <w:vAlign w:val="center"/>
          </w:tcPr>
          <w:p>
            <w:pPr>
              <w:widowControl/>
              <w:snapToGrid w:val="0"/>
              <w:spacing w:line="240" w:lineRule="auto"/>
              <w:ind w:firstLine="0" w:firstLineChars="0"/>
              <w:jc w:val="center"/>
              <w:rPr>
                <w:rFonts w:eastAsia="Times New Roman" w:cs="Times New Roman"/>
                <w:color w:val="auto"/>
                <w:kern w:val="0"/>
                <w:sz w:val="20"/>
                <w:szCs w:val="20"/>
              </w:rPr>
            </w:pPr>
            <w:r>
              <w:rPr>
                <w:rFonts w:cs="Times New Roman"/>
                <w:b/>
                <w:bCs/>
                <w:color w:val="auto"/>
                <w:kern w:val="0"/>
                <w:sz w:val="21"/>
                <w:szCs w:val="21"/>
              </w:rPr>
              <w:t>总计</w:t>
            </w:r>
          </w:p>
        </w:tc>
        <w:tc>
          <w:tcPr>
            <w:tcW w:w="1800" w:type="dxa"/>
            <w:shd w:val="clear" w:color="auto" w:fill="auto"/>
            <w:noWrap/>
            <w:vAlign w:val="center"/>
          </w:tcPr>
          <w:p>
            <w:pPr>
              <w:widowControl/>
              <w:snapToGrid w:val="0"/>
              <w:spacing w:line="240" w:lineRule="auto"/>
              <w:ind w:firstLine="0" w:firstLineChars="0"/>
              <w:jc w:val="center"/>
              <w:rPr>
                <w:rFonts w:eastAsia="等线" w:cs="Times New Roman"/>
                <w:color w:val="auto"/>
                <w:kern w:val="0"/>
                <w:sz w:val="22"/>
                <w:szCs w:val="22"/>
              </w:rPr>
            </w:pPr>
          </w:p>
        </w:tc>
      </w:tr>
    </w:tbl>
    <w:p>
      <w:pPr>
        <w:pStyle w:val="3"/>
        <w:numPr>
          <w:ilvl w:val="1"/>
          <w:numId w:val="0"/>
        </w:numPr>
        <w:ind w:firstLine="560" w:firstLineChars="200"/>
        <w:rPr>
          <w:rFonts w:cs="Times New Roman"/>
          <w:b w:val="0"/>
          <w:color w:val="auto"/>
        </w:rPr>
      </w:pPr>
      <w:bookmarkStart w:id="95" w:name="_Toc142388393"/>
      <w:r>
        <w:rPr>
          <w:rFonts w:cs="Times New Roman"/>
          <w:b w:val="0"/>
          <w:color w:val="auto"/>
        </w:rPr>
        <w:t>8.4生态效益分析</w:t>
      </w:r>
      <w:bookmarkEnd w:id="95"/>
    </w:p>
    <w:p>
      <w:pPr>
        <w:snapToGrid w:val="0"/>
        <w:ind w:firstLine="480"/>
        <w:rPr>
          <w:rFonts w:cs="Times New Roman"/>
          <w:color w:val="auto"/>
        </w:rPr>
      </w:pPr>
      <w:r>
        <w:rPr>
          <w:rFonts w:cs="Times New Roman"/>
          <w:color w:val="auto"/>
        </w:rPr>
        <w:t>水系综合整治最直观的就是生态效益，即改善农村河湖生态环境、提高水环境质量、改善生物栖息条件。良好的生态环境可以调节局部小气候，提高水体自净和纳污能力，在保障水质与水安全的前提下，形成优美的河道生态系统和湿地系统，逐步恢复水清岸绿的田园村居风光。</w:t>
      </w:r>
    </w:p>
    <w:p>
      <w:pPr>
        <w:snapToGrid w:val="0"/>
        <w:ind w:firstLine="480"/>
        <w:rPr>
          <w:rFonts w:cs="Times New Roman"/>
          <w:color w:val="auto"/>
        </w:rPr>
      </w:pPr>
      <w:r>
        <w:rPr>
          <w:rFonts w:cs="Times New Roman"/>
          <w:color w:val="auto"/>
        </w:rPr>
        <w:t>本项目通过水治理、水保护等措施，提升河湖水系的水体流动性和水体质量，改善周边农村的水生态环境，优化流域的水生态空间体系，使区域的地形、地貌、水面、森林、农田、草地、土壤、植被、陆生生物、水生生物等大生态逐步恢复，使生态环境朝有利的方向发展，使水、陆、空立体空间内的环境更加适宜“花、鸟、鱼虫”的栖息和种群发展。</w:t>
      </w:r>
    </w:p>
    <w:p>
      <w:pPr>
        <w:snapToGrid w:val="0"/>
        <w:ind w:firstLine="480"/>
        <w:rPr>
          <w:rFonts w:cs="Times New Roman"/>
          <w:color w:val="auto"/>
        </w:rPr>
      </w:pPr>
      <w:r>
        <w:rPr>
          <w:rFonts w:cs="Times New Roman"/>
          <w:color w:val="auto"/>
        </w:rPr>
        <w:t>本工程实施后将全方位推进水系沿线生态景观格局重塑，全面提升河流水系的蓝绿生态空间结构、强化水生态空间管控、促进河网水环境质量改善、维护河流水生态功能结构，有效加快实现自然生态与人文景观融合，推进区域水生态环境保护和生物多样性恢复，深入实施“碧水蓝天”工程，增强全面小康竞争力。</w:t>
      </w:r>
    </w:p>
    <w:p>
      <w:pPr>
        <w:pStyle w:val="3"/>
        <w:numPr>
          <w:ilvl w:val="1"/>
          <w:numId w:val="0"/>
        </w:numPr>
        <w:ind w:firstLine="560" w:firstLineChars="200"/>
        <w:rPr>
          <w:rFonts w:cs="Times New Roman"/>
          <w:b w:val="0"/>
          <w:color w:val="auto"/>
        </w:rPr>
      </w:pPr>
      <w:bookmarkStart w:id="96" w:name="_Toc180983083"/>
      <w:bookmarkStart w:id="97" w:name="_Toc9023"/>
      <w:bookmarkStart w:id="98" w:name="_Toc9118"/>
      <w:bookmarkStart w:id="99" w:name="_Toc149727426"/>
      <w:bookmarkStart w:id="100" w:name="_Toc149727698"/>
      <w:bookmarkStart w:id="101" w:name="_Toc180984385"/>
      <w:bookmarkStart w:id="102" w:name="_Toc150916360"/>
      <w:bookmarkStart w:id="103" w:name="_Toc152814294"/>
      <w:bookmarkStart w:id="104" w:name="_Toc150140082"/>
      <w:bookmarkStart w:id="105" w:name="_Toc142388394"/>
      <w:bookmarkStart w:id="106" w:name="_Toc37349353"/>
      <w:r>
        <w:rPr>
          <w:rFonts w:cs="Times New Roman"/>
          <w:b w:val="0"/>
          <w:color w:val="auto"/>
        </w:rPr>
        <w:t>8.5社会效益分析</w:t>
      </w:r>
      <w:bookmarkEnd w:id="96"/>
      <w:bookmarkEnd w:id="97"/>
      <w:bookmarkEnd w:id="98"/>
      <w:bookmarkEnd w:id="99"/>
      <w:bookmarkEnd w:id="100"/>
      <w:bookmarkEnd w:id="101"/>
      <w:bookmarkEnd w:id="102"/>
      <w:bookmarkEnd w:id="103"/>
      <w:bookmarkEnd w:id="104"/>
      <w:bookmarkEnd w:id="105"/>
      <w:bookmarkEnd w:id="106"/>
    </w:p>
    <w:p>
      <w:pPr>
        <w:snapToGrid w:val="0"/>
        <w:ind w:firstLine="480"/>
        <w:rPr>
          <w:rFonts w:cs="Times New Roman"/>
          <w:color w:val="auto"/>
        </w:rPr>
      </w:pPr>
      <w:r>
        <w:rPr>
          <w:rFonts w:cs="Times New Roman"/>
          <w:color w:val="auto"/>
        </w:rPr>
        <w:t>需要立足水系现状、谋划未来，对农村水系提出治理思路和对策，治理后对改善农民的生活条件、人居环境有重大意义。</w:t>
      </w:r>
    </w:p>
    <w:p>
      <w:pPr>
        <w:snapToGrid w:val="0"/>
        <w:ind w:firstLine="480"/>
        <w:rPr>
          <w:rFonts w:cs="Times New Roman"/>
          <w:color w:val="auto"/>
        </w:rPr>
      </w:pPr>
      <w:r>
        <w:rPr>
          <w:rFonts w:cs="Times New Roman"/>
          <w:color w:val="auto"/>
        </w:rPr>
        <w:t>（1）将有效改善试点区水生态环境质量，保障防洪、排涝安全</w:t>
      </w:r>
    </w:p>
    <w:p>
      <w:pPr>
        <w:snapToGrid w:val="0"/>
        <w:ind w:firstLine="480"/>
        <w:rPr>
          <w:rFonts w:cs="Times New Roman"/>
          <w:color w:val="auto"/>
        </w:rPr>
      </w:pPr>
      <w:r>
        <w:rPr>
          <w:rFonts w:cs="Times New Roman"/>
          <w:color w:val="auto"/>
        </w:rPr>
        <w:t>通过对</w:t>
      </w:r>
      <w:r>
        <w:rPr>
          <w:rFonts w:hint="eastAsia" w:cs="Times New Roman"/>
          <w:color w:val="auto"/>
          <w:lang w:val="en-US" w:eastAsia="zh-CN"/>
        </w:rPr>
        <w:t>岚河流域</w:t>
      </w:r>
      <w:r>
        <w:rPr>
          <w:rFonts w:cs="Times New Roman"/>
          <w:color w:val="auto"/>
        </w:rPr>
        <w:t>的综合整治，基本形成工程措施和非工程措施相结合的综合防御体系。大大提高项目区的防灾减灾能力，从而在很大程度上减免受灾人口和伤亡人员；减轻人民的精神负担和心理创伤；稳定社会秩序，保证社会正常生活和生活秩序；改善投资环境；保护重要基础设施；促进项目区经济社会可持续发展。</w:t>
      </w:r>
    </w:p>
    <w:p>
      <w:pPr>
        <w:snapToGrid w:val="0"/>
        <w:ind w:firstLine="480"/>
        <w:rPr>
          <w:rFonts w:cs="Times New Roman"/>
          <w:color w:val="auto"/>
        </w:rPr>
      </w:pPr>
      <w:r>
        <w:rPr>
          <w:rFonts w:cs="Times New Roman"/>
          <w:color w:val="auto"/>
        </w:rPr>
        <w:t>（2）将有力集聚带动特色产业发展，促进乡村振兴与美丽乡村建设</w:t>
      </w:r>
    </w:p>
    <w:p>
      <w:pPr>
        <w:snapToGrid w:val="0"/>
        <w:ind w:firstLine="480"/>
        <w:rPr>
          <w:rFonts w:cs="Times New Roman"/>
          <w:color w:val="auto"/>
        </w:rPr>
      </w:pPr>
      <w:r>
        <w:rPr>
          <w:rFonts w:cs="Times New Roman"/>
          <w:color w:val="auto"/>
        </w:rPr>
        <w:t>项目实施后，不仅能有效改善</w:t>
      </w:r>
      <w:r>
        <w:rPr>
          <w:rFonts w:hint="eastAsia" w:cs="Times New Roman"/>
          <w:color w:val="auto"/>
          <w:lang w:val="en-US" w:eastAsia="zh-CN"/>
        </w:rPr>
        <w:t>岚河</w:t>
      </w:r>
      <w:r>
        <w:rPr>
          <w:rFonts w:cs="Times New Roman"/>
          <w:color w:val="auto"/>
        </w:rPr>
        <w:t>流域的引水条件，保障沿线河湖生态用水需求，更能显著改善河渠水生态和水环境，提高沿河居民的生活条件和人居环境，改善原有脏乱差的局面。通过河流水系蓝绿空间提升和有机融合、生态人文景观节点打造，将进一步彰显</w:t>
      </w:r>
      <w:r>
        <w:rPr>
          <w:rFonts w:hint="eastAsia" w:cs="Times New Roman"/>
          <w:color w:val="auto"/>
          <w:lang w:val="en-US" w:eastAsia="zh-CN"/>
        </w:rPr>
        <w:t>岚皋</w:t>
      </w:r>
      <w:r>
        <w:rPr>
          <w:rFonts w:cs="Times New Roman"/>
          <w:color w:val="auto"/>
        </w:rPr>
        <w:t>河畅、水清、岸绿、景美的城乡风貌，形成人文与自然交融的独特空间形态，促进乡村生态环境明显改善、自然生态功能全面提升，提升人民群众安全感、幸福感和获得感，推动农村发展、加快美丽乡村建设，为乡村振兴提供有力保障。</w:t>
      </w:r>
    </w:p>
    <w:p>
      <w:pPr>
        <w:pStyle w:val="3"/>
        <w:numPr>
          <w:ilvl w:val="1"/>
          <w:numId w:val="0"/>
        </w:numPr>
        <w:ind w:firstLine="560" w:firstLineChars="200"/>
        <w:rPr>
          <w:rFonts w:cs="Times New Roman"/>
          <w:b w:val="0"/>
          <w:color w:val="auto"/>
        </w:rPr>
      </w:pPr>
      <w:bookmarkStart w:id="107" w:name="_Toc142388395"/>
      <w:bookmarkStart w:id="108" w:name="_Toc78158405"/>
      <w:r>
        <w:rPr>
          <w:rFonts w:cs="Times New Roman"/>
          <w:b w:val="0"/>
          <w:color w:val="auto"/>
        </w:rPr>
        <w:t>8.6经济效益</w:t>
      </w:r>
      <w:bookmarkEnd w:id="107"/>
      <w:bookmarkEnd w:id="108"/>
    </w:p>
    <w:p>
      <w:pPr>
        <w:snapToGrid w:val="0"/>
        <w:ind w:firstLine="480"/>
        <w:rPr>
          <w:rFonts w:cs="Times New Roman"/>
          <w:color w:val="auto"/>
        </w:rPr>
      </w:pPr>
      <w:r>
        <w:rPr>
          <w:rFonts w:cs="Times New Roman"/>
          <w:color w:val="auto"/>
        </w:rPr>
        <w:t>本项目实施后，基本形成工程措施和非工程措施相结合的综合防御体系，大大提高项目区沿线涉及5个镇的防灾减灾能力，有效的保障两岸村民的生命财产安全。</w:t>
      </w:r>
    </w:p>
    <w:p>
      <w:pPr>
        <w:snapToGrid w:val="0"/>
        <w:ind w:firstLine="480"/>
        <w:rPr>
          <w:rFonts w:cs="Times New Roman"/>
          <w:color w:val="auto"/>
        </w:rPr>
      </w:pPr>
      <w:r>
        <w:rPr>
          <w:rFonts w:cs="Times New Roman"/>
          <w:color w:val="auto"/>
        </w:rPr>
        <w:t>总之，通过工程的实施进一步提高周边区域的综合竞争力，吸引更多的优质投资，更好的促进生态旅游和经济的发展，促进农村产业结构的调整和发展，促进美丽乡村建设，促进乡村的生态振兴、产业振兴，助力保障沿线乡镇实现“产业兴旺、生态宜居、乡风文明、治理有效、生活富裕”的乡村振兴宏伟目标。</w:t>
      </w:r>
    </w:p>
    <w:p>
      <w:pPr>
        <w:pStyle w:val="3"/>
        <w:numPr>
          <w:ilvl w:val="1"/>
          <w:numId w:val="0"/>
        </w:numPr>
        <w:ind w:firstLine="560" w:firstLineChars="200"/>
        <w:rPr>
          <w:rFonts w:cs="Times New Roman"/>
          <w:b w:val="0"/>
          <w:color w:val="auto"/>
        </w:rPr>
      </w:pPr>
      <w:bookmarkStart w:id="109" w:name="_Toc142388396"/>
      <w:r>
        <w:rPr>
          <w:rFonts w:cs="Times New Roman"/>
          <w:b w:val="0"/>
          <w:color w:val="auto"/>
        </w:rPr>
        <w:t>8.7结论</w:t>
      </w:r>
      <w:bookmarkEnd w:id="109"/>
    </w:p>
    <w:p>
      <w:pPr>
        <w:pStyle w:val="61"/>
        <w:snapToGrid w:val="0"/>
        <w:ind w:firstLine="480"/>
        <w:rPr>
          <w:rFonts w:cs="Times New Roman"/>
          <w:color w:val="auto"/>
        </w:rPr>
      </w:pPr>
      <w:r>
        <w:rPr>
          <w:rFonts w:cs="Times New Roman"/>
          <w:color w:val="auto"/>
        </w:rPr>
        <w:t>综上所述，本项目属于生态效益为主、兼顾一定社会效益的公益性工程，并不以盈利为目的。本项目对国民经济的发展所起的作用主要体现在外部整体环境的改善，所产生的效益表现为难以用货币量化的环境效益和社会效益。本项目虽然在工程施工期存在一定的污染，但在采取相应的环境保护措施后，对环境的影响可得到有效减缓。项目实施后对提高</w:t>
      </w:r>
      <w:r>
        <w:rPr>
          <w:rFonts w:hint="eastAsia" w:cs="Times New Roman"/>
          <w:color w:val="auto"/>
          <w:lang w:val="en-US" w:eastAsia="zh-CN"/>
        </w:rPr>
        <w:t>岚皋县</w:t>
      </w:r>
      <w:r>
        <w:rPr>
          <w:rFonts w:cs="Times New Roman"/>
          <w:color w:val="auto"/>
        </w:rPr>
        <w:t>农村河道整体防洪安全、改善河湖水质、加强截污控污等方面都有明显成效，水系治理的社会效益、生态效益和经济效益都十分显著。</w:t>
      </w:r>
    </w:p>
    <w:p>
      <w:pPr>
        <w:ind w:firstLine="480"/>
        <w:rPr>
          <w:rFonts w:cs="Times New Roman"/>
          <w:color w:val="auto"/>
        </w:rPr>
      </w:pPr>
      <w:r>
        <w:rPr>
          <w:rFonts w:cs="Times New Roman"/>
          <w:color w:val="auto"/>
        </w:rPr>
        <w:br w:type="page"/>
      </w:r>
    </w:p>
    <w:p>
      <w:pPr>
        <w:pStyle w:val="2"/>
        <w:numPr>
          <w:ilvl w:val="0"/>
          <w:numId w:val="0"/>
        </w:numPr>
        <w:ind w:left="432"/>
        <w:rPr>
          <w:rFonts w:cs="Times New Roman"/>
          <w:color w:val="auto"/>
        </w:rPr>
      </w:pPr>
      <w:bookmarkStart w:id="110" w:name="_Toc142388397"/>
      <w:r>
        <w:rPr>
          <w:rFonts w:cs="Times New Roman"/>
          <w:b w:val="0"/>
          <w:color w:val="auto"/>
        </w:rPr>
        <w:t>9环境管理与监测计划</w:t>
      </w:r>
      <w:bookmarkEnd w:id="110"/>
    </w:p>
    <w:p>
      <w:pPr>
        <w:snapToGrid w:val="0"/>
        <w:ind w:firstLine="480"/>
        <w:rPr>
          <w:rFonts w:cs="Times New Roman"/>
          <w:color w:val="auto"/>
        </w:rPr>
      </w:pPr>
      <w:r>
        <w:rPr>
          <w:rFonts w:cs="Times New Roman"/>
          <w:color w:val="auto"/>
        </w:rPr>
        <w:t>为加强项目的环境管理，加大企业环境监测的力度，必须严格控制污染物的排放总量，有效的保护生态环境，执行建设项目“三同时”制度。为了既发展生产又保护环境，实现建设项目的经济效益、社会效益和环境效益的统一，更好的监控工程环保设施的运行，及时掌握和了解污染治理措施的效果，必须设置相应的环保机构，制定建设工程环境管理和环境监测计划。</w:t>
      </w:r>
    </w:p>
    <w:p>
      <w:pPr>
        <w:pStyle w:val="3"/>
        <w:numPr>
          <w:ilvl w:val="1"/>
          <w:numId w:val="0"/>
        </w:numPr>
        <w:ind w:firstLine="560" w:firstLineChars="200"/>
        <w:rPr>
          <w:rFonts w:cs="Times New Roman"/>
          <w:b w:val="0"/>
          <w:color w:val="auto"/>
        </w:rPr>
      </w:pPr>
      <w:bookmarkStart w:id="111" w:name="_Toc142388398"/>
      <w:r>
        <w:rPr>
          <w:rFonts w:cs="Times New Roman"/>
          <w:b w:val="0"/>
          <w:color w:val="auto"/>
        </w:rPr>
        <w:t>9.1环境管理</w:t>
      </w:r>
      <w:bookmarkEnd w:id="111"/>
    </w:p>
    <w:p>
      <w:pPr>
        <w:snapToGrid w:val="0"/>
        <w:ind w:firstLine="480"/>
        <w:rPr>
          <w:rFonts w:cs="Times New Roman"/>
          <w:color w:val="auto"/>
        </w:rPr>
      </w:pPr>
      <w:r>
        <w:rPr>
          <w:rFonts w:cs="Times New Roman"/>
          <w:color w:val="auto"/>
        </w:rPr>
        <w:t>加强环境管理，加大环境监测力度，有效地保护区域环境是建设项目环境管理的根本目的。因此，根据该项目污染物排放特征，污染物治理情况，有针对性地制定环境保护管理与监测计划是非常必要的。</w:t>
      </w:r>
    </w:p>
    <w:p>
      <w:pPr>
        <w:snapToGrid w:val="0"/>
        <w:ind w:firstLine="480"/>
        <w:rPr>
          <w:rFonts w:cs="Times New Roman"/>
          <w:color w:val="auto"/>
        </w:rPr>
      </w:pPr>
      <w:r>
        <w:rPr>
          <w:rFonts w:cs="Times New Roman"/>
          <w:color w:val="auto"/>
        </w:rPr>
        <w:t>为统一管理，环境管理机构的设置要结合主体工程和水土保持工程管理机构进行设置。工程环境管理实行政府环境保护职能部门行使环境保护行政主管职能，</w:t>
      </w:r>
      <w:r>
        <w:rPr>
          <w:rFonts w:hint="eastAsia" w:cs="Times New Roman"/>
          <w:color w:val="auto"/>
          <w:lang w:val="en-US" w:eastAsia="zh-CN"/>
        </w:rPr>
        <w:t>岚皋县</w:t>
      </w:r>
      <w:r>
        <w:rPr>
          <w:rFonts w:cs="Times New Roman"/>
          <w:color w:val="auto"/>
        </w:rPr>
        <w:t>水利局统一管理，负责项目区的环境管理和监测任务，各承包商按合同环境保护条款要求进行管理。</w:t>
      </w:r>
    </w:p>
    <w:p>
      <w:pPr>
        <w:snapToGrid w:val="0"/>
        <w:ind w:firstLine="480"/>
        <w:rPr>
          <w:rFonts w:cs="Times New Roman"/>
          <w:color w:val="auto"/>
        </w:rPr>
      </w:pPr>
      <w:r>
        <w:rPr>
          <w:rFonts w:cs="Times New Roman"/>
          <w:color w:val="auto"/>
        </w:rPr>
        <w:t>环境保护管理专门机构负责组织、落实、协调和监督工程建设期和运行期的环境保护管理工作。工程建设期和运行期按照建设单位统一要求，设立专门环境管理机构对工程环境保护实施统一管理。</w:t>
      </w:r>
    </w:p>
    <w:p>
      <w:pPr>
        <w:pStyle w:val="4"/>
        <w:numPr>
          <w:ilvl w:val="2"/>
          <w:numId w:val="0"/>
        </w:numPr>
        <w:snapToGrid w:val="0"/>
        <w:ind w:firstLine="480" w:firstLineChars="200"/>
        <w:rPr>
          <w:rFonts w:cs="Times New Roman"/>
          <w:color w:val="auto"/>
        </w:rPr>
      </w:pPr>
      <w:r>
        <w:rPr>
          <w:rFonts w:cs="Times New Roman"/>
          <w:color w:val="auto"/>
        </w:rPr>
        <w:t>9.1.1机构设置</w:t>
      </w:r>
    </w:p>
    <w:p>
      <w:pPr>
        <w:snapToGrid w:val="0"/>
        <w:ind w:firstLine="480"/>
        <w:rPr>
          <w:rFonts w:cs="Times New Roman"/>
          <w:color w:val="auto"/>
        </w:rPr>
      </w:pPr>
      <w:r>
        <w:rPr>
          <w:rFonts w:cs="Times New Roman"/>
          <w:color w:val="auto"/>
        </w:rPr>
        <w:t>成立本项目工作领导小组，全面负责</w:t>
      </w:r>
      <w:r>
        <w:rPr>
          <w:rFonts w:hint="eastAsia" w:cs="Times New Roman"/>
          <w:color w:val="auto"/>
          <w:lang w:val="en-US" w:eastAsia="zh-CN"/>
        </w:rPr>
        <w:t>岚皋县岚河流域生态缓冲带建设项目</w:t>
      </w:r>
      <w:r>
        <w:rPr>
          <w:rFonts w:cs="Times New Roman"/>
          <w:color w:val="auto"/>
        </w:rPr>
        <w:t>建设工作。相关部门和相关镇主要领导为成员的工作领导小组，全面负责推进</w:t>
      </w:r>
      <w:r>
        <w:rPr>
          <w:rFonts w:hint="eastAsia" w:cs="Times New Roman"/>
          <w:color w:val="auto"/>
          <w:lang w:val="en-US" w:eastAsia="zh-CN"/>
        </w:rPr>
        <w:t>岚皋县岚河流域生态缓冲带建设项目</w:t>
      </w:r>
      <w:r>
        <w:rPr>
          <w:rFonts w:cs="Times New Roman"/>
          <w:color w:val="auto"/>
        </w:rPr>
        <w:t>建设试点工作。领导小组成员单位要严格按照会议要求，落实工作责任，认真履行工作职责，确保项目有序推进。</w:t>
      </w:r>
    </w:p>
    <w:p>
      <w:pPr>
        <w:pStyle w:val="4"/>
        <w:numPr>
          <w:ilvl w:val="2"/>
          <w:numId w:val="0"/>
        </w:numPr>
        <w:snapToGrid w:val="0"/>
        <w:ind w:firstLine="480" w:firstLineChars="200"/>
        <w:rPr>
          <w:rFonts w:cs="Times New Roman"/>
          <w:color w:val="auto"/>
        </w:rPr>
      </w:pPr>
      <w:r>
        <w:rPr>
          <w:rFonts w:cs="Times New Roman"/>
          <w:color w:val="auto"/>
        </w:rPr>
        <w:t>9.1.2环境管理机构职责</w:t>
      </w:r>
    </w:p>
    <w:p>
      <w:pPr>
        <w:snapToGrid w:val="0"/>
        <w:ind w:firstLine="480"/>
        <w:rPr>
          <w:rFonts w:cs="Times New Roman"/>
          <w:color w:val="auto"/>
        </w:rPr>
      </w:pPr>
      <w:r>
        <w:rPr>
          <w:rFonts w:cs="Times New Roman"/>
          <w:color w:val="auto"/>
        </w:rPr>
        <w:t>贯彻执行国家和地方环境保护法律法规、条例、规章，结合本工程环境管理的实际情况，执行环境管理的方针、政策；组织、协调、协助各级政府有关部门，制定环境保护管理办法，制定有利于工程环境管理、社会经济与环境协调发展的有关规划、计划、方针政策，加强环境管理力度，使工程对环境的不利影响得到有效缓解或消除。</w:t>
      </w:r>
    </w:p>
    <w:p>
      <w:pPr>
        <w:snapToGrid w:val="0"/>
        <w:ind w:firstLine="480"/>
        <w:rPr>
          <w:rFonts w:cs="Times New Roman"/>
          <w:color w:val="auto"/>
        </w:rPr>
      </w:pPr>
      <w:r>
        <w:rPr>
          <w:rFonts w:cs="Times New Roman"/>
          <w:color w:val="auto"/>
        </w:rPr>
        <w:t>在工程招标过程中将环境保护措施纳入工程建设招标合同内容，包括</w:t>
      </w:r>
      <w:r>
        <w:rPr>
          <w:rFonts w:hint="eastAsia" w:cs="Times New Roman"/>
          <w:color w:val="auto"/>
        </w:rPr>
        <w:t>施工废水处理及利用</w:t>
      </w:r>
      <w:r>
        <w:rPr>
          <w:rFonts w:cs="Times New Roman"/>
          <w:color w:val="auto"/>
        </w:rPr>
        <w:t>、</w:t>
      </w:r>
      <w:r>
        <w:rPr>
          <w:rFonts w:hint="eastAsia" w:cs="Times New Roman"/>
          <w:color w:val="auto"/>
        </w:rPr>
        <w:t>施工防尘措施</w:t>
      </w:r>
      <w:r>
        <w:rPr>
          <w:rFonts w:cs="Times New Roman"/>
          <w:color w:val="auto"/>
        </w:rPr>
        <w:t>、对敏感区的噪声防护、</w:t>
      </w:r>
      <w:r>
        <w:rPr>
          <w:rFonts w:hint="eastAsia" w:cs="Times New Roman"/>
          <w:color w:val="auto"/>
        </w:rPr>
        <w:t>施工期的生态环保措施、</w:t>
      </w:r>
      <w:r>
        <w:rPr>
          <w:rFonts w:cs="Times New Roman"/>
          <w:color w:val="auto"/>
        </w:rPr>
        <w:t>施工区施工人员的卫生防疫等项内容。施工单位配置1～2名专职环保人员，负责本单位在施工过程中的环境保护工作。具体职责为对施工人员进行宣传教育，将环境保护意识灌输到每个施工人员的思想中去，尽量减免由</w:t>
      </w:r>
      <w:r>
        <w:rPr>
          <w:rFonts w:hint="eastAsia" w:cs="Times New Roman"/>
          <w:color w:val="auto"/>
        </w:rPr>
        <w:t>施工</w:t>
      </w:r>
      <w:r>
        <w:rPr>
          <w:rFonts w:cs="Times New Roman"/>
          <w:color w:val="auto"/>
        </w:rPr>
        <w:t>生产和</w:t>
      </w:r>
      <w:r>
        <w:rPr>
          <w:rFonts w:hint="eastAsia" w:cs="Times New Roman"/>
          <w:color w:val="auto"/>
        </w:rPr>
        <w:t>生活</w:t>
      </w:r>
      <w:r>
        <w:rPr>
          <w:rFonts w:cs="Times New Roman"/>
          <w:color w:val="auto"/>
        </w:rPr>
        <w:t>生活活动引起的环境污染，监督落实各项环保措施，制定相应的奖惩措施，协调工程建设和环境保护的关系，促进文明施工，以保障工程建设顺利进行。</w:t>
      </w:r>
    </w:p>
    <w:p>
      <w:pPr>
        <w:pStyle w:val="4"/>
        <w:numPr>
          <w:ilvl w:val="2"/>
          <w:numId w:val="0"/>
        </w:numPr>
        <w:snapToGrid w:val="0"/>
        <w:ind w:firstLine="480" w:firstLineChars="200"/>
        <w:rPr>
          <w:rFonts w:cs="Times New Roman"/>
          <w:color w:val="auto"/>
        </w:rPr>
      </w:pPr>
      <w:r>
        <w:rPr>
          <w:rFonts w:cs="Times New Roman"/>
          <w:color w:val="auto"/>
        </w:rPr>
        <w:t>9.1.3环境管理计划</w:t>
      </w:r>
    </w:p>
    <w:p>
      <w:pPr>
        <w:snapToGrid w:val="0"/>
        <w:ind w:firstLine="480"/>
        <w:rPr>
          <w:rFonts w:cs="Times New Roman"/>
          <w:color w:val="auto"/>
        </w:rPr>
      </w:pPr>
      <w:r>
        <w:rPr>
          <w:rFonts w:cs="Times New Roman"/>
          <w:color w:val="auto"/>
        </w:rPr>
        <w:t>项目</w:t>
      </w:r>
      <w:r>
        <w:rPr>
          <w:rFonts w:hint="eastAsia" w:cs="Times New Roman"/>
          <w:color w:val="auto"/>
        </w:rPr>
        <w:t>施工</w:t>
      </w:r>
      <w:r>
        <w:rPr>
          <w:rFonts w:cs="Times New Roman"/>
          <w:color w:val="auto"/>
        </w:rPr>
        <w:t>后会对周围环境产生一定的影响，项目所采取的环保措施应尽可能减少对周围环境的不利影响。完善规章制度，确保生产设备以及环保设施正常运转，避免出现异常排污。环境保护内容分为招标阶段、施工阶段、施工完成阶段。</w:t>
      </w:r>
    </w:p>
    <w:p>
      <w:pPr>
        <w:snapToGrid w:val="0"/>
        <w:spacing w:line="240" w:lineRule="auto"/>
        <w:ind w:firstLine="0" w:firstLineChars="0"/>
        <w:jc w:val="center"/>
        <w:rPr>
          <w:rFonts w:cs="Times New Roman" w:eastAsiaTheme="minorEastAsia"/>
          <w:b/>
          <w:color w:val="auto"/>
        </w:rPr>
      </w:pPr>
      <w:r>
        <w:rPr>
          <w:rFonts w:cs="Times New Roman" w:eastAsiaTheme="minorEastAsia"/>
          <w:b/>
          <w:color w:val="auto"/>
        </w:rPr>
        <w:t>表9.1-1  环境管理机构主要职责</w:t>
      </w:r>
    </w:p>
    <w:tbl>
      <w:tblPr>
        <w:tblStyle w:val="4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7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50" w:type="pct"/>
            <w:tcBorders>
              <w:bottom w:val="single" w:color="auto" w:sz="12" w:space="0"/>
            </w:tcBorders>
            <w:tcMar>
              <w:left w:w="28" w:type="dxa"/>
              <w:right w:w="28" w:type="dxa"/>
            </w:tcMar>
            <w:vAlign w:val="center"/>
          </w:tcPr>
          <w:p>
            <w:pPr>
              <w:spacing w:line="280" w:lineRule="exact"/>
              <w:ind w:firstLine="0" w:firstLineChars="0"/>
              <w:jc w:val="center"/>
              <w:rPr>
                <w:rFonts w:cs="Times New Roman"/>
                <w:b/>
                <w:bCs/>
                <w:color w:val="auto"/>
                <w:sz w:val="21"/>
                <w:szCs w:val="21"/>
              </w:rPr>
            </w:pPr>
            <w:r>
              <w:rPr>
                <w:rFonts w:cs="Times New Roman"/>
                <w:b/>
                <w:bCs/>
                <w:color w:val="auto"/>
                <w:sz w:val="21"/>
                <w:szCs w:val="21"/>
              </w:rPr>
              <w:t>实施阶段</w:t>
            </w:r>
          </w:p>
        </w:tc>
        <w:tc>
          <w:tcPr>
            <w:tcW w:w="4250" w:type="pct"/>
            <w:tcBorders>
              <w:bottom w:val="single" w:color="auto" w:sz="12" w:space="0"/>
            </w:tcBorders>
            <w:tcMar>
              <w:left w:w="28" w:type="dxa"/>
              <w:right w:w="28" w:type="dxa"/>
            </w:tcMar>
            <w:vAlign w:val="center"/>
          </w:tcPr>
          <w:p>
            <w:pPr>
              <w:spacing w:line="280" w:lineRule="exact"/>
              <w:ind w:firstLine="0" w:firstLineChars="0"/>
              <w:jc w:val="center"/>
              <w:rPr>
                <w:rFonts w:cs="Times New Roman"/>
                <w:b/>
                <w:bCs/>
                <w:color w:val="auto"/>
                <w:sz w:val="21"/>
                <w:szCs w:val="21"/>
              </w:rPr>
            </w:pPr>
            <w:r>
              <w:rPr>
                <w:rFonts w:cs="Times New Roman"/>
                <w:b/>
                <w:bCs/>
                <w:color w:val="auto"/>
                <w:sz w:val="21"/>
                <w:szCs w:val="21"/>
              </w:rPr>
              <w:t>机构职责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0" w:type="pct"/>
            <w:tcBorders>
              <w:top w:val="single" w:color="auto" w:sz="12" w:space="0"/>
              <w:tl2br w:val="nil"/>
              <w:tr2bl w:val="nil"/>
            </w:tcBorders>
            <w:tcMar>
              <w:left w:w="28" w:type="dxa"/>
              <w:right w:w="28" w:type="dxa"/>
            </w:tcMar>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工程招标阶段</w:t>
            </w:r>
          </w:p>
        </w:tc>
        <w:tc>
          <w:tcPr>
            <w:tcW w:w="4250" w:type="pct"/>
            <w:tcBorders>
              <w:top w:val="single" w:color="auto" w:sz="12" w:space="0"/>
              <w:tl2br w:val="nil"/>
              <w:tr2bl w:val="nil"/>
            </w:tcBorders>
            <w:tcMar>
              <w:left w:w="28" w:type="dxa"/>
              <w:right w:w="28" w:type="dxa"/>
            </w:tcMar>
            <w:vAlign w:val="center"/>
          </w:tcPr>
          <w:p>
            <w:pPr>
              <w:spacing w:line="280" w:lineRule="exact"/>
              <w:ind w:firstLine="0" w:firstLineChars="0"/>
              <w:jc w:val="left"/>
              <w:rPr>
                <w:rFonts w:cs="Times New Roman"/>
                <w:color w:val="auto"/>
                <w:sz w:val="21"/>
                <w:szCs w:val="21"/>
              </w:rPr>
            </w:pPr>
            <w:r>
              <w:rPr>
                <w:rFonts w:cs="Times New Roman"/>
                <w:color w:val="auto"/>
                <w:sz w:val="21"/>
                <w:szCs w:val="21"/>
              </w:rPr>
              <w:t>（1）招标说明中应包括有关的环保条款和要求。</w:t>
            </w:r>
          </w:p>
          <w:p>
            <w:pPr>
              <w:spacing w:line="280" w:lineRule="exact"/>
              <w:ind w:firstLine="0" w:firstLineChars="0"/>
              <w:jc w:val="left"/>
              <w:rPr>
                <w:rFonts w:cs="Times New Roman"/>
                <w:color w:val="auto"/>
                <w:sz w:val="21"/>
                <w:szCs w:val="21"/>
              </w:rPr>
            </w:pPr>
            <w:r>
              <w:rPr>
                <w:rFonts w:cs="Times New Roman"/>
                <w:color w:val="auto"/>
                <w:sz w:val="21"/>
                <w:szCs w:val="21"/>
              </w:rPr>
              <w:t>（2）投标方案中应有详细的环保方案及实施办法。</w:t>
            </w:r>
          </w:p>
          <w:p>
            <w:pPr>
              <w:spacing w:line="280" w:lineRule="exact"/>
              <w:ind w:firstLine="0" w:firstLineChars="0"/>
              <w:jc w:val="left"/>
              <w:rPr>
                <w:rFonts w:cs="Times New Roman"/>
                <w:color w:val="auto"/>
                <w:sz w:val="21"/>
                <w:szCs w:val="21"/>
              </w:rPr>
            </w:pPr>
            <w:r>
              <w:rPr>
                <w:rFonts w:cs="Times New Roman"/>
                <w:color w:val="auto"/>
                <w:sz w:val="21"/>
                <w:szCs w:val="21"/>
              </w:rPr>
              <w:t>（3）分包合同上应包括有关环保考核目标和相应的奖惩条例。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0" w:type="pct"/>
            <w:tcBorders>
              <w:tl2br w:val="nil"/>
              <w:tr2bl w:val="nil"/>
            </w:tcBorders>
            <w:tcMar>
              <w:left w:w="28" w:type="dxa"/>
              <w:right w:w="28" w:type="dxa"/>
            </w:tcMar>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施工阶段</w:t>
            </w:r>
          </w:p>
        </w:tc>
        <w:tc>
          <w:tcPr>
            <w:tcW w:w="4250" w:type="pct"/>
            <w:tcBorders>
              <w:tl2br w:val="nil"/>
              <w:tr2bl w:val="nil"/>
            </w:tcBorders>
            <w:tcMar>
              <w:left w:w="28" w:type="dxa"/>
              <w:right w:w="28" w:type="dxa"/>
            </w:tcMar>
            <w:vAlign w:val="center"/>
          </w:tcPr>
          <w:p>
            <w:pPr>
              <w:spacing w:line="280" w:lineRule="exact"/>
              <w:ind w:firstLine="0" w:firstLineChars="0"/>
              <w:jc w:val="left"/>
              <w:rPr>
                <w:rFonts w:cs="Times New Roman"/>
                <w:color w:val="auto"/>
                <w:sz w:val="21"/>
                <w:szCs w:val="21"/>
              </w:rPr>
            </w:pPr>
            <w:r>
              <w:rPr>
                <w:rFonts w:cs="Times New Roman"/>
                <w:color w:val="auto"/>
                <w:sz w:val="21"/>
                <w:szCs w:val="21"/>
              </w:rPr>
              <w:t>（1）按环评报告书所提出的环保措施和建议制订施工期环境保护实施计划和管理办法，配备1名环保专职人员负责本项目的环保管理工作；</w:t>
            </w:r>
          </w:p>
          <w:p>
            <w:pPr>
              <w:spacing w:line="280" w:lineRule="exact"/>
              <w:ind w:firstLine="0" w:firstLineChars="0"/>
              <w:jc w:val="left"/>
              <w:rPr>
                <w:rFonts w:cs="Times New Roman"/>
                <w:color w:val="auto"/>
                <w:sz w:val="21"/>
                <w:szCs w:val="21"/>
              </w:rPr>
            </w:pPr>
            <w:r>
              <w:rPr>
                <w:rFonts w:cs="Times New Roman"/>
                <w:color w:val="auto"/>
                <w:sz w:val="21"/>
                <w:szCs w:val="21"/>
              </w:rPr>
              <w:t>（2）组织开展环境保护宣传、教育和培训工作，提高施工人员的环保意识和文明施工素质；</w:t>
            </w:r>
          </w:p>
          <w:p>
            <w:pPr>
              <w:spacing w:line="280" w:lineRule="exact"/>
              <w:ind w:firstLine="0" w:firstLineChars="0"/>
              <w:jc w:val="left"/>
              <w:rPr>
                <w:rFonts w:cs="Times New Roman"/>
                <w:color w:val="auto"/>
                <w:sz w:val="21"/>
                <w:szCs w:val="21"/>
              </w:rPr>
            </w:pPr>
            <w:r>
              <w:rPr>
                <w:rFonts w:cs="Times New Roman"/>
                <w:color w:val="auto"/>
                <w:sz w:val="21"/>
                <w:szCs w:val="21"/>
              </w:rPr>
              <w:t>（3）定期或不定期的对各施工点的环保措施执行情况进行监督检查，并形成相应的检查报告。</w:t>
            </w:r>
          </w:p>
          <w:p>
            <w:pPr>
              <w:spacing w:line="280" w:lineRule="exact"/>
              <w:ind w:firstLine="0" w:firstLineChars="0"/>
              <w:jc w:val="left"/>
              <w:rPr>
                <w:rFonts w:cs="Times New Roman"/>
                <w:color w:val="auto"/>
                <w:sz w:val="21"/>
                <w:szCs w:val="21"/>
              </w:rPr>
            </w:pPr>
            <w:r>
              <w:rPr>
                <w:rFonts w:cs="Times New Roman"/>
                <w:color w:val="auto"/>
                <w:sz w:val="21"/>
                <w:szCs w:val="21"/>
              </w:rPr>
              <w:t>（4）监督、检查环保措施的执行情况和环保交费的使用情况，保证各项施工能按“三同时”的原则执行，重点应放在各施工点扬尘、噪声、固废、水土流失的防治等。</w:t>
            </w:r>
          </w:p>
          <w:p>
            <w:pPr>
              <w:spacing w:line="280" w:lineRule="exact"/>
              <w:ind w:firstLine="0" w:firstLineChars="0"/>
              <w:jc w:val="left"/>
              <w:rPr>
                <w:rFonts w:cs="Times New Roman"/>
                <w:color w:val="auto"/>
                <w:sz w:val="21"/>
                <w:szCs w:val="21"/>
              </w:rPr>
            </w:pPr>
            <w:r>
              <w:rPr>
                <w:rFonts w:cs="Times New Roman"/>
                <w:color w:val="auto"/>
                <w:sz w:val="21"/>
                <w:szCs w:val="21"/>
              </w:rPr>
              <w:t>（5）负责施工中突发性污染施工的处理，并及时上报主管部门和其他有关单位；</w:t>
            </w:r>
          </w:p>
          <w:p>
            <w:pPr>
              <w:spacing w:line="280" w:lineRule="exact"/>
              <w:ind w:firstLine="0" w:firstLineChars="0"/>
              <w:jc w:val="left"/>
              <w:rPr>
                <w:rFonts w:cs="Times New Roman"/>
                <w:color w:val="auto"/>
                <w:sz w:val="21"/>
                <w:szCs w:val="21"/>
              </w:rPr>
            </w:pPr>
            <w:r>
              <w:rPr>
                <w:rFonts w:cs="Times New Roman"/>
                <w:color w:val="auto"/>
                <w:sz w:val="21"/>
                <w:szCs w:val="21"/>
              </w:rPr>
              <w:t>（6）在施工期结束后，组织全面检查工程环保措施落实和施工现场的环境恢复情况，监督施工单位及时撤出临时占地，拆除临时性设施。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0" w:type="pct"/>
            <w:tcBorders>
              <w:tl2br w:val="nil"/>
              <w:tr2bl w:val="nil"/>
            </w:tcBorders>
            <w:tcMar>
              <w:left w:w="28" w:type="dxa"/>
              <w:right w:w="28" w:type="dxa"/>
            </w:tcMar>
            <w:vAlign w:val="center"/>
          </w:tcPr>
          <w:p>
            <w:pPr>
              <w:spacing w:line="280" w:lineRule="exact"/>
              <w:ind w:firstLine="0" w:firstLineChars="0"/>
              <w:jc w:val="center"/>
              <w:rPr>
                <w:rFonts w:cs="Times New Roman"/>
                <w:color w:val="auto"/>
                <w:sz w:val="21"/>
                <w:szCs w:val="21"/>
              </w:rPr>
            </w:pPr>
            <w:r>
              <w:rPr>
                <w:rFonts w:cs="Times New Roman"/>
                <w:color w:val="auto"/>
                <w:sz w:val="21"/>
                <w:szCs w:val="21"/>
              </w:rPr>
              <w:t>施工完成</w:t>
            </w:r>
          </w:p>
          <w:p>
            <w:pPr>
              <w:spacing w:line="280" w:lineRule="exact"/>
              <w:ind w:firstLine="0" w:firstLineChars="0"/>
              <w:jc w:val="center"/>
              <w:rPr>
                <w:rFonts w:cs="Times New Roman"/>
                <w:color w:val="auto"/>
                <w:sz w:val="21"/>
                <w:szCs w:val="21"/>
              </w:rPr>
            </w:pPr>
            <w:r>
              <w:rPr>
                <w:rFonts w:cs="Times New Roman"/>
                <w:color w:val="auto"/>
                <w:sz w:val="21"/>
                <w:szCs w:val="21"/>
              </w:rPr>
              <w:t>阶段</w:t>
            </w:r>
          </w:p>
        </w:tc>
        <w:tc>
          <w:tcPr>
            <w:tcW w:w="4250" w:type="pct"/>
            <w:tcBorders>
              <w:tl2br w:val="nil"/>
              <w:tr2bl w:val="nil"/>
            </w:tcBorders>
            <w:tcMar>
              <w:left w:w="28" w:type="dxa"/>
              <w:right w:w="28" w:type="dxa"/>
            </w:tcMar>
            <w:vAlign w:val="center"/>
          </w:tcPr>
          <w:p>
            <w:pPr>
              <w:spacing w:line="280" w:lineRule="exact"/>
              <w:ind w:firstLine="0" w:firstLineChars="0"/>
              <w:jc w:val="left"/>
              <w:rPr>
                <w:rFonts w:cs="Times New Roman"/>
                <w:color w:val="auto"/>
                <w:sz w:val="21"/>
                <w:szCs w:val="21"/>
              </w:rPr>
            </w:pPr>
            <w:r>
              <w:rPr>
                <w:rFonts w:cs="Times New Roman"/>
                <w:color w:val="auto"/>
                <w:sz w:val="21"/>
                <w:szCs w:val="21"/>
              </w:rPr>
              <w:t>（1）施工完成阶段应重点对各类临时性占地的还原，及施工现场的清理进行监督检查。</w:t>
            </w:r>
          </w:p>
          <w:p>
            <w:pPr>
              <w:spacing w:line="280" w:lineRule="exact"/>
              <w:ind w:firstLine="0" w:firstLineChars="0"/>
              <w:jc w:val="left"/>
              <w:rPr>
                <w:rFonts w:cs="Times New Roman"/>
                <w:color w:val="auto"/>
                <w:sz w:val="21"/>
                <w:szCs w:val="21"/>
              </w:rPr>
            </w:pPr>
            <w:r>
              <w:rPr>
                <w:rFonts w:cs="Times New Roman"/>
                <w:color w:val="auto"/>
                <w:sz w:val="21"/>
                <w:szCs w:val="21"/>
              </w:rPr>
              <w:t>（2）建设单位应对合同中所定的各项环保条款进行完成和实施情况评估。</w:t>
            </w:r>
          </w:p>
          <w:p>
            <w:pPr>
              <w:spacing w:line="280" w:lineRule="exact"/>
              <w:ind w:firstLine="0" w:firstLineChars="0"/>
              <w:jc w:val="left"/>
              <w:rPr>
                <w:rFonts w:cs="Times New Roman"/>
                <w:color w:val="auto"/>
                <w:sz w:val="21"/>
                <w:szCs w:val="21"/>
              </w:rPr>
            </w:pPr>
            <w:r>
              <w:rPr>
                <w:rFonts w:cs="Times New Roman"/>
                <w:color w:val="auto"/>
                <w:sz w:val="21"/>
                <w:szCs w:val="21"/>
              </w:rPr>
              <w:t>（3）环保设施的竣工验收。</w:t>
            </w:r>
          </w:p>
        </w:tc>
      </w:tr>
    </w:tbl>
    <w:p>
      <w:pPr>
        <w:pStyle w:val="4"/>
        <w:numPr>
          <w:ilvl w:val="2"/>
          <w:numId w:val="0"/>
        </w:numPr>
        <w:snapToGrid w:val="0"/>
        <w:ind w:firstLine="480" w:firstLineChars="200"/>
        <w:rPr>
          <w:rFonts w:cs="Times New Roman"/>
          <w:color w:val="auto"/>
        </w:rPr>
      </w:pPr>
      <w:bookmarkStart w:id="112" w:name="_Toc142388399"/>
      <w:r>
        <w:rPr>
          <w:rFonts w:cs="Times New Roman"/>
          <w:color w:val="auto"/>
        </w:rPr>
        <w:t>9.1.4</w:t>
      </w:r>
      <w:r>
        <w:rPr>
          <w:rFonts w:hint="eastAsia" w:cs="Times New Roman"/>
          <w:color w:val="auto"/>
        </w:rPr>
        <w:t>施工中期环保设施检查清单</w:t>
      </w:r>
    </w:p>
    <w:p>
      <w:pPr>
        <w:snapToGrid w:val="0"/>
        <w:ind w:firstLine="480"/>
        <w:rPr>
          <w:rFonts w:cs="Times New Roman"/>
          <w:color w:val="auto"/>
        </w:rPr>
      </w:pPr>
      <w:r>
        <w:rPr>
          <w:rFonts w:hint="eastAsia" w:cs="Times New Roman"/>
          <w:color w:val="auto"/>
        </w:rPr>
        <w:t>本项目主要的不利环境影响发生在施工期，提出施工中期环保设施检查清单，便于施工单位具体落实和对照检查。</w:t>
      </w:r>
    </w:p>
    <w:p>
      <w:pPr>
        <w:pStyle w:val="7"/>
        <w:snapToGrid w:val="0"/>
        <w:spacing w:after="0" w:line="240" w:lineRule="auto"/>
        <w:ind w:firstLine="0" w:firstLineChars="0"/>
        <w:jc w:val="center"/>
        <w:rPr>
          <w:color w:val="auto"/>
        </w:rPr>
      </w:pPr>
      <w:r>
        <w:rPr>
          <w:rFonts w:cs="Times New Roman" w:eastAsiaTheme="minorEastAsia"/>
          <w:b/>
          <w:color w:val="auto"/>
        </w:rPr>
        <w:t xml:space="preserve">表9.1-2  </w:t>
      </w:r>
      <w:r>
        <w:rPr>
          <w:rFonts w:hint="eastAsia" w:cs="Times New Roman" w:eastAsiaTheme="minorEastAsia"/>
          <w:b/>
          <w:color w:val="auto"/>
        </w:rPr>
        <w:t>施工中期环保设施检查清单</w:t>
      </w:r>
    </w:p>
    <w:tbl>
      <w:tblPr>
        <w:tblStyle w:val="42"/>
        <w:tblW w:w="8963" w:type="dxa"/>
        <w:jc w:val="center"/>
        <w:tblLayout w:type="autofit"/>
        <w:tblCellMar>
          <w:top w:w="0" w:type="dxa"/>
          <w:left w:w="0" w:type="dxa"/>
          <w:bottom w:w="0" w:type="dxa"/>
          <w:right w:w="0" w:type="dxa"/>
        </w:tblCellMar>
      </w:tblPr>
      <w:tblGrid>
        <w:gridCol w:w="310"/>
        <w:gridCol w:w="1478"/>
        <w:gridCol w:w="7175"/>
      </w:tblGrid>
      <w:tr>
        <w:tblPrEx>
          <w:tblCellMar>
            <w:top w:w="0" w:type="dxa"/>
            <w:left w:w="0" w:type="dxa"/>
            <w:bottom w:w="0" w:type="dxa"/>
            <w:right w:w="0" w:type="dxa"/>
          </w:tblCellMar>
        </w:tblPrEx>
        <w:trPr>
          <w:tblHeader/>
          <w:jc w:val="center"/>
        </w:trPr>
        <w:tc>
          <w:tcPr>
            <w:tcW w:w="0" w:type="auto"/>
            <w:gridSpan w:val="2"/>
            <w:tcBorders>
              <w:top w:val="single" w:color="000000" w:sz="10" w:space="0"/>
              <w:left w:val="nil"/>
              <w:bottom w:val="single" w:color="000000" w:sz="12" w:space="0"/>
              <w:right w:val="single" w:color="000000" w:sz="4" w:space="0"/>
            </w:tcBorders>
            <w:vAlign w:val="center"/>
          </w:tcPr>
          <w:p>
            <w:pPr>
              <w:pStyle w:val="165"/>
              <w:kinsoku w:val="0"/>
              <w:overflowPunct w:val="0"/>
              <w:snapToGrid w:val="0"/>
              <w:spacing w:line="240" w:lineRule="auto"/>
              <w:ind w:firstLine="0" w:firstLineChars="0"/>
              <w:jc w:val="center"/>
              <w:rPr>
                <w:b/>
                <w:color w:val="auto"/>
              </w:rPr>
            </w:pPr>
            <w:r>
              <w:rPr>
                <w:rFonts w:hint="eastAsia"/>
                <w:b/>
                <w:color w:val="auto"/>
              </w:rPr>
              <w:t>类型</w:t>
            </w:r>
          </w:p>
        </w:tc>
        <w:tc>
          <w:tcPr>
            <w:tcW w:w="0" w:type="auto"/>
            <w:tcBorders>
              <w:top w:val="single" w:color="000000" w:sz="10" w:space="0"/>
              <w:left w:val="single" w:color="000000" w:sz="4" w:space="0"/>
              <w:bottom w:val="single" w:color="000000" w:sz="12" w:space="0"/>
              <w:right w:val="single" w:color="000000" w:sz="4" w:space="0"/>
            </w:tcBorders>
            <w:vAlign w:val="center"/>
          </w:tcPr>
          <w:p>
            <w:pPr>
              <w:pStyle w:val="165"/>
              <w:kinsoku w:val="0"/>
              <w:overflowPunct w:val="0"/>
              <w:snapToGrid w:val="0"/>
              <w:spacing w:line="240" w:lineRule="auto"/>
              <w:ind w:firstLine="0" w:firstLineChars="0"/>
              <w:jc w:val="center"/>
              <w:rPr>
                <w:b/>
                <w:color w:val="auto"/>
              </w:rPr>
            </w:pPr>
            <w:r>
              <w:rPr>
                <w:rFonts w:hint="eastAsia" w:ascii="宋体" w:cs="宋体"/>
                <w:b/>
                <w:color w:val="auto"/>
                <w:sz w:val="21"/>
                <w:szCs w:val="21"/>
              </w:rPr>
              <w:t>环境设施</w:t>
            </w:r>
          </w:p>
        </w:tc>
      </w:tr>
      <w:tr>
        <w:tblPrEx>
          <w:tblCellMar>
            <w:top w:w="0" w:type="dxa"/>
            <w:left w:w="0" w:type="dxa"/>
            <w:bottom w:w="0" w:type="dxa"/>
            <w:right w:w="0" w:type="dxa"/>
          </w:tblCellMar>
        </w:tblPrEx>
        <w:trPr>
          <w:jc w:val="center"/>
        </w:trPr>
        <w:tc>
          <w:tcPr>
            <w:tcW w:w="0" w:type="auto"/>
            <w:vMerge w:val="restart"/>
            <w:tcBorders>
              <w:top w:val="single" w:color="000000" w:sz="12"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废水</w:t>
            </w:r>
          </w:p>
        </w:tc>
        <w:tc>
          <w:tcPr>
            <w:tcW w:w="0" w:type="auto"/>
            <w:tcBorders>
              <w:top w:val="single" w:color="000000" w:sz="12"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机械和车辆维修保养冲洗废水</w:t>
            </w:r>
          </w:p>
        </w:tc>
        <w:tc>
          <w:tcPr>
            <w:tcW w:w="0" w:type="auto"/>
            <w:tcBorders>
              <w:top w:val="single" w:color="000000" w:sz="12" w:space="0"/>
              <w:left w:val="single" w:color="000000" w:sz="4" w:space="0"/>
              <w:bottom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隔油沉淀池</w:t>
            </w:r>
          </w:p>
        </w:tc>
      </w:tr>
      <w:tr>
        <w:tblPrEx>
          <w:tblCellMar>
            <w:top w:w="0" w:type="dxa"/>
            <w:left w:w="0" w:type="dxa"/>
            <w:bottom w:w="0" w:type="dxa"/>
            <w:right w:w="0" w:type="dxa"/>
          </w:tblCellMar>
        </w:tblPrEx>
        <w:trPr>
          <w:jc w:val="center"/>
        </w:trPr>
        <w:tc>
          <w:tcPr>
            <w:tcW w:w="0" w:type="auto"/>
            <w:vMerge w:val="continue"/>
            <w:tcBorders>
              <w:top w:val="single" w:color="000000" w:sz="10"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混凝土拌和冲洗、养护废水</w:t>
            </w:r>
          </w:p>
        </w:tc>
        <w:tc>
          <w:tcPr>
            <w:tcW w:w="0" w:type="auto"/>
            <w:tcBorders>
              <w:top w:val="single" w:color="000000" w:sz="4" w:space="0"/>
              <w:left w:val="single" w:color="000000" w:sz="4" w:space="0"/>
              <w:bottom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中和沉淀池</w:t>
            </w:r>
          </w:p>
        </w:tc>
      </w:tr>
      <w:tr>
        <w:tblPrEx>
          <w:tblCellMar>
            <w:top w:w="0" w:type="dxa"/>
            <w:left w:w="0" w:type="dxa"/>
            <w:bottom w:w="0" w:type="dxa"/>
            <w:right w:w="0" w:type="dxa"/>
          </w:tblCellMar>
        </w:tblPrEx>
        <w:trPr>
          <w:jc w:val="center"/>
        </w:trPr>
        <w:tc>
          <w:tcPr>
            <w:tcW w:w="0" w:type="auto"/>
            <w:vMerge w:val="continue"/>
            <w:tcBorders>
              <w:top w:val="single" w:color="000000" w:sz="10"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施工人员生活污水</w:t>
            </w:r>
          </w:p>
        </w:tc>
        <w:tc>
          <w:tcPr>
            <w:tcW w:w="0" w:type="auto"/>
            <w:tcBorders>
              <w:top w:val="single" w:color="000000" w:sz="4" w:space="0"/>
              <w:left w:val="single" w:color="000000" w:sz="4" w:space="0"/>
              <w:bottom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利用租赁民房处现有的厕所或者化粪池</w:t>
            </w:r>
          </w:p>
        </w:tc>
      </w:tr>
      <w:tr>
        <w:tblPrEx>
          <w:tblCellMar>
            <w:top w:w="0" w:type="dxa"/>
            <w:left w:w="0" w:type="dxa"/>
            <w:bottom w:w="0" w:type="dxa"/>
            <w:right w:w="0" w:type="dxa"/>
          </w:tblCellMar>
        </w:tblPrEx>
        <w:trPr>
          <w:jc w:val="center"/>
        </w:trPr>
        <w:tc>
          <w:tcPr>
            <w:tcW w:w="0" w:type="auto"/>
            <w:vMerge w:val="continue"/>
            <w:tcBorders>
              <w:top w:val="single" w:color="000000" w:sz="10"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基坑废水</w:t>
            </w:r>
          </w:p>
        </w:tc>
        <w:tc>
          <w:tcPr>
            <w:tcW w:w="0" w:type="auto"/>
            <w:tcBorders>
              <w:top w:val="single" w:color="000000" w:sz="4" w:space="0"/>
              <w:left w:val="single" w:color="000000" w:sz="4" w:space="0"/>
              <w:bottom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沉淀池</w:t>
            </w:r>
          </w:p>
        </w:tc>
      </w:tr>
      <w:tr>
        <w:tblPrEx>
          <w:tblCellMar>
            <w:top w:w="0" w:type="dxa"/>
            <w:left w:w="0" w:type="dxa"/>
            <w:bottom w:w="0" w:type="dxa"/>
            <w:right w:w="0" w:type="dxa"/>
          </w:tblCellMar>
        </w:tblPrEx>
        <w:trPr>
          <w:jc w:val="center"/>
        </w:trPr>
        <w:tc>
          <w:tcPr>
            <w:tcW w:w="0" w:type="auto"/>
            <w:vMerge w:val="restart"/>
            <w:tcBorders>
              <w:top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废气</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施工粉尘和堆场、道路扬尘</w:t>
            </w:r>
          </w:p>
        </w:tc>
        <w:tc>
          <w:tcPr>
            <w:tcW w:w="0" w:type="auto"/>
            <w:tcBorders>
              <w:top w:val="single" w:color="000000" w:sz="4" w:space="0"/>
              <w:left w:val="single" w:color="000000" w:sz="4" w:space="0"/>
              <w:bottom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pacing w:val="-2"/>
                <w:sz w:val="21"/>
                <w:szCs w:val="21"/>
              </w:rPr>
              <w:t>施工场地采取“围、盖、洒、洗”等措施；对混凝土拌</w:t>
            </w:r>
            <w:r>
              <w:rPr>
                <w:rFonts w:ascii="宋体" w:cs="宋体"/>
                <w:color w:val="auto"/>
                <w:spacing w:val="-49"/>
                <w:sz w:val="21"/>
                <w:szCs w:val="21"/>
              </w:rPr>
              <w:t xml:space="preserve"> </w:t>
            </w:r>
            <w:r>
              <w:rPr>
                <w:rFonts w:hint="eastAsia" w:ascii="宋体" w:cs="宋体"/>
                <w:color w:val="auto"/>
                <w:spacing w:val="-2"/>
                <w:sz w:val="21"/>
                <w:szCs w:val="21"/>
              </w:rPr>
              <w:t>和系统采用封闭、洒水、遮盖等降尘措施；采取洒水、围挡、遮盖措施；加强</w:t>
            </w:r>
            <w:r>
              <w:rPr>
                <w:rFonts w:ascii="宋体" w:cs="宋体"/>
                <w:color w:val="auto"/>
                <w:spacing w:val="-49"/>
                <w:sz w:val="21"/>
                <w:szCs w:val="21"/>
              </w:rPr>
              <w:t xml:space="preserve"> </w:t>
            </w:r>
            <w:r>
              <w:rPr>
                <w:rFonts w:hint="eastAsia" w:ascii="宋体" w:cs="宋体"/>
                <w:color w:val="auto"/>
                <w:spacing w:val="-2"/>
                <w:sz w:val="21"/>
                <w:szCs w:val="21"/>
              </w:rPr>
              <w:t>车辆管理，车身、轮胎冲</w:t>
            </w:r>
            <w:r>
              <w:rPr>
                <w:rFonts w:ascii="宋体" w:cs="宋体"/>
                <w:color w:val="auto"/>
                <w:spacing w:val="-49"/>
                <w:sz w:val="21"/>
                <w:szCs w:val="21"/>
              </w:rPr>
              <w:t xml:space="preserve"> </w:t>
            </w:r>
            <w:r>
              <w:rPr>
                <w:rFonts w:hint="eastAsia" w:ascii="宋体" w:cs="宋体"/>
                <w:color w:val="auto"/>
                <w:spacing w:val="-2"/>
                <w:sz w:val="21"/>
                <w:szCs w:val="21"/>
              </w:rPr>
              <w:t>洗设施</w:t>
            </w:r>
            <w:r>
              <w:rPr>
                <w:rFonts w:hint="eastAsia" w:ascii="宋体" w:cs="宋体"/>
                <w:color w:val="auto"/>
                <w:sz w:val="21"/>
                <w:szCs w:val="21"/>
              </w:rPr>
              <w:t>。</w:t>
            </w:r>
          </w:p>
        </w:tc>
      </w:tr>
      <w:tr>
        <w:tblPrEx>
          <w:tblCellMar>
            <w:top w:w="0" w:type="dxa"/>
            <w:left w:w="0" w:type="dxa"/>
            <w:bottom w:w="0" w:type="dxa"/>
            <w:right w:w="0" w:type="dxa"/>
          </w:tblCellMar>
        </w:tblPrEx>
        <w:trPr>
          <w:jc w:val="center"/>
        </w:trPr>
        <w:tc>
          <w:tcPr>
            <w:tcW w:w="0" w:type="auto"/>
            <w:vMerge w:val="continue"/>
            <w:tcBorders>
              <w:bottom w:val="single" w:color="auto"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0" w:type="auto"/>
            <w:tcBorders>
              <w:top w:val="single" w:color="000000" w:sz="4" w:space="0"/>
              <w:left w:val="single" w:color="000000" w:sz="4" w:space="0"/>
              <w:bottom w:val="single" w:color="auto"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施工机械燃油废气</w:t>
            </w:r>
          </w:p>
        </w:tc>
        <w:tc>
          <w:tcPr>
            <w:tcW w:w="0" w:type="auto"/>
            <w:tcBorders>
              <w:top w:val="single" w:color="000000" w:sz="4" w:space="0"/>
              <w:left w:val="single" w:color="000000" w:sz="4" w:space="0"/>
              <w:bottom w:val="single" w:color="000000" w:sz="10"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pacing w:val="-2"/>
                <w:sz w:val="21"/>
                <w:szCs w:val="21"/>
              </w:rPr>
              <w:t>燃油机械设备的维护和保养</w:t>
            </w:r>
          </w:p>
        </w:tc>
      </w:tr>
      <w:tr>
        <w:tblPrEx>
          <w:tblCellMar>
            <w:top w:w="0" w:type="dxa"/>
            <w:left w:w="0" w:type="dxa"/>
            <w:bottom w:w="0" w:type="dxa"/>
            <w:right w:w="0" w:type="dxa"/>
          </w:tblCellMar>
        </w:tblPrEx>
        <w:trPr>
          <w:jc w:val="center"/>
        </w:trPr>
        <w:tc>
          <w:tcPr>
            <w:tcW w:w="0" w:type="auto"/>
            <w:vMerge w:val="restart"/>
            <w:tcBorders>
              <w:top w:val="single" w:color="auto" w:sz="4" w:space="0"/>
              <w:right w:val="single" w:color="000000" w:sz="4" w:space="0"/>
            </w:tcBorders>
            <w:vAlign w:val="center"/>
          </w:tcPr>
          <w:p>
            <w:pPr>
              <w:pStyle w:val="165"/>
              <w:kinsoku w:val="0"/>
              <w:overflowPunct w:val="0"/>
              <w:snapToGrid w:val="0"/>
              <w:spacing w:line="240" w:lineRule="auto"/>
              <w:ind w:firstLine="0" w:firstLineChars="0"/>
              <w:jc w:val="center"/>
              <w:rPr>
                <w:rFonts w:hint="eastAsia" w:eastAsia="宋体"/>
                <w:color w:val="auto"/>
                <w:lang w:val="en-US" w:eastAsia="zh-CN"/>
              </w:rPr>
            </w:pPr>
            <w:r>
              <w:rPr>
                <w:rFonts w:hint="eastAsia" w:ascii="宋体" w:cs="宋体"/>
                <w:color w:val="auto"/>
                <w:sz w:val="21"/>
                <w:szCs w:val="21"/>
                <w:lang w:val="en-US" w:eastAsia="zh-CN"/>
              </w:rPr>
              <w:t>固废</w:t>
            </w:r>
          </w:p>
        </w:tc>
        <w:tc>
          <w:tcPr>
            <w:tcW w:w="0" w:type="auto"/>
            <w:tcBorders>
              <w:top w:val="single" w:color="auto"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废土石方</w:t>
            </w:r>
          </w:p>
        </w:tc>
        <w:tc>
          <w:tcPr>
            <w:tcW w:w="0" w:type="auto"/>
            <w:tcBorders>
              <w:top w:val="single" w:color="000000" w:sz="4" w:space="0"/>
              <w:left w:val="single" w:color="000000" w:sz="4" w:space="0"/>
              <w:bottom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用于场地平整回填</w:t>
            </w:r>
          </w:p>
        </w:tc>
      </w:tr>
      <w:tr>
        <w:tblPrEx>
          <w:tblCellMar>
            <w:top w:w="0" w:type="dxa"/>
            <w:left w:w="0" w:type="dxa"/>
            <w:bottom w:w="0" w:type="dxa"/>
            <w:right w:w="0" w:type="dxa"/>
          </w:tblCellMar>
        </w:tblPrEx>
        <w:trPr>
          <w:jc w:val="center"/>
        </w:trPr>
        <w:tc>
          <w:tcPr>
            <w:tcW w:w="0" w:type="auto"/>
            <w:vMerge w:val="continue"/>
            <w:tcBorders>
              <w:top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建筑垃圾</w:t>
            </w:r>
          </w:p>
        </w:tc>
        <w:tc>
          <w:tcPr>
            <w:tcW w:w="0" w:type="auto"/>
            <w:tcBorders>
              <w:top w:val="single" w:color="000000" w:sz="4" w:space="0"/>
              <w:left w:val="single" w:color="000000" w:sz="4" w:space="0"/>
              <w:bottom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建筑垃圾分类收集，可回收利用的交由物资回收单位回收再利用，</w:t>
            </w:r>
            <w:r>
              <w:rPr>
                <w:rFonts w:hint="eastAsia" w:ascii="宋体" w:cs="宋体"/>
                <w:color w:val="auto"/>
                <w:spacing w:val="-2"/>
                <w:sz w:val="21"/>
                <w:szCs w:val="21"/>
              </w:rPr>
              <w:t>不可回收利用的运送至</w:t>
            </w:r>
            <w:r>
              <w:rPr>
                <w:rFonts w:ascii="宋体" w:cs="宋体"/>
                <w:color w:val="auto"/>
                <w:spacing w:val="-49"/>
                <w:sz w:val="21"/>
                <w:szCs w:val="21"/>
              </w:rPr>
              <w:t xml:space="preserve"> </w:t>
            </w:r>
            <w:r>
              <w:rPr>
                <w:rFonts w:hint="eastAsia" w:ascii="宋体" w:cs="宋体"/>
                <w:color w:val="auto"/>
                <w:sz w:val="21"/>
                <w:szCs w:val="21"/>
              </w:rPr>
              <w:t>政府指定的建筑垃圾消纳场处置。</w:t>
            </w:r>
          </w:p>
        </w:tc>
      </w:tr>
      <w:tr>
        <w:tblPrEx>
          <w:tblCellMar>
            <w:top w:w="0" w:type="dxa"/>
            <w:left w:w="0" w:type="dxa"/>
            <w:bottom w:w="0" w:type="dxa"/>
            <w:right w:w="0" w:type="dxa"/>
          </w:tblCellMar>
        </w:tblPrEx>
        <w:trPr>
          <w:jc w:val="center"/>
        </w:trPr>
        <w:tc>
          <w:tcPr>
            <w:tcW w:w="0" w:type="auto"/>
            <w:vMerge w:val="continue"/>
            <w:tcBorders>
              <w:top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ascii="宋体" w:cs="宋体"/>
                <w:color w:val="auto"/>
                <w:sz w:val="21"/>
                <w:szCs w:val="21"/>
              </w:rPr>
            </w:pPr>
            <w:r>
              <w:rPr>
                <w:rFonts w:hint="eastAsia" w:ascii="宋体" w:cs="宋体"/>
                <w:color w:val="auto"/>
                <w:sz w:val="21"/>
                <w:szCs w:val="21"/>
              </w:rPr>
              <w:t>生活垃圾</w:t>
            </w:r>
          </w:p>
        </w:tc>
        <w:tc>
          <w:tcPr>
            <w:tcW w:w="0" w:type="auto"/>
            <w:tcBorders>
              <w:top w:val="single" w:color="000000" w:sz="4" w:space="0"/>
              <w:left w:val="single" w:color="000000" w:sz="4" w:space="0"/>
              <w:bottom w:val="single" w:color="000000" w:sz="4" w:space="0"/>
            </w:tcBorders>
            <w:vAlign w:val="center"/>
          </w:tcPr>
          <w:p>
            <w:pPr>
              <w:pStyle w:val="165"/>
              <w:kinsoku w:val="0"/>
              <w:overflowPunct w:val="0"/>
              <w:snapToGrid w:val="0"/>
              <w:spacing w:line="240" w:lineRule="auto"/>
              <w:ind w:firstLine="0" w:firstLineChars="0"/>
              <w:jc w:val="left"/>
              <w:rPr>
                <w:rFonts w:ascii="宋体" w:cs="宋体"/>
                <w:color w:val="auto"/>
                <w:sz w:val="21"/>
                <w:szCs w:val="21"/>
              </w:rPr>
            </w:pPr>
            <w:r>
              <w:rPr>
                <w:rFonts w:hint="eastAsia" w:ascii="宋体" w:cs="宋体"/>
                <w:color w:val="auto"/>
                <w:sz w:val="21"/>
                <w:szCs w:val="21"/>
              </w:rPr>
              <w:t>生活垃圾收集桶</w:t>
            </w:r>
          </w:p>
        </w:tc>
      </w:tr>
      <w:tr>
        <w:tblPrEx>
          <w:tblCellMar>
            <w:top w:w="0" w:type="dxa"/>
            <w:left w:w="0" w:type="dxa"/>
            <w:bottom w:w="0" w:type="dxa"/>
            <w:right w:w="0" w:type="dxa"/>
          </w:tblCellMar>
        </w:tblPrEx>
        <w:trPr>
          <w:jc w:val="center"/>
        </w:trPr>
        <w:tc>
          <w:tcPr>
            <w:tcW w:w="0" w:type="auto"/>
            <w:vMerge w:val="restart"/>
            <w:tcBorders>
              <w:top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噪声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设备噪声和运输车辆噪声</w:t>
            </w:r>
          </w:p>
        </w:tc>
        <w:tc>
          <w:tcPr>
            <w:tcW w:w="0" w:type="auto"/>
            <w:tcBorders>
              <w:top w:val="single" w:color="000000" w:sz="4" w:space="0"/>
              <w:left w:val="single" w:color="000000" w:sz="4" w:space="0"/>
              <w:bottom w:val="single" w:color="000000" w:sz="4" w:space="0"/>
            </w:tcBorders>
            <w:vAlign w:val="center"/>
          </w:tcPr>
          <w:p>
            <w:pPr>
              <w:pStyle w:val="165"/>
              <w:wordWrap w:val="0"/>
              <w:topLinePunct/>
              <w:autoSpaceDE w:val="0"/>
              <w:snapToGrid w:val="0"/>
              <w:spacing w:line="240" w:lineRule="auto"/>
              <w:ind w:firstLine="0" w:firstLineChars="0"/>
              <w:rPr>
                <w:color w:val="auto"/>
              </w:rPr>
            </w:pPr>
            <w:r>
              <w:rPr>
                <w:rFonts w:hint="eastAsia" w:ascii="宋体" w:cs="宋体"/>
                <w:color w:val="auto"/>
                <w:sz w:val="21"/>
                <w:szCs w:val="21"/>
              </w:rPr>
              <w:t>振动较大的固定机械设备应加装减震基座，同时应加强各类施工机械的维护和保养；</w:t>
            </w:r>
            <w:r>
              <w:rPr>
                <w:rFonts w:hint="eastAsia" w:ascii="宋体" w:cs="宋体"/>
                <w:color w:val="auto"/>
                <w:spacing w:val="-5"/>
                <w:sz w:val="21"/>
                <w:szCs w:val="21"/>
              </w:rPr>
              <w:t>夜间禁止施工；</w:t>
            </w:r>
            <w:r>
              <w:rPr>
                <w:rFonts w:hint="eastAsia" w:ascii="宋体" w:cs="宋体"/>
                <w:color w:val="auto"/>
                <w:sz w:val="21"/>
                <w:szCs w:val="21"/>
              </w:rPr>
              <w:t>限速行驶，禁止高音鸣号。</w:t>
            </w:r>
          </w:p>
        </w:tc>
      </w:tr>
      <w:tr>
        <w:tblPrEx>
          <w:tblCellMar>
            <w:top w:w="0" w:type="dxa"/>
            <w:left w:w="0" w:type="dxa"/>
            <w:bottom w:w="0" w:type="dxa"/>
            <w:right w:w="0" w:type="dxa"/>
          </w:tblCellMar>
        </w:tblPrEx>
        <w:trPr>
          <w:jc w:val="center"/>
        </w:trPr>
        <w:tc>
          <w:tcPr>
            <w:tcW w:w="0" w:type="auto"/>
            <w:vMerge w:val="continue"/>
            <w:tcBorders>
              <w:top w:val="single" w:color="000000" w:sz="4" w:space="0"/>
              <w:bottom w:val="single" w:color="000000" w:sz="12"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0" w:type="auto"/>
            <w:tcBorders>
              <w:top w:val="single" w:color="000000" w:sz="4" w:space="0"/>
              <w:left w:val="single" w:color="000000" w:sz="4" w:space="0"/>
              <w:bottom w:val="single" w:color="000000" w:sz="12"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敏感点</w:t>
            </w:r>
          </w:p>
        </w:tc>
        <w:tc>
          <w:tcPr>
            <w:tcW w:w="0" w:type="auto"/>
            <w:tcBorders>
              <w:top w:val="single" w:color="000000" w:sz="4" w:space="0"/>
              <w:left w:val="single" w:color="000000" w:sz="4" w:space="0"/>
              <w:bottom w:val="single" w:color="000000" w:sz="12"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在敏感点前设置</w:t>
            </w:r>
            <w:r>
              <w:rPr>
                <w:rFonts w:hint="eastAsia" w:ascii="宋体" w:cs="宋体"/>
                <w:color w:val="auto"/>
                <w:spacing w:val="-2"/>
                <w:sz w:val="21"/>
                <w:szCs w:val="21"/>
              </w:rPr>
              <w:t>限速标志，控制车速，并禁止鸣笛，同时尽量避免</w:t>
            </w:r>
            <w:r>
              <w:rPr>
                <w:rFonts w:hint="eastAsia" w:ascii="宋体" w:cs="宋体"/>
                <w:color w:val="auto"/>
                <w:spacing w:val="-4"/>
                <w:sz w:val="21"/>
                <w:szCs w:val="21"/>
              </w:rPr>
              <w:t>居民午休时间及夜间进行运输活动；施工现场四周应设置</w:t>
            </w:r>
            <w:r>
              <w:rPr>
                <w:color w:val="auto"/>
                <w:spacing w:val="-4"/>
                <w:sz w:val="21"/>
                <w:szCs w:val="21"/>
              </w:rPr>
              <w:t>2~3m</w:t>
            </w:r>
            <w:r>
              <w:rPr>
                <w:rFonts w:hint="eastAsia" w:ascii="宋体" w:cs="宋体"/>
                <w:color w:val="auto"/>
                <w:spacing w:val="-4"/>
                <w:sz w:val="21"/>
                <w:szCs w:val="21"/>
              </w:rPr>
              <w:t>高围</w:t>
            </w:r>
            <w:r>
              <w:rPr>
                <w:rFonts w:hint="eastAsia" w:ascii="宋体" w:cs="宋体"/>
                <w:color w:val="auto"/>
                <w:sz w:val="21"/>
                <w:szCs w:val="21"/>
              </w:rPr>
              <w:t>挡。</w:t>
            </w:r>
          </w:p>
        </w:tc>
      </w:tr>
    </w:tbl>
    <w:p>
      <w:pPr>
        <w:pStyle w:val="3"/>
        <w:numPr>
          <w:ilvl w:val="1"/>
          <w:numId w:val="0"/>
        </w:numPr>
        <w:ind w:firstLine="560" w:firstLineChars="200"/>
        <w:rPr>
          <w:rFonts w:cs="Times New Roman"/>
          <w:b w:val="0"/>
          <w:color w:val="auto"/>
        </w:rPr>
      </w:pPr>
      <w:r>
        <w:rPr>
          <w:rFonts w:cs="Times New Roman"/>
          <w:b w:val="0"/>
          <w:color w:val="auto"/>
        </w:rPr>
        <w:t>9.2环境监测计划</w:t>
      </w:r>
      <w:bookmarkEnd w:id="112"/>
    </w:p>
    <w:p>
      <w:pPr>
        <w:snapToGrid w:val="0"/>
        <w:ind w:firstLine="480"/>
        <w:rPr>
          <w:rFonts w:cs="Times New Roman"/>
          <w:color w:val="auto"/>
        </w:rPr>
      </w:pPr>
      <w:r>
        <w:rPr>
          <w:rFonts w:cs="Times New Roman"/>
          <w:color w:val="auto"/>
        </w:rPr>
        <w:t>环境监测计划是指项目在施工期、运营期对工程主要污染对象进行的环境样品、化验、数据处理以及编制报告，为环境管理部门强化环境管理，编制环保计划，制定污染防治对象，提供科学依据。</w:t>
      </w:r>
    </w:p>
    <w:p>
      <w:pPr>
        <w:pStyle w:val="4"/>
        <w:numPr>
          <w:ilvl w:val="2"/>
          <w:numId w:val="0"/>
        </w:numPr>
        <w:snapToGrid w:val="0"/>
        <w:ind w:firstLine="480" w:firstLineChars="200"/>
        <w:rPr>
          <w:rFonts w:cs="Times New Roman"/>
          <w:color w:val="auto"/>
        </w:rPr>
      </w:pPr>
      <w:r>
        <w:rPr>
          <w:rFonts w:cs="Times New Roman"/>
          <w:color w:val="auto"/>
        </w:rPr>
        <w:t>9.2.1施工期环境监测</w:t>
      </w:r>
    </w:p>
    <w:p>
      <w:pPr>
        <w:ind w:firstLine="480"/>
        <w:rPr>
          <w:rFonts w:cs="Times New Roman"/>
          <w:color w:val="auto"/>
        </w:rPr>
      </w:pPr>
      <w:r>
        <w:rPr>
          <w:rFonts w:cs="Times New Roman"/>
          <w:color w:val="auto"/>
        </w:rPr>
        <w:t>本项目施工期环境监测计划见表9.2-1。</w:t>
      </w:r>
    </w:p>
    <w:p>
      <w:pPr>
        <w:snapToGrid w:val="0"/>
        <w:spacing w:line="240" w:lineRule="auto"/>
        <w:ind w:firstLine="0" w:firstLineChars="0"/>
        <w:jc w:val="center"/>
        <w:rPr>
          <w:rFonts w:cs="Times New Roman" w:eastAsiaTheme="minorEastAsia"/>
          <w:b/>
          <w:color w:val="auto"/>
        </w:rPr>
      </w:pPr>
      <w:r>
        <w:rPr>
          <w:rFonts w:cs="Times New Roman" w:eastAsiaTheme="minorEastAsia"/>
          <w:b/>
          <w:color w:val="auto"/>
        </w:rPr>
        <w:t>表9.2-1  施工期环境监测计划一览表</w:t>
      </w:r>
    </w:p>
    <w:tbl>
      <w:tblPr>
        <w:tblStyle w:val="4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1576"/>
        <w:gridCol w:w="1655"/>
        <w:gridCol w:w="1391"/>
        <w:gridCol w:w="2801"/>
        <w:gridCol w:w="1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22" w:type="pct"/>
            <w:gridSpan w:val="2"/>
            <w:tcBorders>
              <w:top w:val="single" w:color="auto" w:sz="12" w:space="0"/>
              <w:bottom w:val="single" w:color="auto" w:sz="12" w:space="0"/>
            </w:tcBorders>
            <w:vAlign w:val="center"/>
          </w:tcPr>
          <w:p>
            <w:pPr>
              <w:snapToGrid w:val="0"/>
              <w:spacing w:line="240" w:lineRule="auto"/>
              <w:ind w:firstLine="0" w:firstLineChars="0"/>
              <w:jc w:val="center"/>
              <w:rPr>
                <w:rFonts w:cs="Times New Roman"/>
                <w:b/>
                <w:color w:val="auto"/>
                <w:sz w:val="21"/>
                <w:szCs w:val="21"/>
              </w:rPr>
            </w:pPr>
            <w:r>
              <w:rPr>
                <w:rFonts w:cs="Times New Roman"/>
                <w:b/>
                <w:color w:val="auto"/>
                <w:sz w:val="21"/>
                <w:szCs w:val="21"/>
              </w:rPr>
              <w:t>监测项目</w:t>
            </w:r>
          </w:p>
        </w:tc>
        <w:tc>
          <w:tcPr>
            <w:tcW w:w="902" w:type="pct"/>
            <w:tcBorders>
              <w:top w:val="single" w:color="auto" w:sz="12" w:space="0"/>
              <w:bottom w:val="single" w:color="auto" w:sz="12" w:space="0"/>
            </w:tcBorders>
            <w:vAlign w:val="center"/>
          </w:tcPr>
          <w:p>
            <w:pPr>
              <w:snapToGrid w:val="0"/>
              <w:spacing w:line="240" w:lineRule="auto"/>
              <w:ind w:firstLine="0" w:firstLineChars="0"/>
              <w:jc w:val="center"/>
              <w:rPr>
                <w:rFonts w:cs="Times New Roman"/>
                <w:b/>
                <w:color w:val="auto"/>
                <w:sz w:val="21"/>
                <w:szCs w:val="21"/>
              </w:rPr>
            </w:pPr>
            <w:r>
              <w:rPr>
                <w:rFonts w:cs="Times New Roman"/>
                <w:b/>
                <w:color w:val="auto"/>
                <w:sz w:val="21"/>
                <w:szCs w:val="21"/>
              </w:rPr>
              <w:t>监测点位</w:t>
            </w:r>
          </w:p>
        </w:tc>
        <w:tc>
          <w:tcPr>
            <w:tcW w:w="758" w:type="pct"/>
            <w:tcBorders>
              <w:top w:val="single" w:color="auto" w:sz="12" w:space="0"/>
              <w:bottom w:val="single" w:color="auto" w:sz="12" w:space="0"/>
            </w:tcBorders>
            <w:vAlign w:val="center"/>
          </w:tcPr>
          <w:p>
            <w:pPr>
              <w:snapToGrid w:val="0"/>
              <w:spacing w:line="240" w:lineRule="auto"/>
              <w:ind w:firstLine="0" w:firstLineChars="0"/>
              <w:jc w:val="center"/>
              <w:rPr>
                <w:rFonts w:cs="Times New Roman"/>
                <w:b/>
                <w:color w:val="auto"/>
                <w:sz w:val="21"/>
                <w:szCs w:val="21"/>
              </w:rPr>
            </w:pPr>
            <w:r>
              <w:rPr>
                <w:rFonts w:cs="Times New Roman"/>
                <w:b/>
                <w:color w:val="auto"/>
                <w:sz w:val="21"/>
                <w:szCs w:val="21"/>
              </w:rPr>
              <w:t>监测因子</w:t>
            </w:r>
          </w:p>
        </w:tc>
        <w:tc>
          <w:tcPr>
            <w:tcW w:w="1526" w:type="pct"/>
            <w:tcBorders>
              <w:top w:val="single" w:color="auto" w:sz="12" w:space="0"/>
              <w:bottom w:val="single" w:color="auto" w:sz="12" w:space="0"/>
            </w:tcBorders>
            <w:vAlign w:val="center"/>
          </w:tcPr>
          <w:p>
            <w:pPr>
              <w:snapToGrid w:val="0"/>
              <w:spacing w:line="240" w:lineRule="auto"/>
              <w:ind w:firstLine="0" w:firstLineChars="0"/>
              <w:jc w:val="center"/>
              <w:rPr>
                <w:rFonts w:cs="Times New Roman"/>
                <w:b/>
                <w:color w:val="auto"/>
                <w:sz w:val="21"/>
                <w:szCs w:val="21"/>
              </w:rPr>
            </w:pPr>
            <w:r>
              <w:rPr>
                <w:rFonts w:cs="Times New Roman"/>
                <w:b/>
                <w:color w:val="auto"/>
                <w:sz w:val="21"/>
                <w:szCs w:val="21"/>
              </w:rPr>
              <w:t>监测频次</w:t>
            </w:r>
          </w:p>
        </w:tc>
        <w:tc>
          <w:tcPr>
            <w:tcW w:w="691" w:type="pct"/>
            <w:tcBorders>
              <w:top w:val="single" w:color="auto" w:sz="12" w:space="0"/>
              <w:bottom w:val="single" w:color="auto" w:sz="12" w:space="0"/>
            </w:tcBorders>
            <w:vAlign w:val="center"/>
          </w:tcPr>
          <w:p>
            <w:pPr>
              <w:snapToGrid w:val="0"/>
              <w:spacing w:line="240" w:lineRule="auto"/>
              <w:ind w:firstLine="0" w:firstLineChars="0"/>
              <w:jc w:val="center"/>
              <w:rPr>
                <w:rFonts w:cs="Times New Roman"/>
                <w:b/>
                <w:color w:val="auto"/>
                <w:sz w:val="21"/>
                <w:szCs w:val="21"/>
              </w:rPr>
            </w:pPr>
            <w:r>
              <w:rPr>
                <w:rFonts w:cs="Times New Roman"/>
                <w:b/>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63" w:type="pct"/>
            <w:vMerge w:val="restart"/>
            <w:tcBorders>
              <w:top w:val="single" w:color="auto" w:sz="12"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废水</w:t>
            </w:r>
          </w:p>
        </w:tc>
        <w:tc>
          <w:tcPr>
            <w:tcW w:w="858" w:type="pct"/>
            <w:tcBorders>
              <w:top w:val="single" w:color="auto" w:sz="12"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基坑废水</w:t>
            </w:r>
          </w:p>
        </w:tc>
        <w:tc>
          <w:tcPr>
            <w:tcW w:w="902" w:type="pct"/>
            <w:tcBorders>
              <w:top w:val="single" w:color="auto" w:sz="12"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基坑排水口</w:t>
            </w:r>
          </w:p>
        </w:tc>
        <w:tc>
          <w:tcPr>
            <w:tcW w:w="758" w:type="pct"/>
            <w:tcBorders>
              <w:top w:val="single" w:color="auto" w:sz="12"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pH、SS、流量</w:t>
            </w:r>
          </w:p>
        </w:tc>
        <w:tc>
          <w:tcPr>
            <w:tcW w:w="1526" w:type="pct"/>
            <w:tcBorders>
              <w:top w:val="single" w:color="auto" w:sz="12"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基坑废水排放期间</w:t>
            </w:r>
          </w:p>
          <w:p>
            <w:pPr>
              <w:snapToGrid w:val="0"/>
              <w:spacing w:line="240" w:lineRule="auto"/>
              <w:ind w:firstLine="0" w:firstLineChars="0"/>
              <w:jc w:val="center"/>
              <w:rPr>
                <w:rFonts w:cs="Times New Roman"/>
                <w:color w:val="auto"/>
                <w:sz w:val="21"/>
                <w:szCs w:val="21"/>
              </w:rPr>
            </w:pPr>
            <w:r>
              <w:rPr>
                <w:rFonts w:cs="Times New Roman"/>
                <w:color w:val="auto"/>
                <w:sz w:val="21"/>
                <w:szCs w:val="21"/>
              </w:rPr>
              <w:t>监测一次</w:t>
            </w:r>
          </w:p>
        </w:tc>
        <w:tc>
          <w:tcPr>
            <w:tcW w:w="691" w:type="pct"/>
            <w:vMerge w:val="restart"/>
            <w:tcBorders>
              <w:top w:val="single" w:color="auto" w:sz="12" w:space="0"/>
            </w:tcBorders>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监测废水处理后回用水达标情况和废水处理效果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63" w:type="pct"/>
            <w:vMerge w:val="continue"/>
            <w:vAlign w:val="center"/>
          </w:tcPr>
          <w:p>
            <w:pPr>
              <w:snapToGrid w:val="0"/>
              <w:spacing w:line="240" w:lineRule="auto"/>
              <w:ind w:firstLine="0" w:firstLineChars="0"/>
              <w:jc w:val="center"/>
              <w:rPr>
                <w:rFonts w:cs="Times New Roman"/>
                <w:color w:val="auto"/>
                <w:sz w:val="21"/>
                <w:szCs w:val="21"/>
              </w:rPr>
            </w:pPr>
          </w:p>
        </w:tc>
        <w:tc>
          <w:tcPr>
            <w:tcW w:w="858"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施工生活区机械停放场冲洗废水</w:t>
            </w:r>
          </w:p>
        </w:tc>
        <w:tc>
          <w:tcPr>
            <w:tcW w:w="902"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施工生活区机械停放场冲洗废水排放口</w:t>
            </w:r>
          </w:p>
        </w:tc>
        <w:tc>
          <w:tcPr>
            <w:tcW w:w="758"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pH、SS、石油类</w:t>
            </w:r>
          </w:p>
        </w:tc>
        <w:tc>
          <w:tcPr>
            <w:tcW w:w="1526"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每</w:t>
            </w:r>
            <w:r>
              <w:rPr>
                <w:rFonts w:hint="eastAsia" w:cs="Times New Roman"/>
                <w:color w:val="auto"/>
                <w:sz w:val="21"/>
                <w:szCs w:val="21"/>
              </w:rPr>
              <w:t>季度</w:t>
            </w:r>
            <w:r>
              <w:rPr>
                <w:rFonts w:cs="Times New Roman"/>
                <w:color w:val="auto"/>
                <w:sz w:val="21"/>
                <w:szCs w:val="21"/>
              </w:rPr>
              <w:t>监测一次</w:t>
            </w:r>
          </w:p>
        </w:tc>
        <w:tc>
          <w:tcPr>
            <w:tcW w:w="691" w:type="pct"/>
            <w:vMerge w:val="continue"/>
            <w:vAlign w:val="center"/>
          </w:tcPr>
          <w:p>
            <w:pPr>
              <w:snapToGrid w:val="0"/>
              <w:spacing w:line="240" w:lineRule="auto"/>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废气</w:t>
            </w:r>
          </w:p>
        </w:tc>
        <w:tc>
          <w:tcPr>
            <w:tcW w:w="858"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施工扬尘</w:t>
            </w:r>
          </w:p>
        </w:tc>
        <w:tc>
          <w:tcPr>
            <w:tcW w:w="902"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在每个施工区设</w:t>
            </w:r>
            <w:r>
              <w:rPr>
                <w:rFonts w:hint="eastAsia" w:cs="Times New Roman"/>
                <w:color w:val="auto"/>
                <w:sz w:val="21"/>
                <w:szCs w:val="21"/>
              </w:rPr>
              <w:t>上下风向各</w:t>
            </w:r>
            <w:r>
              <w:rPr>
                <w:rFonts w:cs="Times New Roman"/>
                <w:color w:val="auto"/>
                <w:sz w:val="21"/>
                <w:szCs w:val="21"/>
              </w:rPr>
              <w:t>1个监测点</w:t>
            </w:r>
          </w:p>
        </w:tc>
        <w:tc>
          <w:tcPr>
            <w:tcW w:w="758"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TSP、PM</w:t>
            </w:r>
            <w:r>
              <w:rPr>
                <w:rFonts w:cs="Times New Roman"/>
                <w:color w:val="auto"/>
                <w:sz w:val="21"/>
                <w:szCs w:val="21"/>
                <w:vertAlign w:val="subscript"/>
              </w:rPr>
              <w:t>10</w:t>
            </w:r>
            <w:r>
              <w:rPr>
                <w:rFonts w:cs="Times New Roman"/>
                <w:color w:val="auto"/>
                <w:sz w:val="21"/>
                <w:szCs w:val="21"/>
              </w:rPr>
              <w:t>、PM</w:t>
            </w:r>
            <w:r>
              <w:rPr>
                <w:rFonts w:cs="Times New Roman"/>
                <w:color w:val="auto"/>
                <w:sz w:val="21"/>
                <w:szCs w:val="21"/>
                <w:vertAlign w:val="subscript"/>
              </w:rPr>
              <w:t>2.5</w:t>
            </w:r>
          </w:p>
        </w:tc>
        <w:tc>
          <w:tcPr>
            <w:tcW w:w="1526"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废气监测采用非连续性监测，</w:t>
            </w:r>
            <w:r>
              <w:rPr>
                <w:rFonts w:hint="eastAsia" w:cs="Times New Roman"/>
                <w:color w:val="auto"/>
                <w:sz w:val="21"/>
                <w:szCs w:val="21"/>
              </w:rPr>
              <w:t>每季度施工高峰期进行监测</w:t>
            </w:r>
            <w:r>
              <w:rPr>
                <w:rFonts w:cs="Times New Roman"/>
                <w:color w:val="auto"/>
                <w:sz w:val="21"/>
                <w:szCs w:val="21"/>
              </w:rPr>
              <w:t>，共监测4次</w:t>
            </w:r>
          </w:p>
        </w:tc>
        <w:tc>
          <w:tcPr>
            <w:tcW w:w="691" w:type="pct"/>
            <w:vAlign w:val="center"/>
          </w:tcPr>
          <w:p>
            <w:pPr>
              <w:snapToGrid w:val="0"/>
              <w:spacing w:line="240" w:lineRule="auto"/>
              <w:ind w:firstLine="0" w:firstLineChars="0"/>
              <w:jc w:val="center"/>
              <w:rPr>
                <w:rFonts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噪声</w:t>
            </w:r>
          </w:p>
        </w:tc>
        <w:tc>
          <w:tcPr>
            <w:tcW w:w="858"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施工噪声</w:t>
            </w:r>
          </w:p>
        </w:tc>
        <w:tc>
          <w:tcPr>
            <w:tcW w:w="902"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施工场地边界</w:t>
            </w:r>
            <w:r>
              <w:rPr>
                <w:rFonts w:hint="eastAsia" w:cs="Times New Roman"/>
                <w:color w:val="auto"/>
                <w:sz w:val="21"/>
                <w:szCs w:val="21"/>
              </w:rPr>
              <w:t>及敏感点</w:t>
            </w:r>
          </w:p>
        </w:tc>
        <w:tc>
          <w:tcPr>
            <w:tcW w:w="758"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等效连续A声级</w:t>
            </w:r>
          </w:p>
        </w:tc>
        <w:tc>
          <w:tcPr>
            <w:tcW w:w="1526" w:type="pct"/>
            <w:vAlign w:val="center"/>
          </w:tcPr>
          <w:p>
            <w:pPr>
              <w:snapToGrid w:val="0"/>
              <w:spacing w:line="240" w:lineRule="auto"/>
              <w:ind w:firstLine="0" w:firstLineChars="0"/>
              <w:jc w:val="center"/>
              <w:rPr>
                <w:rFonts w:cs="Times New Roman"/>
                <w:color w:val="auto"/>
                <w:sz w:val="21"/>
                <w:szCs w:val="21"/>
              </w:rPr>
            </w:pPr>
            <w:r>
              <w:rPr>
                <w:rFonts w:cs="Times New Roman"/>
                <w:color w:val="auto"/>
                <w:sz w:val="21"/>
                <w:szCs w:val="21"/>
              </w:rPr>
              <w:t>监测频次：一次/季度，每次连续监测2天，昼夜各1次。</w:t>
            </w:r>
          </w:p>
        </w:tc>
        <w:tc>
          <w:tcPr>
            <w:tcW w:w="691" w:type="pct"/>
            <w:vAlign w:val="center"/>
          </w:tcPr>
          <w:p>
            <w:pPr>
              <w:snapToGrid w:val="0"/>
              <w:spacing w:line="240" w:lineRule="auto"/>
              <w:ind w:firstLine="0" w:firstLineChars="0"/>
              <w:jc w:val="center"/>
              <w:rPr>
                <w:rFonts w:cs="Times New Roman"/>
                <w:color w:val="auto"/>
                <w:sz w:val="21"/>
                <w:szCs w:val="21"/>
              </w:rPr>
            </w:pPr>
          </w:p>
        </w:tc>
      </w:tr>
    </w:tbl>
    <w:p>
      <w:pPr>
        <w:pStyle w:val="4"/>
        <w:numPr>
          <w:ilvl w:val="2"/>
          <w:numId w:val="0"/>
        </w:numPr>
        <w:snapToGrid w:val="0"/>
        <w:ind w:firstLine="480" w:firstLineChars="200"/>
        <w:rPr>
          <w:rFonts w:cs="Times New Roman"/>
          <w:color w:val="auto"/>
        </w:rPr>
      </w:pPr>
      <w:r>
        <w:rPr>
          <w:rFonts w:cs="Times New Roman"/>
          <w:color w:val="auto"/>
        </w:rPr>
        <w:t>9.2.2运营期环境监测</w:t>
      </w:r>
    </w:p>
    <w:p>
      <w:pPr>
        <w:snapToGrid w:val="0"/>
        <w:ind w:firstLine="480"/>
        <w:rPr>
          <w:rFonts w:cs="Times New Roman"/>
          <w:color w:val="auto"/>
        </w:rPr>
      </w:pPr>
      <w:r>
        <w:rPr>
          <w:rFonts w:cs="Times New Roman"/>
          <w:color w:val="auto"/>
        </w:rPr>
        <w:t>运营期可不开展</w:t>
      </w:r>
      <w:r>
        <w:rPr>
          <w:rFonts w:hint="eastAsia" w:cs="Times New Roman"/>
          <w:color w:val="auto"/>
        </w:rPr>
        <w:t>环境</w:t>
      </w:r>
      <w:r>
        <w:rPr>
          <w:rFonts w:cs="Times New Roman"/>
          <w:color w:val="auto"/>
        </w:rPr>
        <w:t>监测。</w:t>
      </w:r>
    </w:p>
    <w:p>
      <w:pPr>
        <w:pStyle w:val="3"/>
        <w:numPr>
          <w:ilvl w:val="1"/>
          <w:numId w:val="0"/>
        </w:numPr>
        <w:ind w:firstLine="560" w:firstLineChars="200"/>
        <w:rPr>
          <w:rFonts w:cs="Times New Roman"/>
          <w:b w:val="0"/>
          <w:color w:val="auto"/>
        </w:rPr>
      </w:pPr>
      <w:bookmarkStart w:id="113" w:name="_Toc142388400"/>
      <w:r>
        <w:rPr>
          <w:rFonts w:cs="Times New Roman"/>
          <w:b w:val="0"/>
          <w:color w:val="auto"/>
        </w:rPr>
        <w:t>9.3建设项目竣工环境保护验收内容</w:t>
      </w:r>
      <w:bookmarkEnd w:id="113"/>
    </w:p>
    <w:p>
      <w:pPr>
        <w:snapToGrid w:val="0"/>
        <w:ind w:firstLine="480"/>
        <w:rPr>
          <w:rFonts w:cs="Times New Roman"/>
          <w:color w:val="auto"/>
        </w:rPr>
      </w:pPr>
      <w:r>
        <w:rPr>
          <w:rFonts w:cs="Times New Roman"/>
          <w:color w:val="auto"/>
        </w:rPr>
        <w:t>根据《建设项目竣工环境保护验收暂行办法》（国环规环评[2017]4号）、《建设项目竣工环境保护验收技术规范——生态影响类》（HJ/T394-2007）、《建设项目环境保护管理条例》（中华人民共和国国务院令第682号，2017年10月1日实施）第十七条，编制环境影响报告书、环境影响报告表的建设项目竣工后，建设单位应当按照国务院环境保护行政主管部门规定的标准和程序，对配套建设的环境保护设施进行验收，编制验收报告。</w:t>
      </w:r>
    </w:p>
    <w:p>
      <w:pPr>
        <w:snapToGrid w:val="0"/>
        <w:ind w:firstLine="480"/>
        <w:rPr>
          <w:rFonts w:cs="Times New Roman"/>
          <w:color w:val="auto"/>
        </w:rPr>
      </w:pPr>
      <w:r>
        <w:rPr>
          <w:rFonts w:cs="Times New Roman"/>
          <w:color w:val="auto"/>
        </w:rPr>
        <w:t>本项目竣工后由建设单位组织竣工环境保护验收。</w:t>
      </w:r>
    </w:p>
    <w:p>
      <w:pPr>
        <w:pStyle w:val="3"/>
        <w:numPr>
          <w:ilvl w:val="1"/>
          <w:numId w:val="0"/>
        </w:numPr>
        <w:ind w:firstLine="560" w:firstLineChars="200"/>
        <w:rPr>
          <w:rFonts w:cs="Times New Roman"/>
          <w:b w:val="0"/>
          <w:color w:val="auto"/>
        </w:rPr>
      </w:pPr>
      <w:bookmarkStart w:id="114" w:name="_Toc142388401"/>
      <w:r>
        <w:rPr>
          <w:rFonts w:cs="Times New Roman"/>
          <w:b w:val="0"/>
          <w:color w:val="auto"/>
        </w:rPr>
        <w:t>9.4环境保护“三同时”验收一览表</w:t>
      </w:r>
      <w:bookmarkEnd w:id="114"/>
    </w:p>
    <w:p>
      <w:pPr>
        <w:snapToGrid w:val="0"/>
        <w:ind w:firstLine="480"/>
        <w:rPr>
          <w:rFonts w:cs="Times New Roman"/>
          <w:color w:val="auto"/>
        </w:rPr>
      </w:pPr>
      <w:r>
        <w:rPr>
          <w:rFonts w:cs="Times New Roman"/>
          <w:color w:val="auto"/>
        </w:rPr>
        <w:t>依据建设项目环境管理办法，环境保护设施必须与主体工程同时设计、同时施工、同时投入使用。本项目竣工环保验收“三同时”内容见表9.4-1。</w:t>
      </w:r>
    </w:p>
    <w:p>
      <w:pPr>
        <w:pStyle w:val="25"/>
        <w:overflowPunct w:val="0"/>
        <w:topLinePunct/>
        <w:autoSpaceDE w:val="0"/>
        <w:autoSpaceDN w:val="0"/>
        <w:spacing w:line="440" w:lineRule="exact"/>
        <w:ind w:firstLine="480"/>
        <w:jc w:val="center"/>
        <w:rPr>
          <w:rFonts w:eastAsia="黑体" w:cs="Times New Roman"/>
          <w:color w:val="auto"/>
          <w:sz w:val="24"/>
          <w:szCs w:val="24"/>
        </w:rPr>
        <w:sectPr>
          <w:pgSz w:w="11906" w:h="16838"/>
          <w:pgMar w:top="1417" w:right="1531" w:bottom="1417" w:left="1417" w:header="850" w:footer="850" w:gutter="0"/>
          <w:pgBorders>
            <w:top w:val="none" w:sz="0" w:space="0"/>
            <w:left w:val="none" w:sz="0" w:space="0"/>
            <w:bottom w:val="none" w:sz="0" w:space="0"/>
            <w:right w:val="none" w:sz="0" w:space="0"/>
          </w:pgBorders>
          <w:cols w:space="0" w:num="1"/>
          <w:docGrid w:type="lines" w:linePitch="400" w:charSpace="0"/>
        </w:sectPr>
      </w:pPr>
    </w:p>
    <w:p>
      <w:pPr>
        <w:snapToGrid w:val="0"/>
        <w:spacing w:line="240" w:lineRule="auto"/>
        <w:ind w:firstLine="0" w:firstLineChars="0"/>
        <w:jc w:val="center"/>
        <w:rPr>
          <w:rFonts w:cs="Times New Roman" w:eastAsiaTheme="minorEastAsia"/>
          <w:b/>
          <w:color w:val="auto"/>
        </w:rPr>
      </w:pPr>
      <w:r>
        <w:rPr>
          <w:rFonts w:cs="Times New Roman" w:eastAsiaTheme="minorEastAsia"/>
          <w:b/>
          <w:color w:val="auto"/>
        </w:rPr>
        <w:t>表9.4-1  项目环境保护“三同时”验收一览表</w:t>
      </w:r>
    </w:p>
    <w:tbl>
      <w:tblPr>
        <w:tblStyle w:val="42"/>
        <w:tblW w:w="0" w:type="auto"/>
        <w:jc w:val="center"/>
        <w:tblLayout w:type="fixed"/>
        <w:tblCellMar>
          <w:top w:w="0" w:type="dxa"/>
          <w:left w:w="0" w:type="dxa"/>
          <w:bottom w:w="0" w:type="dxa"/>
          <w:right w:w="0" w:type="dxa"/>
        </w:tblCellMar>
      </w:tblPr>
      <w:tblGrid>
        <w:gridCol w:w="877"/>
        <w:gridCol w:w="926"/>
        <w:gridCol w:w="2174"/>
        <w:gridCol w:w="6318"/>
        <w:gridCol w:w="2744"/>
      </w:tblGrid>
      <w:tr>
        <w:tblPrEx>
          <w:tblCellMar>
            <w:top w:w="0" w:type="dxa"/>
            <w:left w:w="0" w:type="dxa"/>
            <w:bottom w:w="0" w:type="dxa"/>
            <w:right w:w="0" w:type="dxa"/>
          </w:tblCellMar>
        </w:tblPrEx>
        <w:trPr>
          <w:tblHeader/>
          <w:jc w:val="center"/>
        </w:trPr>
        <w:tc>
          <w:tcPr>
            <w:tcW w:w="3977" w:type="dxa"/>
            <w:gridSpan w:val="3"/>
            <w:tcBorders>
              <w:top w:val="single" w:color="000000" w:sz="10" w:space="0"/>
              <w:left w:val="nil"/>
              <w:bottom w:val="single" w:color="000000" w:sz="12" w:space="0"/>
              <w:right w:val="single" w:color="000000" w:sz="4" w:space="0"/>
            </w:tcBorders>
            <w:vAlign w:val="center"/>
          </w:tcPr>
          <w:p>
            <w:pPr>
              <w:pStyle w:val="165"/>
              <w:kinsoku w:val="0"/>
              <w:overflowPunct w:val="0"/>
              <w:snapToGrid w:val="0"/>
              <w:spacing w:line="240" w:lineRule="auto"/>
              <w:ind w:firstLine="0" w:firstLineChars="0"/>
              <w:jc w:val="center"/>
              <w:rPr>
                <w:b/>
                <w:color w:val="auto"/>
              </w:rPr>
            </w:pPr>
            <w:r>
              <w:rPr>
                <w:rFonts w:hint="eastAsia" w:ascii="宋体" w:cs="宋体"/>
                <w:b/>
                <w:color w:val="auto"/>
                <w:sz w:val="21"/>
                <w:szCs w:val="21"/>
              </w:rPr>
              <w:t>分项、污染物</w:t>
            </w:r>
          </w:p>
        </w:tc>
        <w:tc>
          <w:tcPr>
            <w:tcW w:w="6318" w:type="dxa"/>
            <w:tcBorders>
              <w:top w:val="single" w:color="000000" w:sz="10" w:space="0"/>
              <w:left w:val="single" w:color="000000" w:sz="4" w:space="0"/>
              <w:bottom w:val="single" w:color="000000" w:sz="12" w:space="0"/>
              <w:right w:val="single" w:color="000000" w:sz="4" w:space="0"/>
            </w:tcBorders>
            <w:vAlign w:val="center"/>
          </w:tcPr>
          <w:p>
            <w:pPr>
              <w:pStyle w:val="165"/>
              <w:kinsoku w:val="0"/>
              <w:overflowPunct w:val="0"/>
              <w:snapToGrid w:val="0"/>
              <w:spacing w:line="240" w:lineRule="auto"/>
              <w:ind w:firstLine="0" w:firstLineChars="0"/>
              <w:jc w:val="center"/>
              <w:rPr>
                <w:b/>
                <w:color w:val="auto"/>
              </w:rPr>
            </w:pPr>
            <w:r>
              <w:rPr>
                <w:rFonts w:hint="eastAsia" w:ascii="宋体" w:cs="宋体"/>
                <w:b/>
                <w:color w:val="auto"/>
                <w:sz w:val="21"/>
                <w:szCs w:val="21"/>
              </w:rPr>
              <w:t>环境保护措施</w:t>
            </w:r>
          </w:p>
        </w:tc>
        <w:tc>
          <w:tcPr>
            <w:tcW w:w="2744" w:type="dxa"/>
            <w:tcBorders>
              <w:top w:val="single" w:color="000000" w:sz="10" w:space="0"/>
              <w:left w:val="single" w:color="000000" w:sz="4" w:space="0"/>
              <w:bottom w:val="single" w:color="000000" w:sz="12" w:space="0"/>
              <w:right w:val="nil"/>
            </w:tcBorders>
            <w:vAlign w:val="center"/>
          </w:tcPr>
          <w:p>
            <w:pPr>
              <w:pStyle w:val="165"/>
              <w:kinsoku w:val="0"/>
              <w:overflowPunct w:val="0"/>
              <w:snapToGrid w:val="0"/>
              <w:spacing w:line="240" w:lineRule="auto"/>
              <w:ind w:firstLine="0" w:firstLineChars="0"/>
              <w:jc w:val="center"/>
              <w:rPr>
                <w:b/>
                <w:color w:val="auto"/>
              </w:rPr>
            </w:pPr>
            <w:r>
              <w:rPr>
                <w:rFonts w:hint="eastAsia"/>
                <w:b/>
                <w:color w:val="auto"/>
              </w:rPr>
              <w:t>验收标准</w:t>
            </w:r>
          </w:p>
        </w:tc>
      </w:tr>
      <w:tr>
        <w:tblPrEx>
          <w:tblCellMar>
            <w:top w:w="0" w:type="dxa"/>
            <w:left w:w="0" w:type="dxa"/>
            <w:bottom w:w="0" w:type="dxa"/>
            <w:right w:w="0" w:type="dxa"/>
          </w:tblCellMar>
        </w:tblPrEx>
        <w:trPr>
          <w:tblHeader/>
          <w:jc w:val="center"/>
        </w:trPr>
        <w:tc>
          <w:tcPr>
            <w:tcW w:w="877" w:type="dxa"/>
            <w:vMerge w:val="restart"/>
            <w:tcBorders>
              <w:top w:val="single" w:color="000000" w:sz="12" w:space="0"/>
              <w:left w:val="nil"/>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施工期污染治理措施</w:t>
            </w:r>
          </w:p>
        </w:tc>
        <w:tc>
          <w:tcPr>
            <w:tcW w:w="926" w:type="dxa"/>
            <w:vMerge w:val="restart"/>
            <w:tcBorders>
              <w:top w:val="single" w:color="000000" w:sz="12"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废水</w:t>
            </w:r>
          </w:p>
        </w:tc>
        <w:tc>
          <w:tcPr>
            <w:tcW w:w="2174" w:type="dxa"/>
            <w:tcBorders>
              <w:top w:val="single" w:color="000000" w:sz="12"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机械和车辆维修保养冲洗废水</w:t>
            </w:r>
          </w:p>
        </w:tc>
        <w:tc>
          <w:tcPr>
            <w:tcW w:w="6318" w:type="dxa"/>
            <w:tcBorders>
              <w:top w:val="single" w:color="000000" w:sz="12"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经隔油池和沉淀池处理后，回用于施工现场车辆冲洗，不外排。</w:t>
            </w:r>
          </w:p>
        </w:tc>
        <w:tc>
          <w:tcPr>
            <w:tcW w:w="2744" w:type="dxa"/>
            <w:tcBorders>
              <w:top w:val="single" w:color="000000" w:sz="12" w:space="0"/>
              <w:left w:val="single" w:color="000000"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不外排</w:t>
            </w:r>
          </w:p>
        </w:tc>
      </w:tr>
      <w:tr>
        <w:tblPrEx>
          <w:tblCellMar>
            <w:top w:w="0" w:type="dxa"/>
            <w:left w:w="0" w:type="dxa"/>
            <w:bottom w:w="0" w:type="dxa"/>
            <w:right w:w="0" w:type="dxa"/>
          </w:tblCellMar>
        </w:tblPrEx>
        <w:trPr>
          <w:tblHeader/>
          <w:jc w:val="center"/>
        </w:trPr>
        <w:tc>
          <w:tcPr>
            <w:tcW w:w="877" w:type="dxa"/>
            <w:vMerge w:val="continue"/>
            <w:tcBorders>
              <w:left w:val="nil"/>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926" w:type="dxa"/>
            <w:vMerge w:val="continue"/>
            <w:tcBorders>
              <w:top w:val="single" w:color="000000" w:sz="10"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混凝土拌和冲洗、养护废水</w:t>
            </w:r>
          </w:p>
        </w:tc>
        <w:tc>
          <w:tcPr>
            <w:tcW w:w="6318"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废水中和后，经沉淀后用于施工现场回用于生产过程，废水不外排。</w:t>
            </w:r>
          </w:p>
        </w:tc>
        <w:tc>
          <w:tcPr>
            <w:tcW w:w="2744" w:type="dxa"/>
            <w:tcBorders>
              <w:top w:val="single" w:color="000000" w:sz="4" w:space="0"/>
              <w:left w:val="single" w:color="000000"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不外排</w:t>
            </w:r>
          </w:p>
        </w:tc>
      </w:tr>
      <w:tr>
        <w:tblPrEx>
          <w:tblCellMar>
            <w:top w:w="0" w:type="dxa"/>
            <w:left w:w="0" w:type="dxa"/>
            <w:bottom w:w="0" w:type="dxa"/>
            <w:right w:w="0" w:type="dxa"/>
          </w:tblCellMar>
        </w:tblPrEx>
        <w:trPr>
          <w:tblHeader/>
          <w:jc w:val="center"/>
        </w:trPr>
        <w:tc>
          <w:tcPr>
            <w:tcW w:w="877" w:type="dxa"/>
            <w:vMerge w:val="continue"/>
            <w:tcBorders>
              <w:left w:val="nil"/>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926" w:type="dxa"/>
            <w:vMerge w:val="continue"/>
            <w:tcBorders>
              <w:top w:val="single" w:color="000000" w:sz="10"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施工人员生活污水</w:t>
            </w:r>
          </w:p>
        </w:tc>
        <w:tc>
          <w:tcPr>
            <w:tcW w:w="6318"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利用租赁民房处现有的厕所或者化粪池收集处理，定期清运肥田，不外排。</w:t>
            </w:r>
          </w:p>
        </w:tc>
        <w:tc>
          <w:tcPr>
            <w:tcW w:w="2744" w:type="dxa"/>
            <w:tcBorders>
              <w:top w:val="single" w:color="000000" w:sz="4" w:space="0"/>
              <w:left w:val="single" w:color="000000"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不外排</w:t>
            </w:r>
          </w:p>
        </w:tc>
      </w:tr>
      <w:tr>
        <w:tblPrEx>
          <w:tblCellMar>
            <w:top w:w="0" w:type="dxa"/>
            <w:left w:w="0" w:type="dxa"/>
            <w:bottom w:w="0" w:type="dxa"/>
            <w:right w:w="0" w:type="dxa"/>
          </w:tblCellMar>
        </w:tblPrEx>
        <w:trPr>
          <w:tblHeader/>
          <w:jc w:val="center"/>
        </w:trPr>
        <w:tc>
          <w:tcPr>
            <w:tcW w:w="877" w:type="dxa"/>
            <w:vMerge w:val="continue"/>
            <w:tcBorders>
              <w:left w:val="nil"/>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926" w:type="dxa"/>
            <w:vMerge w:val="continue"/>
            <w:tcBorders>
              <w:top w:val="single" w:color="000000" w:sz="10"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基坑废水</w:t>
            </w:r>
          </w:p>
        </w:tc>
        <w:tc>
          <w:tcPr>
            <w:tcW w:w="6318"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经沉淀处理后洒水降尘，不外排。</w:t>
            </w:r>
          </w:p>
        </w:tc>
        <w:tc>
          <w:tcPr>
            <w:tcW w:w="2744" w:type="dxa"/>
            <w:tcBorders>
              <w:top w:val="single" w:color="000000" w:sz="4" w:space="0"/>
              <w:left w:val="single" w:color="000000"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不外排</w:t>
            </w:r>
          </w:p>
        </w:tc>
      </w:tr>
      <w:tr>
        <w:tblPrEx>
          <w:tblCellMar>
            <w:top w:w="0" w:type="dxa"/>
            <w:left w:w="0" w:type="dxa"/>
            <w:bottom w:w="0" w:type="dxa"/>
            <w:right w:w="0" w:type="dxa"/>
          </w:tblCellMar>
        </w:tblPrEx>
        <w:trPr>
          <w:tblHeader/>
          <w:jc w:val="center"/>
        </w:trPr>
        <w:tc>
          <w:tcPr>
            <w:tcW w:w="877" w:type="dxa"/>
            <w:vMerge w:val="continue"/>
            <w:tcBorders>
              <w:left w:val="nil"/>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926" w:type="dxa"/>
            <w:vMerge w:val="restart"/>
            <w:tcBorders>
              <w:top w:val="single" w:color="000000" w:sz="4" w:space="0"/>
              <w:left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废气</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施工粉尘和堆场、道路扬尘</w:t>
            </w:r>
          </w:p>
        </w:tc>
        <w:tc>
          <w:tcPr>
            <w:tcW w:w="6318"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left"/>
              <w:rPr>
                <w:rFonts w:ascii="宋体" w:cs="宋体"/>
                <w:color w:val="auto"/>
                <w:sz w:val="21"/>
                <w:szCs w:val="21"/>
              </w:rPr>
            </w:pPr>
            <w:r>
              <w:rPr>
                <w:rFonts w:hint="eastAsia" w:ascii="宋体" w:cs="宋体"/>
                <w:color w:val="auto"/>
                <w:sz w:val="21"/>
                <w:szCs w:val="21"/>
              </w:rPr>
              <w:t>严格落实道路保洁规定，严控工地扬尘，严格渣土车管理，加强工</w:t>
            </w:r>
          </w:p>
          <w:p>
            <w:pPr>
              <w:pStyle w:val="165"/>
              <w:kinsoku w:val="0"/>
              <w:overflowPunct w:val="0"/>
              <w:snapToGrid w:val="0"/>
              <w:spacing w:line="240" w:lineRule="auto"/>
              <w:ind w:firstLine="0" w:firstLineChars="0"/>
              <w:jc w:val="left"/>
              <w:rPr>
                <w:color w:val="auto"/>
              </w:rPr>
            </w:pPr>
            <w:r>
              <w:rPr>
                <w:rFonts w:hint="eastAsia" w:ascii="宋体" w:cs="宋体"/>
                <w:color w:val="auto"/>
                <w:spacing w:val="-2"/>
                <w:sz w:val="21"/>
                <w:szCs w:val="21"/>
              </w:rPr>
              <w:t>地在线监管，施工场地采取“围、盖、洒、洗”等措施，严禁敞开</w:t>
            </w:r>
            <w:r>
              <w:rPr>
                <w:rFonts w:ascii="宋体" w:cs="宋体"/>
                <w:color w:val="auto"/>
                <w:spacing w:val="-49"/>
                <w:sz w:val="21"/>
                <w:szCs w:val="21"/>
              </w:rPr>
              <w:t xml:space="preserve"> </w:t>
            </w:r>
            <w:r>
              <w:rPr>
                <w:rFonts w:hint="eastAsia" w:ascii="宋体" w:cs="宋体"/>
                <w:color w:val="auto"/>
                <w:spacing w:val="-2"/>
                <w:sz w:val="21"/>
                <w:szCs w:val="21"/>
              </w:rPr>
              <w:t>式作业；高粉尘作业应尽可能布置于远离周边居民区的地区，对混凝土拌</w:t>
            </w:r>
            <w:r>
              <w:rPr>
                <w:rFonts w:ascii="宋体" w:cs="宋体"/>
                <w:color w:val="auto"/>
                <w:spacing w:val="-49"/>
                <w:sz w:val="21"/>
                <w:szCs w:val="21"/>
              </w:rPr>
              <w:t xml:space="preserve"> </w:t>
            </w:r>
            <w:r>
              <w:rPr>
                <w:rFonts w:hint="eastAsia" w:ascii="宋体" w:cs="宋体"/>
                <w:color w:val="auto"/>
                <w:spacing w:val="-2"/>
                <w:sz w:val="21"/>
                <w:szCs w:val="21"/>
              </w:rPr>
              <w:t>和系统采用封闭、洒水、遮盖等降尘措施；在开挖和填筑较集中的</w:t>
            </w:r>
            <w:r>
              <w:rPr>
                <w:rFonts w:ascii="宋体" w:cs="宋体"/>
                <w:color w:val="auto"/>
                <w:spacing w:val="-49"/>
                <w:sz w:val="21"/>
                <w:szCs w:val="21"/>
              </w:rPr>
              <w:t xml:space="preserve"> </w:t>
            </w:r>
            <w:r>
              <w:rPr>
                <w:rFonts w:hint="eastAsia" w:ascii="宋体" w:cs="宋体"/>
                <w:color w:val="auto"/>
                <w:spacing w:val="-2"/>
                <w:sz w:val="21"/>
                <w:szCs w:val="21"/>
              </w:rPr>
              <w:t>程区、物料堆场等地，非雨日采取洒水、围挡、遮盖措施；加强</w:t>
            </w:r>
            <w:r>
              <w:rPr>
                <w:rFonts w:ascii="宋体" w:cs="宋体"/>
                <w:color w:val="auto"/>
                <w:spacing w:val="-49"/>
                <w:sz w:val="21"/>
                <w:szCs w:val="21"/>
              </w:rPr>
              <w:t xml:space="preserve"> </w:t>
            </w:r>
            <w:r>
              <w:rPr>
                <w:rFonts w:hint="eastAsia" w:ascii="宋体" w:cs="宋体"/>
                <w:color w:val="auto"/>
                <w:spacing w:val="-2"/>
                <w:sz w:val="21"/>
                <w:szCs w:val="21"/>
              </w:rPr>
              <w:t>车辆管理，土方运输车、底泥清运车上路前必须进行车身、轮胎冲</w:t>
            </w:r>
            <w:r>
              <w:rPr>
                <w:rFonts w:ascii="宋体" w:cs="宋体"/>
                <w:color w:val="auto"/>
                <w:spacing w:val="-49"/>
                <w:sz w:val="21"/>
                <w:szCs w:val="21"/>
              </w:rPr>
              <w:t xml:space="preserve"> </w:t>
            </w:r>
            <w:r>
              <w:rPr>
                <w:rFonts w:hint="eastAsia" w:ascii="宋体" w:cs="宋体"/>
                <w:color w:val="auto"/>
                <w:spacing w:val="-2"/>
                <w:sz w:val="21"/>
                <w:szCs w:val="21"/>
              </w:rPr>
              <w:t>洗；合理优化施工时间，加强对居民集中区域附近的施工区域的监督检查。加强与敏感目标单位和个人的沟通，在施工前应在相关居</w:t>
            </w:r>
            <w:r>
              <w:rPr>
                <w:rFonts w:ascii="宋体" w:cs="宋体"/>
                <w:color w:val="auto"/>
                <w:spacing w:val="-49"/>
                <w:sz w:val="21"/>
                <w:szCs w:val="21"/>
              </w:rPr>
              <w:t xml:space="preserve"> </w:t>
            </w:r>
            <w:r>
              <w:rPr>
                <w:rFonts w:hint="eastAsia" w:ascii="宋体" w:cs="宋体"/>
                <w:color w:val="auto"/>
                <w:spacing w:val="-2"/>
                <w:sz w:val="21"/>
                <w:szCs w:val="21"/>
              </w:rPr>
              <w:t>民区和村委会内张贴公示，标明投诉电话等联系方式，及时处理各</w:t>
            </w:r>
            <w:r>
              <w:rPr>
                <w:rFonts w:ascii="宋体" w:cs="宋体"/>
                <w:color w:val="auto"/>
                <w:spacing w:val="-49"/>
                <w:sz w:val="21"/>
                <w:szCs w:val="21"/>
              </w:rPr>
              <w:t xml:space="preserve"> </w:t>
            </w:r>
            <w:r>
              <w:rPr>
                <w:rFonts w:hint="eastAsia" w:ascii="宋体" w:cs="宋体"/>
                <w:color w:val="auto"/>
                <w:sz w:val="21"/>
                <w:szCs w:val="21"/>
              </w:rPr>
              <w:t>种纠纷，争取获得周边居民的谅解。</w:t>
            </w:r>
          </w:p>
        </w:tc>
        <w:tc>
          <w:tcPr>
            <w:tcW w:w="2744" w:type="dxa"/>
            <w:vMerge w:val="restart"/>
            <w:tcBorders>
              <w:top w:val="single" w:color="000000" w:sz="4" w:space="0"/>
              <w:left w:val="single" w:color="000000" w:sz="4" w:space="0"/>
              <w:right w:val="nil"/>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满足《大气污染物综合排放标</w:t>
            </w:r>
            <w:r>
              <w:rPr>
                <w:rFonts w:hint="eastAsia" w:ascii="宋体" w:cs="宋体"/>
                <w:color w:val="auto"/>
                <w:spacing w:val="-1"/>
                <w:sz w:val="21"/>
                <w:szCs w:val="21"/>
              </w:rPr>
              <w:t>准》（</w:t>
            </w:r>
            <w:r>
              <w:rPr>
                <w:color w:val="auto"/>
                <w:spacing w:val="-1"/>
                <w:sz w:val="21"/>
                <w:szCs w:val="21"/>
              </w:rPr>
              <w:t>GB16297-1996</w:t>
            </w:r>
            <w:r>
              <w:rPr>
                <w:rFonts w:hint="eastAsia" w:ascii="宋体" w:cs="宋体"/>
                <w:color w:val="auto"/>
                <w:spacing w:val="-1"/>
                <w:sz w:val="21"/>
                <w:szCs w:val="21"/>
              </w:rPr>
              <w:t>）表</w:t>
            </w:r>
            <w:r>
              <w:rPr>
                <w:color w:val="auto"/>
                <w:spacing w:val="-1"/>
                <w:sz w:val="21"/>
                <w:szCs w:val="21"/>
              </w:rPr>
              <w:t>2</w:t>
            </w:r>
            <w:r>
              <w:rPr>
                <w:rFonts w:hint="eastAsia" w:ascii="宋体" w:cs="宋体"/>
                <w:color w:val="auto"/>
                <w:spacing w:val="-1"/>
                <w:sz w:val="21"/>
                <w:szCs w:val="21"/>
              </w:rPr>
              <w:t>无组</w:t>
            </w:r>
            <w:r>
              <w:rPr>
                <w:rFonts w:ascii="宋体" w:cs="宋体"/>
                <w:color w:val="auto"/>
                <w:spacing w:val="-92"/>
                <w:sz w:val="21"/>
                <w:szCs w:val="21"/>
              </w:rPr>
              <w:t xml:space="preserve"> </w:t>
            </w:r>
            <w:r>
              <w:rPr>
                <w:rFonts w:hint="eastAsia" w:ascii="宋体" w:cs="宋体"/>
                <w:color w:val="auto"/>
                <w:sz w:val="21"/>
                <w:szCs w:val="21"/>
              </w:rPr>
              <w:t>织排放限值要求，不会对环境造成影响</w:t>
            </w:r>
          </w:p>
        </w:tc>
      </w:tr>
      <w:tr>
        <w:tblPrEx>
          <w:tblCellMar>
            <w:top w:w="0" w:type="dxa"/>
            <w:left w:w="0" w:type="dxa"/>
            <w:bottom w:w="0" w:type="dxa"/>
            <w:right w:w="0" w:type="dxa"/>
          </w:tblCellMar>
        </w:tblPrEx>
        <w:trPr>
          <w:tblHeader/>
          <w:jc w:val="center"/>
        </w:trPr>
        <w:tc>
          <w:tcPr>
            <w:tcW w:w="877" w:type="dxa"/>
            <w:vMerge w:val="continue"/>
            <w:tcBorders>
              <w:left w:val="nil"/>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926" w:type="dxa"/>
            <w:vMerge w:val="continue"/>
            <w:tcBorders>
              <w:left w:val="single" w:color="000000" w:sz="4" w:space="0"/>
              <w:bottom w:val="single" w:color="auto"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2174" w:type="dxa"/>
            <w:tcBorders>
              <w:top w:val="single" w:color="000000" w:sz="4" w:space="0"/>
              <w:left w:val="single" w:color="000000" w:sz="4" w:space="0"/>
              <w:bottom w:val="single" w:color="auto"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施工机械燃油废气</w:t>
            </w:r>
          </w:p>
        </w:tc>
        <w:tc>
          <w:tcPr>
            <w:tcW w:w="6318"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left"/>
              <w:rPr>
                <w:rFonts w:ascii="宋体" w:cs="宋体"/>
                <w:color w:val="auto"/>
                <w:sz w:val="21"/>
                <w:szCs w:val="21"/>
              </w:rPr>
            </w:pPr>
            <w:r>
              <w:rPr>
                <w:rFonts w:hint="eastAsia" w:ascii="宋体" w:cs="宋体"/>
                <w:color w:val="auto"/>
                <w:sz w:val="21"/>
                <w:szCs w:val="21"/>
              </w:rPr>
              <w:t>①运输车辆和以燃油为动力的施工机械应使用合格燃料，严禁使用</w:t>
            </w:r>
          </w:p>
          <w:p>
            <w:pPr>
              <w:pStyle w:val="165"/>
              <w:kinsoku w:val="0"/>
              <w:overflowPunct w:val="0"/>
              <w:snapToGrid w:val="0"/>
              <w:spacing w:line="240" w:lineRule="auto"/>
              <w:ind w:firstLine="0" w:firstLineChars="0"/>
              <w:jc w:val="left"/>
              <w:rPr>
                <w:color w:val="auto"/>
              </w:rPr>
            </w:pPr>
            <w:r>
              <w:rPr>
                <w:rFonts w:hint="eastAsia" w:ascii="宋体" w:cs="宋体"/>
                <w:color w:val="auto"/>
                <w:spacing w:val="-2"/>
                <w:sz w:val="21"/>
                <w:szCs w:val="21"/>
              </w:rPr>
              <w:t>劣质燃油，选用清洁油品，降低燃油废气中污染物的含量，同时合</w:t>
            </w:r>
            <w:r>
              <w:rPr>
                <w:rFonts w:ascii="宋体" w:cs="宋体"/>
                <w:color w:val="auto"/>
                <w:spacing w:val="-49"/>
                <w:sz w:val="21"/>
                <w:szCs w:val="21"/>
              </w:rPr>
              <w:t xml:space="preserve"> </w:t>
            </w:r>
            <w:r>
              <w:rPr>
                <w:rFonts w:hint="eastAsia" w:ascii="宋体" w:cs="宋体"/>
                <w:color w:val="auto"/>
                <w:spacing w:val="-2"/>
                <w:sz w:val="21"/>
                <w:szCs w:val="21"/>
              </w:rPr>
              <w:t>理布置运输车辆行驶路线，保证行使速度，减少怠速时间，以减少</w:t>
            </w:r>
            <w:r>
              <w:rPr>
                <w:rFonts w:ascii="宋体" w:cs="宋体"/>
                <w:color w:val="auto"/>
                <w:spacing w:val="-49"/>
                <w:sz w:val="21"/>
                <w:szCs w:val="21"/>
              </w:rPr>
              <w:t xml:space="preserve"> </w:t>
            </w:r>
            <w:r>
              <w:rPr>
                <w:rFonts w:hint="eastAsia" w:ascii="宋体" w:cs="宋体"/>
                <w:color w:val="auto"/>
                <w:sz w:val="21"/>
                <w:szCs w:val="21"/>
              </w:rPr>
              <w:t>机动车尾气的排放。</w:t>
            </w:r>
            <w:r>
              <w:rPr>
                <w:rFonts w:hint="eastAsia" w:ascii="宋体" w:cs="宋体"/>
                <w:color w:val="auto"/>
                <w:spacing w:val="-2"/>
                <w:sz w:val="21"/>
                <w:szCs w:val="21"/>
              </w:rPr>
              <w:t>②选用符合国家有关机械、机动车标准的施工机械和运输工具，加</w:t>
            </w:r>
            <w:r>
              <w:rPr>
                <w:rFonts w:ascii="宋体" w:cs="宋体"/>
                <w:color w:val="auto"/>
                <w:spacing w:val="-49"/>
                <w:sz w:val="21"/>
                <w:szCs w:val="21"/>
              </w:rPr>
              <w:t xml:space="preserve"> </w:t>
            </w:r>
            <w:r>
              <w:rPr>
                <w:rFonts w:hint="eastAsia" w:ascii="宋体" w:cs="宋体"/>
                <w:color w:val="auto"/>
                <w:spacing w:val="-2"/>
                <w:sz w:val="21"/>
                <w:szCs w:val="21"/>
              </w:rPr>
              <w:t>强对燃油机械设备的维护和保养，保持设备在正常良好的状态下工</w:t>
            </w:r>
            <w:r>
              <w:rPr>
                <w:rFonts w:hint="eastAsia" w:ascii="宋体" w:cs="宋体"/>
                <w:color w:val="auto"/>
                <w:sz w:val="21"/>
                <w:szCs w:val="21"/>
              </w:rPr>
              <w:t>作。</w:t>
            </w:r>
          </w:p>
        </w:tc>
        <w:tc>
          <w:tcPr>
            <w:tcW w:w="2744" w:type="dxa"/>
            <w:vMerge w:val="continue"/>
            <w:tcBorders>
              <w:left w:val="single" w:color="000000"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rPr>
            </w:pPr>
          </w:p>
        </w:tc>
      </w:tr>
      <w:tr>
        <w:tblPrEx>
          <w:tblCellMar>
            <w:top w:w="0" w:type="dxa"/>
            <w:left w:w="0" w:type="dxa"/>
            <w:bottom w:w="0" w:type="dxa"/>
            <w:right w:w="0" w:type="dxa"/>
          </w:tblCellMar>
        </w:tblPrEx>
        <w:trPr>
          <w:tblHeader/>
          <w:jc w:val="center"/>
        </w:trPr>
        <w:tc>
          <w:tcPr>
            <w:tcW w:w="877" w:type="dxa"/>
            <w:vMerge w:val="continue"/>
            <w:tcBorders>
              <w:top w:val="single" w:color="000000" w:sz="4" w:space="0"/>
              <w:left w:val="nil"/>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926" w:type="dxa"/>
            <w:vMerge w:val="restart"/>
            <w:tcBorders>
              <w:top w:val="single" w:color="auto" w:sz="4" w:space="0"/>
              <w:left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固废</w:t>
            </w:r>
          </w:p>
        </w:tc>
        <w:tc>
          <w:tcPr>
            <w:tcW w:w="2174" w:type="dxa"/>
            <w:tcBorders>
              <w:top w:val="single" w:color="auto"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废土石方</w:t>
            </w:r>
          </w:p>
        </w:tc>
        <w:tc>
          <w:tcPr>
            <w:tcW w:w="6318"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用于场地平整回填。</w:t>
            </w:r>
          </w:p>
        </w:tc>
        <w:tc>
          <w:tcPr>
            <w:tcW w:w="2744" w:type="dxa"/>
            <w:vMerge w:val="continue"/>
            <w:tcBorders>
              <w:top w:val="single" w:color="000000" w:sz="4" w:space="0"/>
              <w:left w:val="single" w:color="000000"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rPr>
            </w:pPr>
          </w:p>
        </w:tc>
      </w:tr>
      <w:tr>
        <w:tblPrEx>
          <w:tblCellMar>
            <w:top w:w="0" w:type="dxa"/>
            <w:left w:w="0" w:type="dxa"/>
            <w:bottom w:w="0" w:type="dxa"/>
            <w:right w:w="0" w:type="dxa"/>
          </w:tblCellMar>
        </w:tblPrEx>
        <w:trPr>
          <w:tblHeader/>
          <w:jc w:val="center"/>
        </w:trPr>
        <w:tc>
          <w:tcPr>
            <w:tcW w:w="877" w:type="dxa"/>
            <w:vMerge w:val="continue"/>
            <w:tcBorders>
              <w:left w:val="nil"/>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926" w:type="dxa"/>
            <w:vMerge w:val="continue"/>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建筑垃圾</w:t>
            </w:r>
          </w:p>
        </w:tc>
        <w:tc>
          <w:tcPr>
            <w:tcW w:w="6318"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建筑垃圾分类收集，可回收利用的交由物资回收单位回收再利用，</w:t>
            </w:r>
            <w:r>
              <w:rPr>
                <w:rFonts w:hint="eastAsia" w:ascii="宋体" w:cs="宋体"/>
                <w:color w:val="auto"/>
                <w:spacing w:val="-2"/>
                <w:sz w:val="21"/>
                <w:szCs w:val="21"/>
              </w:rPr>
              <w:t>不可回收利用的运送至</w:t>
            </w:r>
            <w:r>
              <w:rPr>
                <w:rFonts w:ascii="宋体" w:cs="宋体"/>
                <w:color w:val="auto"/>
                <w:spacing w:val="-49"/>
                <w:sz w:val="21"/>
                <w:szCs w:val="21"/>
              </w:rPr>
              <w:t xml:space="preserve"> </w:t>
            </w:r>
            <w:r>
              <w:rPr>
                <w:rFonts w:hint="eastAsia" w:ascii="宋体" w:cs="宋体"/>
                <w:color w:val="auto"/>
                <w:sz w:val="21"/>
                <w:szCs w:val="21"/>
              </w:rPr>
              <w:t>政府指定的建筑垃圾消纳场统一处置，不外排。</w:t>
            </w:r>
          </w:p>
        </w:tc>
        <w:tc>
          <w:tcPr>
            <w:tcW w:w="2744" w:type="dxa"/>
            <w:vMerge w:val="continue"/>
            <w:tcBorders>
              <w:top w:val="single" w:color="000000" w:sz="4" w:space="0"/>
              <w:left w:val="single" w:color="000000"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rPr>
            </w:pPr>
          </w:p>
        </w:tc>
      </w:tr>
      <w:tr>
        <w:tblPrEx>
          <w:tblCellMar>
            <w:top w:w="0" w:type="dxa"/>
            <w:left w:w="0" w:type="dxa"/>
            <w:bottom w:w="0" w:type="dxa"/>
            <w:right w:w="0" w:type="dxa"/>
          </w:tblCellMar>
        </w:tblPrEx>
        <w:trPr>
          <w:tblHeader/>
          <w:jc w:val="center"/>
        </w:trPr>
        <w:tc>
          <w:tcPr>
            <w:tcW w:w="877" w:type="dxa"/>
            <w:vMerge w:val="continue"/>
            <w:tcBorders>
              <w:left w:val="nil"/>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926" w:type="dxa"/>
            <w:vMerge w:val="continue"/>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生活垃圾</w:t>
            </w:r>
          </w:p>
        </w:tc>
        <w:tc>
          <w:tcPr>
            <w:tcW w:w="6318"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统一收集后委托环卫部门统一清运处置</w:t>
            </w:r>
          </w:p>
        </w:tc>
        <w:tc>
          <w:tcPr>
            <w:tcW w:w="2744" w:type="dxa"/>
            <w:vMerge w:val="continue"/>
            <w:tcBorders>
              <w:top w:val="single" w:color="000000" w:sz="4" w:space="0"/>
              <w:left w:val="single" w:color="000000"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rPr>
            </w:pPr>
          </w:p>
        </w:tc>
      </w:tr>
      <w:tr>
        <w:tblPrEx>
          <w:tblCellMar>
            <w:top w:w="0" w:type="dxa"/>
            <w:left w:w="0" w:type="dxa"/>
            <w:bottom w:w="0" w:type="dxa"/>
            <w:right w:w="0" w:type="dxa"/>
          </w:tblCellMar>
        </w:tblPrEx>
        <w:trPr>
          <w:tblHeader/>
          <w:jc w:val="center"/>
        </w:trPr>
        <w:tc>
          <w:tcPr>
            <w:tcW w:w="877" w:type="dxa"/>
            <w:vMerge w:val="continue"/>
            <w:tcBorders>
              <w:left w:val="nil"/>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926" w:type="dxa"/>
            <w:vMerge w:val="restart"/>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噪声</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165"/>
              <w:kinsoku w:val="0"/>
              <w:overflowPunct w:val="0"/>
              <w:snapToGrid w:val="0"/>
              <w:spacing w:line="240" w:lineRule="auto"/>
              <w:ind w:firstLine="0" w:firstLineChars="0"/>
              <w:jc w:val="center"/>
              <w:rPr>
                <w:rFonts w:ascii="宋体" w:cs="宋体"/>
                <w:color w:val="auto"/>
                <w:sz w:val="21"/>
                <w:szCs w:val="21"/>
              </w:rPr>
            </w:pPr>
            <w:r>
              <w:rPr>
                <w:rFonts w:hint="eastAsia" w:ascii="宋体" w:cs="宋体"/>
                <w:color w:val="auto"/>
                <w:sz w:val="21"/>
                <w:szCs w:val="21"/>
              </w:rPr>
              <w:t>设备噪声和运输车辆</w:t>
            </w:r>
          </w:p>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噪声</w:t>
            </w:r>
          </w:p>
        </w:tc>
        <w:tc>
          <w:tcPr>
            <w:tcW w:w="6318" w:type="dxa"/>
            <w:tcBorders>
              <w:top w:val="single" w:color="000000" w:sz="4" w:space="0"/>
              <w:left w:val="single" w:color="000000" w:sz="4" w:space="0"/>
              <w:bottom w:val="single" w:color="000000" w:sz="4" w:space="0"/>
              <w:right w:val="single" w:color="000000" w:sz="4" w:space="0"/>
            </w:tcBorders>
            <w:vAlign w:val="center"/>
          </w:tcPr>
          <w:p>
            <w:pPr>
              <w:pStyle w:val="165"/>
              <w:wordWrap w:val="0"/>
              <w:topLinePunct/>
              <w:autoSpaceDE w:val="0"/>
              <w:snapToGrid w:val="0"/>
              <w:spacing w:line="240" w:lineRule="auto"/>
              <w:ind w:firstLine="0" w:firstLineChars="0"/>
              <w:rPr>
                <w:color w:val="auto"/>
              </w:rPr>
            </w:pPr>
            <w:r>
              <w:rPr>
                <w:rFonts w:hint="eastAsia" w:ascii="宋体" w:cs="宋体"/>
                <w:color w:val="auto"/>
                <w:sz w:val="21"/>
                <w:szCs w:val="21"/>
              </w:rPr>
              <w:t>选用符合国家有关标准的施工机械和运输车辆，振动较大的固定机械设备应加装减震基座，同时应加强各类施工机械的维护和保养；合理安排好施工时间与施工场所，高噪声作业区应远离声敏感点，</w:t>
            </w:r>
            <w:r>
              <w:rPr>
                <w:rFonts w:hint="eastAsia" w:ascii="宋体" w:cs="宋体"/>
                <w:color w:val="auto"/>
                <w:spacing w:val="-5"/>
                <w:sz w:val="21"/>
                <w:szCs w:val="21"/>
              </w:rPr>
              <w:t>夜间禁止施工；合理优化布局，合理安排施工车辆行驶路线和时间，</w:t>
            </w:r>
            <w:r>
              <w:rPr>
                <w:rFonts w:ascii="宋体" w:cs="宋体"/>
                <w:color w:val="auto"/>
                <w:spacing w:val="-54"/>
                <w:sz w:val="21"/>
                <w:szCs w:val="21"/>
              </w:rPr>
              <w:t xml:space="preserve"> </w:t>
            </w:r>
            <w:r>
              <w:rPr>
                <w:rFonts w:hint="eastAsia" w:ascii="宋体" w:cs="宋体"/>
                <w:color w:val="auto"/>
                <w:sz w:val="21"/>
                <w:szCs w:val="21"/>
              </w:rPr>
              <w:t>限速行驶，禁止高音鸣号，减小地区交通噪声。</w:t>
            </w:r>
          </w:p>
        </w:tc>
        <w:tc>
          <w:tcPr>
            <w:tcW w:w="2744" w:type="dxa"/>
            <w:tcBorders>
              <w:top w:val="single" w:color="000000" w:sz="4" w:space="0"/>
              <w:left w:val="single" w:color="000000" w:sz="4" w:space="0"/>
              <w:bottom w:val="single" w:color="000000" w:sz="4" w:space="0"/>
              <w:right w:val="nil"/>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pacing w:val="-3"/>
                <w:sz w:val="21"/>
                <w:szCs w:val="21"/>
              </w:rPr>
              <w:t>达到《建筑施工场界环境噪声排</w:t>
            </w:r>
            <w:r>
              <w:rPr>
                <w:rFonts w:hint="eastAsia" w:ascii="宋体" w:cs="宋体"/>
                <w:color w:val="auto"/>
                <w:spacing w:val="-5"/>
                <w:sz w:val="21"/>
                <w:szCs w:val="21"/>
              </w:rPr>
              <w:t>放标准》（</w:t>
            </w:r>
            <w:r>
              <w:rPr>
                <w:color w:val="auto"/>
                <w:spacing w:val="-5"/>
                <w:sz w:val="21"/>
                <w:szCs w:val="21"/>
              </w:rPr>
              <w:t>GB12523-2011</w:t>
            </w:r>
            <w:r>
              <w:rPr>
                <w:rFonts w:hint="eastAsia" w:ascii="宋体" w:cs="宋体"/>
                <w:color w:val="auto"/>
                <w:spacing w:val="-5"/>
                <w:sz w:val="21"/>
                <w:szCs w:val="21"/>
              </w:rPr>
              <w:t>）中相</w:t>
            </w:r>
            <w:r>
              <w:rPr>
                <w:rFonts w:hint="eastAsia" w:ascii="宋体" w:cs="宋体"/>
                <w:color w:val="auto"/>
                <w:sz w:val="21"/>
                <w:szCs w:val="21"/>
              </w:rPr>
              <w:t>应限值</w:t>
            </w:r>
          </w:p>
        </w:tc>
      </w:tr>
      <w:tr>
        <w:tblPrEx>
          <w:tblCellMar>
            <w:top w:w="0" w:type="dxa"/>
            <w:left w:w="0" w:type="dxa"/>
            <w:bottom w:w="0" w:type="dxa"/>
            <w:right w:w="0" w:type="dxa"/>
          </w:tblCellMar>
        </w:tblPrEx>
        <w:trPr>
          <w:tblHeader/>
          <w:jc w:val="center"/>
        </w:trPr>
        <w:tc>
          <w:tcPr>
            <w:tcW w:w="877" w:type="dxa"/>
            <w:vMerge w:val="continue"/>
            <w:tcBorders>
              <w:left w:val="nil"/>
              <w:bottom w:val="single" w:color="000000" w:sz="12"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926" w:type="dxa"/>
            <w:vMerge w:val="continue"/>
            <w:tcBorders>
              <w:top w:val="single" w:color="000000" w:sz="4" w:space="0"/>
              <w:left w:val="single" w:color="000000" w:sz="4" w:space="0"/>
              <w:bottom w:val="single" w:color="000000" w:sz="12"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p>
        </w:tc>
        <w:tc>
          <w:tcPr>
            <w:tcW w:w="2174" w:type="dxa"/>
            <w:tcBorders>
              <w:top w:val="single" w:color="000000" w:sz="4" w:space="0"/>
              <w:left w:val="single" w:color="000000" w:sz="4" w:space="0"/>
              <w:bottom w:val="single" w:color="000000" w:sz="12" w:space="0"/>
              <w:right w:val="single" w:color="000000" w:sz="4" w:space="0"/>
            </w:tcBorders>
            <w:vAlign w:val="center"/>
          </w:tcPr>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敏感点</w:t>
            </w:r>
          </w:p>
        </w:tc>
        <w:tc>
          <w:tcPr>
            <w:tcW w:w="6318" w:type="dxa"/>
            <w:tcBorders>
              <w:top w:val="single" w:color="000000" w:sz="4" w:space="0"/>
              <w:left w:val="single" w:color="000000" w:sz="4" w:space="0"/>
              <w:bottom w:val="single" w:color="000000" w:sz="12" w:space="0"/>
              <w:right w:val="single" w:color="000000" w:sz="4" w:space="0"/>
            </w:tcBorders>
            <w:vAlign w:val="center"/>
          </w:tcPr>
          <w:p>
            <w:pPr>
              <w:pStyle w:val="165"/>
              <w:kinsoku w:val="0"/>
              <w:overflowPunct w:val="0"/>
              <w:snapToGrid w:val="0"/>
              <w:spacing w:line="240" w:lineRule="auto"/>
              <w:ind w:firstLine="0" w:firstLineChars="0"/>
              <w:jc w:val="left"/>
              <w:rPr>
                <w:color w:val="auto"/>
              </w:rPr>
            </w:pPr>
            <w:r>
              <w:rPr>
                <w:rFonts w:hint="eastAsia" w:ascii="宋体" w:cs="宋体"/>
                <w:color w:val="auto"/>
                <w:sz w:val="21"/>
                <w:szCs w:val="21"/>
              </w:rPr>
              <w:t>施工运输经过村庄、集中居民点及学校时，在敏感点前设置</w:t>
            </w:r>
            <w:r>
              <w:rPr>
                <w:rFonts w:hint="eastAsia" w:ascii="宋体" w:cs="宋体"/>
                <w:color w:val="auto"/>
                <w:spacing w:val="-2"/>
                <w:sz w:val="21"/>
                <w:szCs w:val="21"/>
              </w:rPr>
              <w:t>限速标志，控制车速，并禁止鸣笛，同时尽量避免</w:t>
            </w:r>
            <w:r>
              <w:rPr>
                <w:rFonts w:hint="eastAsia" w:ascii="宋体" w:cs="宋体"/>
                <w:color w:val="auto"/>
                <w:spacing w:val="-4"/>
                <w:sz w:val="21"/>
                <w:szCs w:val="21"/>
              </w:rPr>
              <w:t>居民午休时间及夜间进行运输活动；施工现场四周应设置</w:t>
            </w:r>
            <w:r>
              <w:rPr>
                <w:color w:val="auto"/>
                <w:spacing w:val="-4"/>
                <w:sz w:val="21"/>
                <w:szCs w:val="21"/>
              </w:rPr>
              <w:t>2~3m</w:t>
            </w:r>
            <w:r>
              <w:rPr>
                <w:rFonts w:hint="eastAsia" w:ascii="宋体" w:cs="宋体"/>
                <w:color w:val="auto"/>
                <w:spacing w:val="-4"/>
                <w:sz w:val="21"/>
                <w:szCs w:val="21"/>
              </w:rPr>
              <w:t>高围</w:t>
            </w:r>
            <w:r>
              <w:rPr>
                <w:rFonts w:hint="eastAsia" w:ascii="宋体" w:cs="宋体"/>
                <w:color w:val="auto"/>
                <w:sz w:val="21"/>
                <w:szCs w:val="21"/>
              </w:rPr>
              <w:t>挡，施工布置区远离居民点。</w:t>
            </w:r>
          </w:p>
        </w:tc>
        <w:tc>
          <w:tcPr>
            <w:tcW w:w="2744" w:type="dxa"/>
            <w:tcBorders>
              <w:top w:val="single" w:color="000000" w:sz="4" w:space="0"/>
              <w:left w:val="single" w:color="000000" w:sz="4" w:space="0"/>
              <w:bottom w:val="single" w:color="000000" w:sz="12" w:space="0"/>
              <w:right w:val="nil"/>
            </w:tcBorders>
            <w:vAlign w:val="center"/>
          </w:tcPr>
          <w:p>
            <w:pPr>
              <w:pStyle w:val="165"/>
              <w:kinsoku w:val="0"/>
              <w:overflowPunct w:val="0"/>
              <w:snapToGrid w:val="0"/>
              <w:spacing w:line="240" w:lineRule="auto"/>
              <w:ind w:firstLine="0" w:firstLineChars="0"/>
              <w:jc w:val="center"/>
              <w:rPr>
                <w:rFonts w:ascii="宋体" w:cs="宋体"/>
                <w:color w:val="auto"/>
                <w:sz w:val="21"/>
                <w:szCs w:val="21"/>
              </w:rPr>
            </w:pPr>
            <w:r>
              <w:rPr>
                <w:rFonts w:hint="eastAsia" w:ascii="宋体" w:cs="宋体"/>
                <w:color w:val="auto"/>
                <w:sz w:val="21"/>
                <w:szCs w:val="21"/>
              </w:rPr>
              <w:t>达到《声环境质量标准》</w:t>
            </w:r>
          </w:p>
          <w:p>
            <w:pPr>
              <w:pStyle w:val="165"/>
              <w:kinsoku w:val="0"/>
              <w:overflowPunct w:val="0"/>
              <w:snapToGrid w:val="0"/>
              <w:spacing w:line="240" w:lineRule="auto"/>
              <w:ind w:firstLine="0" w:firstLineChars="0"/>
              <w:jc w:val="center"/>
              <w:rPr>
                <w:color w:val="auto"/>
              </w:rPr>
            </w:pPr>
            <w:r>
              <w:rPr>
                <w:rFonts w:hint="eastAsia" w:ascii="宋体" w:cs="宋体"/>
                <w:color w:val="auto"/>
                <w:sz w:val="21"/>
                <w:szCs w:val="21"/>
              </w:rPr>
              <w:t>（</w:t>
            </w:r>
            <w:r>
              <w:rPr>
                <w:color w:val="auto"/>
                <w:sz w:val="21"/>
                <w:szCs w:val="21"/>
              </w:rPr>
              <w:t>GB3096-2008</w:t>
            </w:r>
            <w:r>
              <w:rPr>
                <w:rFonts w:hint="eastAsia" w:ascii="宋体" w:cs="宋体"/>
                <w:color w:val="auto"/>
                <w:sz w:val="21"/>
                <w:szCs w:val="21"/>
              </w:rPr>
              <w:t>）中</w:t>
            </w:r>
            <w:r>
              <w:rPr>
                <w:color w:val="auto"/>
                <w:sz w:val="21"/>
                <w:szCs w:val="21"/>
              </w:rPr>
              <w:t>2</w:t>
            </w:r>
            <w:r>
              <w:rPr>
                <w:rFonts w:hint="eastAsia" w:ascii="宋体" w:cs="宋体"/>
                <w:color w:val="auto"/>
                <w:sz w:val="21"/>
                <w:szCs w:val="21"/>
              </w:rPr>
              <w:t>类标</w:t>
            </w:r>
            <w:r>
              <w:rPr>
                <w:rFonts w:hint="eastAsia" w:ascii="宋体" w:cs="宋体"/>
                <w:color w:val="auto"/>
                <w:spacing w:val="-3"/>
                <w:sz w:val="21"/>
                <w:szCs w:val="21"/>
              </w:rPr>
              <w:t>准</w:t>
            </w:r>
          </w:p>
        </w:tc>
      </w:tr>
    </w:tbl>
    <w:p>
      <w:pPr>
        <w:pStyle w:val="7"/>
        <w:ind w:firstLine="480"/>
        <w:rPr>
          <w:color w:val="auto"/>
        </w:rPr>
      </w:pPr>
    </w:p>
    <w:p>
      <w:pPr>
        <w:pStyle w:val="7"/>
        <w:ind w:firstLine="480"/>
        <w:rPr>
          <w:color w:val="auto"/>
        </w:rPr>
      </w:pPr>
    </w:p>
    <w:p>
      <w:pPr>
        <w:pStyle w:val="61"/>
        <w:ind w:firstLine="480"/>
        <w:rPr>
          <w:rFonts w:cs="Times New Roman"/>
          <w:color w:val="auto"/>
        </w:rPr>
        <w:sectPr>
          <w:pgSz w:w="16838" w:h="11906" w:orient="landscape"/>
          <w:pgMar w:top="1417" w:right="1417" w:bottom="1531" w:left="1417" w:header="850" w:footer="850" w:gutter="0"/>
          <w:pgBorders>
            <w:top w:val="none" w:sz="0" w:space="0"/>
            <w:left w:val="none" w:sz="0" w:space="0"/>
            <w:bottom w:val="none" w:sz="0" w:space="0"/>
            <w:right w:val="none" w:sz="0" w:space="0"/>
          </w:pgBorders>
          <w:cols w:space="0" w:num="1"/>
          <w:docGrid w:type="lines" w:linePitch="407" w:charSpace="0"/>
        </w:sectPr>
      </w:pPr>
    </w:p>
    <w:p>
      <w:pPr>
        <w:pStyle w:val="2"/>
        <w:numPr>
          <w:ilvl w:val="0"/>
          <w:numId w:val="0"/>
        </w:numPr>
        <w:ind w:left="432"/>
        <w:rPr>
          <w:rFonts w:cs="Times New Roman"/>
          <w:color w:val="auto"/>
        </w:rPr>
      </w:pPr>
      <w:bookmarkStart w:id="115" w:name="_Toc142388402"/>
      <w:bookmarkStart w:id="116" w:name="_Toc8475"/>
      <w:r>
        <w:rPr>
          <w:rFonts w:cs="Times New Roman"/>
          <w:color w:val="auto"/>
        </w:rPr>
        <w:t>10结论与建议</w:t>
      </w:r>
      <w:bookmarkEnd w:id="115"/>
    </w:p>
    <w:p>
      <w:pPr>
        <w:pStyle w:val="3"/>
        <w:numPr>
          <w:ilvl w:val="1"/>
          <w:numId w:val="0"/>
        </w:numPr>
        <w:ind w:firstLine="560" w:firstLineChars="200"/>
        <w:rPr>
          <w:rFonts w:cs="Times New Roman"/>
          <w:b w:val="0"/>
          <w:color w:val="auto"/>
        </w:rPr>
      </w:pPr>
      <w:bookmarkStart w:id="117" w:name="_Toc142388403"/>
      <w:r>
        <w:rPr>
          <w:rFonts w:cs="Times New Roman"/>
          <w:b w:val="0"/>
          <w:color w:val="auto"/>
        </w:rPr>
        <w:t>10.1结论</w:t>
      </w:r>
      <w:bookmarkEnd w:id="117"/>
    </w:p>
    <w:bookmarkEnd w:id="116"/>
    <w:p>
      <w:pPr>
        <w:pStyle w:val="4"/>
        <w:numPr>
          <w:ilvl w:val="2"/>
          <w:numId w:val="0"/>
        </w:numPr>
        <w:snapToGrid w:val="0"/>
        <w:ind w:firstLine="480" w:firstLineChars="200"/>
        <w:rPr>
          <w:rFonts w:cs="Times New Roman"/>
          <w:color w:val="auto"/>
        </w:rPr>
      </w:pPr>
      <w:r>
        <w:rPr>
          <w:rFonts w:cs="Times New Roman"/>
          <w:color w:val="auto"/>
        </w:rPr>
        <w:t>10.1.1建设项目情况</w:t>
      </w:r>
    </w:p>
    <w:p>
      <w:pPr>
        <w:snapToGrid w:val="0"/>
        <w:ind w:firstLine="480"/>
        <w:rPr>
          <w:rFonts w:cs="Times New Roman"/>
          <w:color w:val="auto"/>
        </w:rPr>
      </w:pPr>
      <w:r>
        <w:rPr>
          <w:rFonts w:hint="eastAsia" w:cs="Times New Roman"/>
          <w:color w:val="auto"/>
        </w:rPr>
        <w:t>本项目总投资为3570.92万元。其中工程直接费用2799.18万元，其他费用367.02万元，基本预备费284.96万元，水土保持专项费用为119.76万元。项目位于岚皋县岚河流域，主要涉及岚皋县城关镇、佐龙镇、蔺河镇、南宫山镇、孟石岭镇。项目实施新建生态缓冲带15.78hm</w:t>
      </w:r>
      <w:r>
        <w:rPr>
          <w:rFonts w:hint="eastAsia" w:cs="Times New Roman"/>
          <w:color w:val="auto"/>
          <w:vertAlign w:val="superscript"/>
        </w:rPr>
        <w:t>2</w:t>
      </w:r>
      <w:r>
        <w:rPr>
          <w:rFonts w:hint="eastAsia" w:cs="Times New Roman"/>
          <w:color w:val="auto"/>
        </w:rPr>
        <w:t>，新建沟渠湿地0.30hm</w:t>
      </w:r>
      <w:r>
        <w:rPr>
          <w:rFonts w:hint="eastAsia" w:cs="Times New Roman"/>
          <w:color w:val="auto"/>
          <w:vertAlign w:val="superscript"/>
        </w:rPr>
        <w:t>2</w:t>
      </w:r>
      <w:r>
        <w:rPr>
          <w:rFonts w:hint="eastAsia" w:cs="Times New Roman"/>
          <w:color w:val="auto"/>
        </w:rPr>
        <w:t>，新建河床渗滤湿地0.62hm</w:t>
      </w:r>
      <w:r>
        <w:rPr>
          <w:rFonts w:hint="eastAsia" w:cs="Times New Roman"/>
          <w:color w:val="auto"/>
          <w:vertAlign w:val="superscript"/>
        </w:rPr>
        <w:t>2</w:t>
      </w:r>
      <w:r>
        <w:rPr>
          <w:rFonts w:hint="eastAsia" w:cs="Times New Roman"/>
          <w:color w:val="auto"/>
        </w:rPr>
        <w:t>，新建河道湿地1.34hm</w:t>
      </w:r>
      <w:r>
        <w:rPr>
          <w:rFonts w:hint="eastAsia" w:cs="Times New Roman"/>
          <w:color w:val="auto"/>
          <w:vertAlign w:val="superscript"/>
        </w:rPr>
        <w:t>2</w:t>
      </w:r>
      <w:r>
        <w:rPr>
          <w:rFonts w:hint="eastAsia" w:cs="Times New Roman"/>
          <w:color w:val="auto"/>
        </w:rPr>
        <w:t>，新建生态护坡1.44hm</w:t>
      </w:r>
      <w:r>
        <w:rPr>
          <w:rFonts w:hint="eastAsia" w:cs="Times New Roman"/>
          <w:color w:val="auto"/>
          <w:vertAlign w:val="superscript"/>
        </w:rPr>
        <w:t>2</w:t>
      </w:r>
      <w:r>
        <w:rPr>
          <w:rFonts w:hint="eastAsia" w:cs="Times New Roman"/>
          <w:color w:val="auto"/>
        </w:rPr>
        <w:t>，现状河堤加高250.81m，太阳能复氧曝气机15台。计划于2023年</w:t>
      </w:r>
      <w:r>
        <w:rPr>
          <w:rFonts w:hint="eastAsia" w:cs="Times New Roman"/>
          <w:color w:val="auto"/>
          <w:lang w:val="en-US" w:eastAsia="zh-CN"/>
        </w:rPr>
        <w:t>11</w:t>
      </w:r>
      <w:r>
        <w:rPr>
          <w:rFonts w:hint="eastAsia" w:cs="Times New Roman"/>
          <w:color w:val="auto"/>
        </w:rPr>
        <w:t>月动工建设，预计202</w:t>
      </w:r>
      <w:r>
        <w:rPr>
          <w:rFonts w:hint="eastAsia" w:cs="Times New Roman"/>
          <w:color w:val="auto"/>
          <w:lang w:val="en-US" w:eastAsia="zh-CN"/>
        </w:rPr>
        <w:t>5</w:t>
      </w:r>
      <w:r>
        <w:rPr>
          <w:rFonts w:hint="eastAsia" w:cs="Times New Roman"/>
          <w:color w:val="auto"/>
        </w:rPr>
        <w:t>年8月建成，施工周期为</w:t>
      </w:r>
      <w:r>
        <w:rPr>
          <w:rFonts w:hint="eastAsia" w:cs="Times New Roman"/>
          <w:color w:val="auto"/>
          <w:lang w:val="en-US" w:eastAsia="zh-CN"/>
        </w:rPr>
        <w:t>26</w:t>
      </w:r>
      <w:r>
        <w:rPr>
          <w:rFonts w:hint="eastAsia" w:cs="Times New Roman"/>
          <w:color w:val="auto"/>
        </w:rPr>
        <w:t>个月。</w:t>
      </w:r>
    </w:p>
    <w:p>
      <w:pPr>
        <w:pStyle w:val="61"/>
        <w:snapToGrid w:val="0"/>
        <w:ind w:firstLine="480"/>
        <w:rPr>
          <w:rFonts w:cs="Times New Roman"/>
          <w:color w:val="auto"/>
        </w:rPr>
      </w:pPr>
      <w:r>
        <w:rPr>
          <w:rFonts w:cs="Times New Roman"/>
          <w:color w:val="auto"/>
        </w:rPr>
        <w:t>（2）相关政策符合性分析</w:t>
      </w:r>
    </w:p>
    <w:p>
      <w:pPr>
        <w:pStyle w:val="61"/>
        <w:snapToGrid w:val="0"/>
        <w:ind w:firstLine="480"/>
        <w:rPr>
          <w:rFonts w:cs="Times New Roman"/>
          <w:color w:val="auto"/>
        </w:rPr>
      </w:pPr>
      <w:r>
        <w:rPr>
          <w:rFonts w:cs="Times New Roman"/>
          <w:color w:val="auto"/>
          <w:lang w:val="en-GB"/>
        </w:rPr>
        <w:t>根据</w:t>
      </w:r>
      <w:r>
        <w:rPr>
          <w:rFonts w:cs="Times New Roman"/>
          <w:color w:val="auto"/>
        </w:rPr>
        <w:t>《产业结构调整指导目录》</w:t>
      </w:r>
      <w:r>
        <w:rPr>
          <w:rFonts w:cs="Times New Roman"/>
          <w:color w:val="auto"/>
          <w:lang w:val="en-GB"/>
        </w:rPr>
        <w:t>（201</w:t>
      </w:r>
      <w:r>
        <w:rPr>
          <w:rFonts w:cs="Times New Roman"/>
          <w:color w:val="auto"/>
        </w:rPr>
        <w:t>9</w:t>
      </w:r>
      <w:r>
        <w:rPr>
          <w:rFonts w:cs="Times New Roman"/>
          <w:color w:val="auto"/>
          <w:lang w:val="en-GB"/>
        </w:rPr>
        <w:t>年本）</w:t>
      </w:r>
      <w:r>
        <w:rPr>
          <w:rFonts w:cs="Times New Roman"/>
          <w:color w:val="auto"/>
        </w:rPr>
        <w:t>（中华人民共和国国家发展和改革委员会令 第29号）</w:t>
      </w:r>
      <w:r>
        <w:rPr>
          <w:rFonts w:cs="Times New Roman"/>
          <w:color w:val="auto"/>
          <w:lang w:val="en-GB"/>
        </w:rPr>
        <w:t>本项目</w:t>
      </w:r>
      <w:r>
        <w:rPr>
          <w:rFonts w:cs="Times New Roman"/>
          <w:color w:val="auto"/>
        </w:rPr>
        <w:t>属于</w:t>
      </w:r>
      <w:r>
        <w:rPr>
          <w:rFonts w:cs="Times New Roman"/>
          <w:color w:val="auto"/>
          <w:lang w:val="en-GB"/>
        </w:rPr>
        <w:t>“第一类 鼓励类”中的“二、水利”、“1、江河湖海堤防建设及河道治理工程，属鼓励类项目</w:t>
      </w:r>
      <w:r>
        <w:rPr>
          <w:rFonts w:cs="Times New Roman"/>
          <w:color w:val="auto"/>
        </w:rPr>
        <w:t>。</w:t>
      </w:r>
    </w:p>
    <w:p>
      <w:pPr>
        <w:pStyle w:val="61"/>
        <w:snapToGrid w:val="0"/>
        <w:ind w:firstLine="480"/>
        <w:rPr>
          <w:rFonts w:cs="Times New Roman"/>
          <w:color w:val="auto"/>
        </w:rPr>
      </w:pPr>
      <w:r>
        <w:rPr>
          <w:rFonts w:cs="Times New Roman"/>
          <w:color w:val="auto"/>
        </w:rPr>
        <w:t>本项目占地范围内涉及生态保护红线</w:t>
      </w:r>
      <w:r>
        <w:rPr>
          <w:rFonts w:hint="eastAsia" w:cs="Times New Roman"/>
          <w:color w:val="auto"/>
        </w:rPr>
        <w:t>（安康</w:t>
      </w:r>
      <w:r>
        <w:rPr>
          <w:rFonts w:hint="eastAsia" w:cs="Times New Roman"/>
          <w:color w:val="auto"/>
          <w:lang w:val="en-US" w:eastAsia="zh-CN"/>
        </w:rPr>
        <w:t>岚河湿地</w:t>
      </w:r>
      <w:r>
        <w:rPr>
          <w:rFonts w:hint="eastAsia" w:cs="Times New Roman"/>
          <w:color w:val="auto"/>
        </w:rPr>
        <w:t>）</w:t>
      </w:r>
      <w:r>
        <w:rPr>
          <w:rFonts w:cs="Times New Roman"/>
          <w:color w:val="auto"/>
        </w:rPr>
        <w:t>，</w:t>
      </w:r>
      <w:r>
        <w:rPr>
          <w:rFonts w:hint="eastAsia" w:cs="Times New Roman"/>
          <w:color w:val="auto"/>
        </w:rPr>
        <w:t>本项目属于水环境综合治理项目，主要包括生态缓冲带</w:t>
      </w:r>
      <w:r>
        <w:rPr>
          <w:rFonts w:hint="eastAsia" w:cs="Times New Roman"/>
          <w:color w:val="auto"/>
          <w:lang w:eastAsia="zh-CN"/>
        </w:rPr>
        <w:t>、</w:t>
      </w:r>
      <w:r>
        <w:rPr>
          <w:rFonts w:hint="eastAsia" w:cs="Times New Roman"/>
          <w:color w:val="auto"/>
        </w:rPr>
        <w:t>新建沟渠湿地</w:t>
      </w:r>
      <w:r>
        <w:rPr>
          <w:rFonts w:hint="eastAsia" w:cs="Times New Roman"/>
          <w:color w:val="auto"/>
          <w:lang w:eastAsia="zh-CN"/>
        </w:rPr>
        <w:t>、</w:t>
      </w:r>
      <w:r>
        <w:rPr>
          <w:rFonts w:hint="eastAsia" w:cs="Times New Roman"/>
          <w:color w:val="auto"/>
        </w:rPr>
        <w:t>新建河床渗滤湿地</w:t>
      </w:r>
      <w:r>
        <w:rPr>
          <w:rFonts w:hint="eastAsia" w:cs="Times New Roman"/>
          <w:color w:val="auto"/>
          <w:lang w:eastAsia="zh-CN"/>
        </w:rPr>
        <w:t>、</w:t>
      </w:r>
      <w:r>
        <w:rPr>
          <w:rFonts w:hint="eastAsia" w:cs="Times New Roman"/>
          <w:color w:val="auto"/>
        </w:rPr>
        <w:t>新建河道湿地，属于“生态红线内</w:t>
      </w:r>
      <w:r>
        <w:rPr>
          <w:rFonts w:cs="Times New Roman"/>
          <w:color w:val="auto"/>
        </w:rPr>
        <w:t>允许对生态功能不造成破坏的有限人为活动</w:t>
      </w:r>
      <w:r>
        <w:rPr>
          <w:rFonts w:hint="eastAsia" w:cs="Times New Roman"/>
          <w:color w:val="auto"/>
        </w:rPr>
        <w:t>”类型</w:t>
      </w:r>
      <w:r>
        <w:rPr>
          <w:rFonts w:hint="eastAsia" w:cs="Times New Roman"/>
          <w:color w:val="auto"/>
          <w:lang w:eastAsia="zh-CN"/>
        </w:rPr>
        <w:t>，项目的实施不会影响湿地面积和规模，相反改善湿地公园内的水质环境，增加湿地水力连通，提升湿地内生态功能</w:t>
      </w:r>
      <w:r>
        <w:rPr>
          <w:rFonts w:cs="Times New Roman"/>
          <w:color w:val="auto"/>
        </w:rPr>
        <w:t>，符合生态保护红线管控要求。根据本次环评现状监测结果可知，项目周边的地下水、声环境、土壤环境质量较好，结合环境影响预测结论，拟建项目建设后不会突破环境质量底线，对地表水环境质量很大的改善作用。本项目的建设提高了河道周边的景观，不会与资源利用上线冲突。本项目建设对周边环境有明显改善作用，因此本项目不属于负面清单项目之列。因此本项目的实施符合“三线一单”管控要求。</w:t>
      </w:r>
    </w:p>
    <w:p>
      <w:pPr>
        <w:pStyle w:val="4"/>
        <w:numPr>
          <w:ilvl w:val="2"/>
          <w:numId w:val="0"/>
        </w:numPr>
        <w:snapToGrid w:val="0"/>
        <w:ind w:firstLine="480" w:firstLineChars="200"/>
        <w:rPr>
          <w:rFonts w:cs="Times New Roman"/>
          <w:color w:val="auto"/>
        </w:rPr>
      </w:pPr>
      <w:r>
        <w:rPr>
          <w:rFonts w:cs="Times New Roman"/>
          <w:color w:val="auto"/>
        </w:rPr>
        <w:t>10.1.2环境功能区划和环境质量现状</w:t>
      </w:r>
    </w:p>
    <w:p>
      <w:pPr>
        <w:snapToGrid w:val="0"/>
        <w:ind w:firstLine="480"/>
        <w:rPr>
          <w:rFonts w:cs="Times New Roman"/>
          <w:color w:val="auto"/>
        </w:rPr>
      </w:pPr>
      <w:r>
        <w:rPr>
          <w:rFonts w:cs="Times New Roman"/>
          <w:color w:val="auto"/>
        </w:rPr>
        <w:t>（1）空气环境</w:t>
      </w:r>
    </w:p>
    <w:p>
      <w:pPr>
        <w:snapToGrid w:val="0"/>
        <w:ind w:firstLine="480"/>
        <w:rPr>
          <w:rFonts w:cs="Times New Roman"/>
          <w:color w:val="auto"/>
        </w:rPr>
      </w:pPr>
      <w:r>
        <w:rPr>
          <w:rFonts w:cs="Times New Roman"/>
          <w:color w:val="auto"/>
        </w:rPr>
        <w:t>项目所在区域</w:t>
      </w:r>
      <w:r>
        <w:rPr>
          <w:rFonts w:hint="eastAsia" w:cs="Times New Roman"/>
          <w:color w:val="auto"/>
          <w:lang w:val="en-US" w:eastAsia="zh-CN"/>
        </w:rPr>
        <w:t>环境空气质量达到</w:t>
      </w:r>
      <w:r>
        <w:rPr>
          <w:rFonts w:cs="Times New Roman"/>
          <w:color w:val="auto"/>
        </w:rPr>
        <w:t>《环境空气质量标准》（GB3095-2012）中二级标准要求，项目所在区域为达标区</w:t>
      </w:r>
      <w:r>
        <w:rPr>
          <w:rFonts w:cs="Times New Roman"/>
          <w:color w:val="auto"/>
          <w:kern w:val="0"/>
        </w:rPr>
        <w:t>。</w:t>
      </w:r>
    </w:p>
    <w:p>
      <w:pPr>
        <w:snapToGrid w:val="0"/>
        <w:ind w:firstLine="480"/>
        <w:rPr>
          <w:rFonts w:cs="Times New Roman"/>
          <w:color w:val="auto"/>
        </w:rPr>
      </w:pPr>
      <w:r>
        <w:rPr>
          <w:rFonts w:cs="Times New Roman"/>
          <w:color w:val="auto"/>
        </w:rPr>
        <w:t>（2）地表水环境</w:t>
      </w:r>
    </w:p>
    <w:p>
      <w:pPr>
        <w:snapToGrid w:val="0"/>
        <w:ind w:firstLine="480"/>
        <w:rPr>
          <w:rFonts w:cs="Times New Roman"/>
          <w:color w:val="auto"/>
        </w:rPr>
      </w:pPr>
      <w:r>
        <w:rPr>
          <w:rFonts w:hint="eastAsia" w:cs="Times New Roman"/>
          <w:color w:val="auto"/>
        </w:rPr>
        <w:t>项目区内的河流监测</w:t>
      </w:r>
      <w:r>
        <w:rPr>
          <w:rFonts w:cs="Times New Roman"/>
          <w:color w:val="auto"/>
        </w:rPr>
        <w:t>断面指标符合《地表水环境质量标准》（GB3838-2002）中的</w:t>
      </w:r>
      <w:r>
        <w:rPr>
          <w:rFonts w:hint="eastAsia" w:cs="Times New Roman"/>
          <w:color w:val="auto"/>
        </w:rPr>
        <w:t>Ⅱ</w:t>
      </w:r>
      <w:r>
        <w:rPr>
          <w:rFonts w:cs="Times New Roman"/>
          <w:color w:val="auto"/>
        </w:rPr>
        <w:t>类标准。</w:t>
      </w:r>
    </w:p>
    <w:p>
      <w:pPr>
        <w:snapToGrid w:val="0"/>
        <w:ind w:firstLine="480"/>
        <w:rPr>
          <w:rFonts w:cs="Times New Roman"/>
          <w:color w:val="auto"/>
        </w:rPr>
      </w:pPr>
      <w:r>
        <w:rPr>
          <w:rFonts w:cs="Times New Roman"/>
          <w:color w:val="auto"/>
        </w:rPr>
        <w:t>（2）地下水环境</w:t>
      </w:r>
    </w:p>
    <w:p>
      <w:pPr>
        <w:tabs>
          <w:tab w:val="left" w:pos="0"/>
        </w:tabs>
        <w:snapToGrid w:val="0"/>
        <w:ind w:firstLine="480"/>
        <w:rPr>
          <w:rFonts w:cs="Times New Roman"/>
          <w:color w:val="auto"/>
        </w:rPr>
      </w:pPr>
      <w:r>
        <w:rPr>
          <w:rFonts w:cs="Times New Roman"/>
          <w:color w:val="auto"/>
        </w:rPr>
        <w:t>各监测点指标符合《地下水质量标准》（GB/T14848-2017）Ⅲ类标准，该区域的地下水质量良好。</w:t>
      </w:r>
    </w:p>
    <w:p>
      <w:pPr>
        <w:tabs>
          <w:tab w:val="left" w:pos="0"/>
        </w:tabs>
        <w:snapToGrid w:val="0"/>
        <w:ind w:firstLine="480"/>
        <w:rPr>
          <w:rFonts w:cs="Times New Roman"/>
          <w:color w:val="auto"/>
        </w:rPr>
      </w:pPr>
      <w:r>
        <w:rPr>
          <w:rFonts w:cs="Times New Roman"/>
          <w:color w:val="auto"/>
        </w:rPr>
        <w:t>（3）声环境</w:t>
      </w:r>
    </w:p>
    <w:p>
      <w:pPr>
        <w:tabs>
          <w:tab w:val="left" w:pos="0"/>
        </w:tabs>
        <w:snapToGrid w:val="0"/>
        <w:ind w:firstLine="480"/>
        <w:rPr>
          <w:rFonts w:cs="Times New Roman"/>
          <w:color w:val="auto"/>
        </w:rPr>
      </w:pPr>
      <w:r>
        <w:rPr>
          <w:rFonts w:cs="Times New Roman"/>
          <w:color w:val="auto"/>
        </w:rPr>
        <w:t>各监测点噪声</w:t>
      </w:r>
      <w:r>
        <w:rPr>
          <w:rFonts w:cs="Times New Roman"/>
          <w:color w:val="auto"/>
          <w:spacing w:val="4"/>
        </w:rPr>
        <w:t>均满足</w:t>
      </w:r>
      <w:r>
        <w:rPr>
          <w:rFonts w:cs="Times New Roman"/>
          <w:color w:val="auto"/>
        </w:rPr>
        <w:t>《声环境质量标准》</w:t>
      </w:r>
      <w:r>
        <w:rPr>
          <w:rFonts w:cs="Times New Roman"/>
          <w:color w:val="auto"/>
          <w:spacing w:val="4"/>
        </w:rPr>
        <w:t>（GB3096-2008）</w:t>
      </w:r>
      <w:r>
        <w:rPr>
          <w:rFonts w:cs="Times New Roman"/>
          <w:color w:val="auto"/>
        </w:rPr>
        <w:t>2类</w:t>
      </w:r>
      <w:r>
        <w:rPr>
          <w:rFonts w:cs="Times New Roman"/>
          <w:color w:val="auto"/>
          <w:spacing w:val="4"/>
        </w:rPr>
        <w:t>标准要求</w:t>
      </w:r>
      <w:r>
        <w:rPr>
          <w:rFonts w:cs="Times New Roman"/>
          <w:color w:val="auto"/>
        </w:rPr>
        <w:t>，评价区域内声环境质量良好。</w:t>
      </w:r>
    </w:p>
    <w:p>
      <w:pPr>
        <w:pStyle w:val="4"/>
        <w:numPr>
          <w:ilvl w:val="2"/>
          <w:numId w:val="0"/>
        </w:numPr>
        <w:snapToGrid w:val="0"/>
        <w:ind w:firstLine="480" w:firstLineChars="200"/>
        <w:rPr>
          <w:rFonts w:cs="Times New Roman"/>
          <w:color w:val="auto"/>
        </w:rPr>
      </w:pPr>
      <w:r>
        <w:rPr>
          <w:rFonts w:cs="Times New Roman"/>
          <w:color w:val="auto"/>
        </w:rPr>
        <w:t>10.1.3施工期环境影响分析</w:t>
      </w:r>
    </w:p>
    <w:p>
      <w:pPr>
        <w:snapToGrid w:val="0"/>
        <w:ind w:firstLine="482"/>
        <w:rPr>
          <w:rFonts w:cs="Times New Roman"/>
          <w:b/>
          <w:bCs/>
          <w:color w:val="auto"/>
        </w:rPr>
      </w:pPr>
      <w:r>
        <w:rPr>
          <w:rFonts w:cs="Times New Roman"/>
          <w:b/>
          <w:bCs/>
          <w:color w:val="auto"/>
        </w:rPr>
        <w:t>1</w:t>
      </w:r>
      <w:r>
        <w:rPr>
          <w:rFonts w:hint="eastAsia" w:cs="Times New Roman"/>
          <w:b/>
          <w:bCs/>
          <w:color w:val="auto"/>
        </w:rPr>
        <w:t>.</w:t>
      </w:r>
      <w:r>
        <w:rPr>
          <w:rFonts w:cs="Times New Roman"/>
          <w:b/>
          <w:bCs/>
          <w:color w:val="auto"/>
        </w:rPr>
        <w:t>施工期大气环境影响分析</w:t>
      </w:r>
    </w:p>
    <w:p>
      <w:pPr>
        <w:snapToGrid w:val="0"/>
        <w:ind w:firstLine="480"/>
        <w:rPr>
          <w:rFonts w:cs="Times New Roman"/>
          <w:color w:val="auto"/>
        </w:rPr>
      </w:pPr>
      <w:r>
        <w:rPr>
          <w:rFonts w:cs="Times New Roman"/>
          <w:color w:val="auto"/>
        </w:rPr>
        <w:t>本项目施工期对周边环境空气影响的污染源主要来自：施工场地扬尘、运输道路扬尘、机械车辆尾气、底泥恶臭。</w:t>
      </w:r>
    </w:p>
    <w:p>
      <w:pPr>
        <w:snapToGrid w:val="0"/>
        <w:ind w:firstLine="480"/>
        <w:rPr>
          <w:rFonts w:cs="Times New Roman"/>
          <w:color w:val="auto"/>
        </w:rPr>
      </w:pPr>
      <w:r>
        <w:rPr>
          <w:rFonts w:cs="Times New Roman"/>
          <w:color w:val="auto"/>
        </w:rPr>
        <w:t>针对施工场地扬尘本次环评要求分别从施工现场围挡、施工现场硬化、车辆清洗、洒水抑尘、分段施工、及时遮盖、恢复绿化、及时清运和安装扬尘污染物在线监测设备等方面采取措施；针对运输道路扬尘本次环评要求分别从运输方式、路线行驶、行车速度、运输道路洒水等方面采取措施；本项目对施工场地扬尘、运输道路扬尘采取上述有效的防护措施后，其产生的扬尘对周围环境影响不会造成大影响。随着施工期的结束而扬尘将自然消失，对周围环境也是相短暂的。</w:t>
      </w:r>
    </w:p>
    <w:p>
      <w:pPr>
        <w:snapToGrid w:val="0"/>
        <w:ind w:firstLine="480"/>
        <w:rPr>
          <w:rFonts w:cs="Times New Roman"/>
          <w:color w:val="auto"/>
        </w:rPr>
      </w:pPr>
      <w:r>
        <w:rPr>
          <w:rFonts w:cs="Times New Roman"/>
          <w:color w:val="auto"/>
        </w:rPr>
        <w:t>本次环评要求保证尾气排放达到《非道路移动机械用柴油机排气污染物排放限值及测量方法（中国第三、四阶段）》（GB20891-2014）排放标准，采取以上措施后，可有效降低机械设备及车辆废气对环境空气的影响，施工机械设备和车辆废气对周围环境空气的影响较小。</w:t>
      </w:r>
    </w:p>
    <w:p>
      <w:pPr>
        <w:snapToGrid w:val="0"/>
        <w:ind w:firstLine="482"/>
        <w:rPr>
          <w:rFonts w:cs="Times New Roman"/>
          <w:b/>
          <w:bCs/>
          <w:color w:val="auto"/>
        </w:rPr>
      </w:pPr>
      <w:r>
        <w:rPr>
          <w:rFonts w:cs="Times New Roman"/>
          <w:b/>
          <w:bCs/>
          <w:color w:val="auto"/>
        </w:rPr>
        <w:t>2</w:t>
      </w:r>
      <w:r>
        <w:rPr>
          <w:rFonts w:hint="eastAsia" w:cs="Times New Roman"/>
          <w:b/>
          <w:bCs/>
          <w:color w:val="auto"/>
        </w:rPr>
        <w:t>.</w:t>
      </w:r>
      <w:r>
        <w:rPr>
          <w:rFonts w:cs="Times New Roman"/>
          <w:b/>
          <w:bCs/>
          <w:color w:val="auto"/>
        </w:rPr>
        <w:t>施工期地表水环境影响分析</w:t>
      </w:r>
    </w:p>
    <w:p>
      <w:pPr>
        <w:snapToGrid w:val="0"/>
        <w:ind w:firstLine="480"/>
        <w:rPr>
          <w:rFonts w:cs="Times New Roman"/>
          <w:color w:val="auto"/>
        </w:rPr>
      </w:pPr>
      <w:r>
        <w:rPr>
          <w:rFonts w:hint="eastAsia" w:cs="Times New Roman"/>
          <w:color w:val="auto"/>
        </w:rPr>
        <w:t>本工程含油废水来源于施工机械及车辆维修保养和冲洗过程，该类废水采用“废水收集系统+隔油池+沉淀池”进行处理，经处理达标后回用于车辆冲洗或洒水降尘，不外排。混凝土拌和冲洗废水自然沉淀的方式处理，经沉淀后用于施工搅拌工程，废水不外排。</w:t>
      </w:r>
    </w:p>
    <w:p>
      <w:pPr>
        <w:snapToGrid w:val="0"/>
        <w:ind w:firstLine="480"/>
        <w:rPr>
          <w:rFonts w:cs="Times New Roman"/>
          <w:color w:val="auto"/>
        </w:rPr>
      </w:pPr>
      <w:r>
        <w:rPr>
          <w:rFonts w:cs="Times New Roman"/>
          <w:color w:val="auto"/>
        </w:rPr>
        <w:t>本项目</w:t>
      </w:r>
      <w:r>
        <w:rPr>
          <w:rFonts w:hint="eastAsia" w:cs="Times New Roman"/>
          <w:color w:val="auto"/>
        </w:rPr>
        <w:t>工棚和办公生活用房</w:t>
      </w:r>
      <w:r>
        <w:rPr>
          <w:rFonts w:cs="Times New Roman"/>
          <w:color w:val="auto"/>
        </w:rPr>
        <w:t>生活废水</w:t>
      </w:r>
      <w:r>
        <w:rPr>
          <w:rFonts w:hint="eastAsia" w:cs="Times New Roman"/>
          <w:color w:val="auto"/>
        </w:rPr>
        <w:t>依托租赁民房处的</w:t>
      </w:r>
      <w:r>
        <w:rPr>
          <w:rFonts w:cs="Times New Roman"/>
          <w:color w:val="auto"/>
        </w:rPr>
        <w:t>化粪池后处理后用于附近农田施肥。</w:t>
      </w:r>
    </w:p>
    <w:p>
      <w:pPr>
        <w:snapToGrid w:val="0"/>
        <w:ind w:firstLine="482"/>
        <w:rPr>
          <w:rFonts w:cs="Times New Roman"/>
          <w:b/>
          <w:bCs/>
          <w:color w:val="auto"/>
        </w:rPr>
      </w:pPr>
      <w:r>
        <w:rPr>
          <w:rFonts w:cs="Times New Roman"/>
          <w:b/>
          <w:bCs/>
          <w:color w:val="auto"/>
        </w:rPr>
        <w:t>3</w:t>
      </w:r>
      <w:r>
        <w:rPr>
          <w:rFonts w:hint="eastAsia" w:cs="Times New Roman"/>
          <w:b/>
          <w:bCs/>
          <w:color w:val="auto"/>
        </w:rPr>
        <w:t>.</w:t>
      </w:r>
      <w:r>
        <w:rPr>
          <w:rFonts w:cs="Times New Roman"/>
          <w:b/>
          <w:bCs/>
          <w:color w:val="auto"/>
        </w:rPr>
        <w:t>施工期地下水环境影响分析</w:t>
      </w:r>
    </w:p>
    <w:p>
      <w:pPr>
        <w:snapToGrid w:val="0"/>
        <w:ind w:firstLine="480"/>
        <w:rPr>
          <w:rFonts w:cs="Times New Roman"/>
          <w:color w:val="auto"/>
        </w:rPr>
      </w:pPr>
      <w:r>
        <w:rPr>
          <w:rFonts w:cs="Times New Roman"/>
          <w:color w:val="auto"/>
        </w:rPr>
        <w:t>本项目为河道整治项目，施工期不开采地下水，不会引起地下水流场或地下水水位的变化。本项目</w:t>
      </w:r>
      <w:r>
        <w:rPr>
          <w:rFonts w:hint="eastAsia" w:cs="Times New Roman"/>
          <w:color w:val="auto"/>
        </w:rPr>
        <w:t>施工区施工生产废水处理后综合利用</w:t>
      </w:r>
      <w:r>
        <w:rPr>
          <w:rFonts w:cs="Times New Roman"/>
          <w:color w:val="auto"/>
        </w:rPr>
        <w:t>不外排。本项目施工营地生活废水</w:t>
      </w:r>
      <w:r>
        <w:rPr>
          <w:rFonts w:hint="eastAsia" w:cs="Times New Roman"/>
          <w:color w:val="auto"/>
        </w:rPr>
        <w:t>依托租用住户已有的</w:t>
      </w:r>
      <w:r>
        <w:rPr>
          <w:rFonts w:cs="Times New Roman"/>
          <w:color w:val="auto"/>
        </w:rPr>
        <w:t>化粪池后处理后</w:t>
      </w:r>
      <w:r>
        <w:rPr>
          <w:rFonts w:hint="eastAsia" w:cs="Times New Roman"/>
          <w:color w:val="auto"/>
        </w:rPr>
        <w:t>农田施肥</w:t>
      </w:r>
      <w:r>
        <w:rPr>
          <w:rFonts w:cs="Times New Roman"/>
          <w:color w:val="auto"/>
        </w:rPr>
        <w:t>。采取上述措施后，对区域</w:t>
      </w:r>
      <w:r>
        <w:rPr>
          <w:rFonts w:hint="eastAsia" w:cs="Times New Roman"/>
          <w:color w:val="auto"/>
        </w:rPr>
        <w:t>地下水影响很小</w:t>
      </w:r>
      <w:r>
        <w:rPr>
          <w:rFonts w:cs="Times New Roman"/>
          <w:color w:val="auto"/>
        </w:rPr>
        <w:t>。</w:t>
      </w:r>
    </w:p>
    <w:p>
      <w:pPr>
        <w:snapToGrid w:val="0"/>
        <w:ind w:firstLine="482"/>
        <w:rPr>
          <w:rFonts w:cs="Times New Roman"/>
          <w:b/>
          <w:bCs/>
          <w:color w:val="auto"/>
        </w:rPr>
      </w:pPr>
      <w:r>
        <w:rPr>
          <w:rFonts w:cs="Times New Roman"/>
          <w:b/>
          <w:bCs/>
          <w:color w:val="auto"/>
        </w:rPr>
        <w:t>4</w:t>
      </w:r>
      <w:r>
        <w:rPr>
          <w:rFonts w:hint="eastAsia" w:cs="Times New Roman"/>
          <w:b/>
          <w:bCs/>
          <w:color w:val="auto"/>
        </w:rPr>
        <w:t>.</w:t>
      </w:r>
      <w:r>
        <w:rPr>
          <w:rFonts w:cs="Times New Roman"/>
          <w:b/>
          <w:bCs/>
          <w:color w:val="auto"/>
        </w:rPr>
        <w:t>施工期噪声环境影响分析</w:t>
      </w:r>
    </w:p>
    <w:p>
      <w:pPr>
        <w:snapToGrid w:val="0"/>
        <w:ind w:firstLine="480"/>
        <w:rPr>
          <w:rFonts w:cs="Times New Roman"/>
          <w:color w:val="auto"/>
        </w:rPr>
      </w:pPr>
      <w:r>
        <w:rPr>
          <w:rFonts w:cs="Times New Roman"/>
          <w:color w:val="auto"/>
        </w:rPr>
        <w:t>本项目施工期主要噪声源为施工机械的高噪声以及运输车辆的交通噪声。针对施工噪声本次环评要求分别从施工现场布局、施工作业时间、运输车辆的走行路线和时间、施工机械设备的选择、施工管理等方面采取相应的噪声治理措施。经采取以上噪声防治措施后，尽管施工噪声会对环境产生一定的不利影响，但施工期相对于运营期而言其影响是暂时的、短期的，一旦施工活动结束，施工噪声影响也就随之结束。</w:t>
      </w:r>
    </w:p>
    <w:p>
      <w:pPr>
        <w:snapToGrid w:val="0"/>
        <w:ind w:firstLine="482"/>
        <w:rPr>
          <w:rFonts w:cs="Times New Roman"/>
          <w:b/>
          <w:bCs/>
          <w:color w:val="auto"/>
        </w:rPr>
      </w:pPr>
      <w:r>
        <w:rPr>
          <w:rFonts w:cs="Times New Roman"/>
          <w:b/>
          <w:bCs/>
          <w:color w:val="auto"/>
        </w:rPr>
        <w:t>5</w:t>
      </w:r>
      <w:r>
        <w:rPr>
          <w:rFonts w:hint="eastAsia" w:cs="Times New Roman"/>
          <w:b/>
          <w:bCs/>
          <w:color w:val="auto"/>
        </w:rPr>
        <w:t>.</w:t>
      </w:r>
      <w:r>
        <w:rPr>
          <w:rFonts w:cs="Times New Roman"/>
          <w:b/>
          <w:bCs/>
          <w:color w:val="auto"/>
        </w:rPr>
        <w:t>施工期固体废物环境影响分析</w:t>
      </w:r>
    </w:p>
    <w:p>
      <w:pPr>
        <w:snapToGrid w:val="0"/>
        <w:ind w:firstLine="480"/>
        <w:rPr>
          <w:rFonts w:cs="Times New Roman"/>
          <w:color w:val="auto"/>
        </w:rPr>
      </w:pPr>
      <w:r>
        <w:rPr>
          <w:rFonts w:cs="Times New Roman"/>
          <w:color w:val="auto"/>
        </w:rPr>
        <w:t>本工程</w:t>
      </w:r>
      <w:r>
        <w:rPr>
          <w:rFonts w:hint="eastAsia" w:cs="Times New Roman"/>
          <w:color w:val="auto"/>
          <w:lang w:val="en-US" w:eastAsia="zh-CN"/>
        </w:rPr>
        <w:t>开挖</w:t>
      </w:r>
      <w:r>
        <w:rPr>
          <w:rFonts w:cs="Times New Roman"/>
          <w:color w:val="auto"/>
        </w:rPr>
        <w:t>土石方</w:t>
      </w:r>
      <w:r>
        <w:rPr>
          <w:rFonts w:hint="eastAsia" w:cs="Times New Roman"/>
          <w:color w:val="auto"/>
          <w:lang w:val="en-US" w:eastAsia="zh-CN"/>
        </w:rPr>
        <w:t>全部用于工程回填，无弃方</w:t>
      </w:r>
      <w:r>
        <w:rPr>
          <w:rFonts w:cs="Times New Roman"/>
          <w:color w:val="auto"/>
        </w:rPr>
        <w:t>。</w:t>
      </w:r>
    </w:p>
    <w:p>
      <w:pPr>
        <w:snapToGrid w:val="0"/>
        <w:ind w:firstLine="480"/>
        <w:rPr>
          <w:rFonts w:cs="Times New Roman"/>
          <w:color w:val="auto"/>
        </w:rPr>
      </w:pPr>
      <w:r>
        <w:rPr>
          <w:rFonts w:cs="Times New Roman"/>
          <w:color w:val="auto"/>
        </w:rPr>
        <w:t>本次环评要求施工营地内设置相应的分类垃圾箱，生活垃圾经分类收集后，暂存于分类垃圾箱内，定期由公司环卫人员清运至垃圾转运站预处理，最终进行卫生填埋。经采取上述措施后，本项目产生的固体废物不会对周边环境造成污染。</w:t>
      </w:r>
    </w:p>
    <w:p>
      <w:pPr>
        <w:snapToGrid w:val="0"/>
        <w:ind w:firstLine="482"/>
        <w:rPr>
          <w:rFonts w:cs="Times New Roman"/>
          <w:b/>
          <w:bCs/>
          <w:color w:val="auto"/>
        </w:rPr>
      </w:pPr>
      <w:r>
        <w:rPr>
          <w:rFonts w:cs="Times New Roman"/>
          <w:b/>
          <w:bCs/>
          <w:color w:val="auto"/>
        </w:rPr>
        <w:t>6</w:t>
      </w:r>
      <w:r>
        <w:rPr>
          <w:rFonts w:hint="eastAsia" w:cs="Times New Roman"/>
          <w:b/>
          <w:bCs/>
          <w:color w:val="auto"/>
        </w:rPr>
        <w:t>.</w:t>
      </w:r>
      <w:r>
        <w:rPr>
          <w:rFonts w:cs="Times New Roman"/>
          <w:b/>
          <w:bCs/>
          <w:color w:val="auto"/>
        </w:rPr>
        <w:t>施工期土壤环境影响分析</w:t>
      </w:r>
    </w:p>
    <w:p>
      <w:pPr>
        <w:snapToGrid w:val="0"/>
        <w:ind w:firstLine="480"/>
        <w:rPr>
          <w:rFonts w:cs="Times New Roman"/>
          <w:color w:val="auto"/>
        </w:rPr>
      </w:pPr>
      <w:r>
        <w:rPr>
          <w:rFonts w:cs="Times New Roman"/>
          <w:color w:val="auto"/>
        </w:rPr>
        <w:t>本项目主要是通过对河道进行生态综合治理，涉及到河道开挖及堤防填筑，不会造成土壤盐化、酸化、碱化等土壤环境生态影响，施工期对土壤环境影响很小。</w:t>
      </w:r>
    </w:p>
    <w:p>
      <w:pPr>
        <w:snapToGrid w:val="0"/>
        <w:ind w:firstLine="482"/>
        <w:rPr>
          <w:rFonts w:cs="Times New Roman"/>
          <w:b/>
          <w:bCs/>
          <w:color w:val="auto"/>
        </w:rPr>
      </w:pPr>
      <w:r>
        <w:rPr>
          <w:rFonts w:cs="Times New Roman"/>
          <w:b/>
          <w:bCs/>
          <w:color w:val="auto"/>
        </w:rPr>
        <w:t>7</w:t>
      </w:r>
      <w:r>
        <w:rPr>
          <w:rFonts w:hint="eastAsia" w:cs="Times New Roman"/>
          <w:b/>
          <w:bCs/>
          <w:color w:val="auto"/>
        </w:rPr>
        <w:t>.</w:t>
      </w:r>
      <w:r>
        <w:rPr>
          <w:rFonts w:cs="Times New Roman"/>
          <w:b/>
          <w:bCs/>
          <w:color w:val="auto"/>
        </w:rPr>
        <w:t>施工期生态环境影响分析</w:t>
      </w:r>
    </w:p>
    <w:p>
      <w:pPr>
        <w:snapToGrid w:val="0"/>
        <w:ind w:firstLine="480"/>
        <w:rPr>
          <w:rFonts w:cs="Times New Roman"/>
          <w:color w:val="auto"/>
        </w:rPr>
      </w:pPr>
      <w:r>
        <w:rPr>
          <w:rFonts w:hint="eastAsia" w:cs="Times New Roman"/>
          <w:color w:val="auto"/>
        </w:rPr>
        <w:t>项目临时占地对自然植被的影响为暂时性的，可在施工结束后逐步得到恢复。工程建设对区域植被影响较小。</w:t>
      </w:r>
    </w:p>
    <w:p>
      <w:pPr>
        <w:snapToGrid w:val="0"/>
        <w:ind w:firstLine="480"/>
        <w:rPr>
          <w:rFonts w:cs="Times New Roman"/>
          <w:color w:val="auto"/>
        </w:rPr>
      </w:pPr>
      <w:r>
        <w:rPr>
          <w:rFonts w:hint="eastAsia" w:cs="Times New Roman"/>
          <w:color w:val="auto"/>
        </w:rPr>
        <w:t>施工期对鸟类、两栖类、爬行类等陆生动物均产生一定的影响，会对陆生动物群落结构产生一定影响，其数量及物种多样性将会降低。项目完工后，随着河岸绿化及植被恢复，大部分鸟类、两栖类、爬行类等陆生动物将逐步得到恢复。</w:t>
      </w:r>
    </w:p>
    <w:p>
      <w:pPr>
        <w:snapToGrid w:val="0"/>
        <w:ind w:firstLine="480"/>
        <w:rPr>
          <w:rFonts w:cs="Times New Roman"/>
          <w:color w:val="auto"/>
        </w:rPr>
      </w:pPr>
      <w:r>
        <w:rPr>
          <w:rFonts w:hint="eastAsia" w:cs="Times New Roman"/>
          <w:color w:val="auto"/>
        </w:rPr>
        <w:t>项目河道工程会对施工区底栖生物的生存将构成极大的威胁，</w:t>
      </w:r>
      <w:r>
        <w:rPr>
          <w:rFonts w:hint="eastAsia" w:cs="Times New Roman"/>
          <w:color w:val="auto"/>
          <w:lang w:val="en-US" w:eastAsia="zh-CN"/>
        </w:rPr>
        <w:t>工程结束</w:t>
      </w:r>
      <w:r>
        <w:rPr>
          <w:rFonts w:hint="eastAsia" w:cs="Times New Roman"/>
          <w:color w:val="auto"/>
        </w:rPr>
        <w:t>后底栖动物能够得到一定程度的恢复，但是恢复进程缓慢。完工后底栖生物的恢复也相对较慢。</w:t>
      </w:r>
    </w:p>
    <w:p>
      <w:pPr>
        <w:snapToGrid w:val="0"/>
        <w:ind w:firstLine="480"/>
        <w:rPr>
          <w:rFonts w:cs="Times New Roman"/>
          <w:color w:val="auto"/>
        </w:rPr>
      </w:pPr>
      <w:r>
        <w:rPr>
          <w:rFonts w:hint="eastAsia" w:cs="Times New Roman"/>
          <w:color w:val="auto"/>
        </w:rPr>
        <w:t>项目在后期管理有效的情况下，能够提高水生生态环境水平，带来良好的生态效益。项目的建设不仅能保证流域水的正常流通，同时补充水源水量，对下游水质起到间接提升作用。</w:t>
      </w:r>
    </w:p>
    <w:p>
      <w:pPr>
        <w:snapToGrid w:val="0"/>
        <w:ind w:firstLine="482"/>
        <w:rPr>
          <w:rFonts w:cs="Times New Roman"/>
          <w:b/>
          <w:bCs/>
          <w:color w:val="auto"/>
        </w:rPr>
      </w:pPr>
      <w:r>
        <w:rPr>
          <w:rFonts w:cs="Times New Roman"/>
          <w:b/>
          <w:bCs/>
          <w:color w:val="auto"/>
        </w:rPr>
        <w:t>8</w:t>
      </w:r>
      <w:r>
        <w:rPr>
          <w:rFonts w:hint="eastAsia" w:cs="Times New Roman"/>
          <w:b/>
          <w:bCs/>
          <w:color w:val="auto"/>
        </w:rPr>
        <w:t>.施工区环境风险</w:t>
      </w:r>
      <w:r>
        <w:rPr>
          <w:rFonts w:cs="Times New Roman"/>
          <w:b/>
          <w:bCs/>
          <w:color w:val="auto"/>
        </w:rPr>
        <w:t>分析</w:t>
      </w:r>
    </w:p>
    <w:p>
      <w:pPr>
        <w:snapToGrid w:val="0"/>
        <w:ind w:firstLine="480"/>
        <w:rPr>
          <w:rFonts w:cs="Times New Roman"/>
          <w:color w:val="auto"/>
        </w:rPr>
      </w:pPr>
      <w:r>
        <w:rPr>
          <w:rFonts w:hint="eastAsia" w:cs="Times New Roman"/>
          <w:color w:val="auto"/>
        </w:rPr>
        <w:t>项目在运行过程中存在的环境风险较小，但施工单位在施工过程中仍要切实做好防范措施，一旦发生环境风险事故要及时进行应急处置，配合消防、生态环境、公安等部门加强现场处理，并及时通知周边居民做好紧急撤离。建设单位严格落实本评价提出的各项环境风险防范措施和各项应急预案，从而减缓、降低项目风险事故，在此基础上项目存在的风险属于可接受范围内。</w:t>
      </w:r>
    </w:p>
    <w:p>
      <w:pPr>
        <w:pStyle w:val="4"/>
        <w:numPr>
          <w:ilvl w:val="2"/>
          <w:numId w:val="0"/>
        </w:numPr>
        <w:snapToGrid w:val="0"/>
        <w:ind w:firstLine="480" w:firstLineChars="200"/>
        <w:rPr>
          <w:rFonts w:cs="Times New Roman"/>
          <w:color w:val="auto"/>
        </w:rPr>
      </w:pPr>
      <w:r>
        <w:rPr>
          <w:rFonts w:cs="Times New Roman"/>
          <w:color w:val="auto"/>
        </w:rPr>
        <w:t>10.1.4运营期环境影响分析</w:t>
      </w:r>
    </w:p>
    <w:p>
      <w:pPr>
        <w:snapToGrid w:val="0"/>
        <w:ind w:firstLine="482"/>
        <w:rPr>
          <w:rFonts w:cs="Times New Roman"/>
          <w:b/>
          <w:bCs/>
          <w:color w:val="auto"/>
        </w:rPr>
      </w:pPr>
      <w:r>
        <w:rPr>
          <w:rFonts w:cs="Times New Roman"/>
          <w:b/>
          <w:bCs/>
          <w:color w:val="auto"/>
        </w:rPr>
        <w:t>1</w:t>
      </w:r>
      <w:r>
        <w:rPr>
          <w:rFonts w:hint="eastAsia" w:cs="Times New Roman"/>
          <w:b/>
          <w:bCs/>
          <w:color w:val="auto"/>
        </w:rPr>
        <w:t>.</w:t>
      </w:r>
      <w:r>
        <w:rPr>
          <w:rFonts w:cs="Times New Roman"/>
          <w:b/>
          <w:bCs/>
          <w:color w:val="auto"/>
        </w:rPr>
        <w:t>生态环境影响分析</w:t>
      </w:r>
    </w:p>
    <w:p>
      <w:pPr>
        <w:snapToGrid w:val="0"/>
        <w:ind w:firstLine="480"/>
        <w:rPr>
          <w:rFonts w:cs="Times New Roman"/>
          <w:color w:val="auto"/>
        </w:rPr>
      </w:pPr>
      <w:r>
        <w:rPr>
          <w:rFonts w:cs="Times New Roman"/>
          <w:color w:val="auto"/>
        </w:rPr>
        <w:t>本项目</w:t>
      </w:r>
      <w:r>
        <w:rPr>
          <w:rFonts w:hint="eastAsia" w:cs="Times New Roman"/>
          <w:color w:val="auto"/>
        </w:rPr>
        <w:t>水生态修复</w:t>
      </w:r>
      <w:r>
        <w:rPr>
          <w:rFonts w:cs="Times New Roman"/>
          <w:color w:val="auto"/>
        </w:rPr>
        <w:t>均采用的为本地物种，不引进外来物种，丰富了项目周边物种多样性，对改善了生态系统多样性，对周边生态环境带来正效应。</w:t>
      </w:r>
    </w:p>
    <w:p>
      <w:pPr>
        <w:snapToGrid w:val="0"/>
        <w:ind w:firstLine="482"/>
        <w:rPr>
          <w:rFonts w:cs="Times New Roman"/>
          <w:b/>
          <w:bCs/>
          <w:color w:val="auto"/>
        </w:rPr>
      </w:pPr>
      <w:r>
        <w:rPr>
          <w:rFonts w:cs="Times New Roman"/>
          <w:b/>
          <w:bCs/>
          <w:color w:val="auto"/>
        </w:rPr>
        <w:t>2</w:t>
      </w:r>
      <w:r>
        <w:rPr>
          <w:rFonts w:hint="eastAsia" w:cs="Times New Roman"/>
          <w:b/>
          <w:bCs/>
          <w:color w:val="auto"/>
        </w:rPr>
        <w:t>.</w:t>
      </w:r>
      <w:r>
        <w:rPr>
          <w:rFonts w:cs="Times New Roman"/>
          <w:b/>
          <w:bCs/>
          <w:color w:val="auto"/>
        </w:rPr>
        <w:t>地表水环境影响分析</w:t>
      </w:r>
    </w:p>
    <w:p>
      <w:pPr>
        <w:snapToGrid w:val="0"/>
        <w:ind w:firstLine="480"/>
        <w:rPr>
          <w:rFonts w:cs="Times New Roman"/>
          <w:color w:val="auto"/>
        </w:rPr>
      </w:pPr>
      <w:r>
        <w:rPr>
          <w:rFonts w:cs="Times New Roman"/>
          <w:color w:val="auto"/>
        </w:rPr>
        <w:t>堤防工程沿河道两岸设置，保持原有的河道宽度，工程实施后河道行洪主槽更加明显，对水土流失起到一定防治作用，总体来说对水文情势影响较小。</w:t>
      </w:r>
    </w:p>
    <w:p>
      <w:pPr>
        <w:snapToGrid w:val="0"/>
        <w:ind w:firstLine="480"/>
        <w:rPr>
          <w:rFonts w:cs="Times New Roman"/>
          <w:color w:val="auto"/>
        </w:rPr>
      </w:pPr>
      <w:r>
        <w:rPr>
          <w:rFonts w:cs="Times New Roman"/>
          <w:color w:val="auto"/>
        </w:rPr>
        <w:t>本项目通过</w:t>
      </w:r>
      <w:r>
        <w:rPr>
          <w:rFonts w:hint="eastAsia" w:cs="Times New Roman"/>
          <w:color w:val="auto"/>
          <w:lang w:val="en-US" w:eastAsia="zh-CN"/>
        </w:rPr>
        <w:t>生态缓冲带、人工湿地</w:t>
      </w:r>
      <w:r>
        <w:rPr>
          <w:rFonts w:cs="Times New Roman"/>
          <w:color w:val="auto"/>
        </w:rPr>
        <w:t>工程等措施，减少入河污染物总量，增加生物多样性，恢复河道生态缓冲功能和水体自净能力，持续改善水生态环境，保障岚河下游出境断面水质稳定达到且优于《地表水环境质量标准》（GB838-2002）Ⅱ类标准，生态环境得到改善，呈现社会、生态等正效益。</w:t>
      </w:r>
    </w:p>
    <w:p>
      <w:pPr>
        <w:pStyle w:val="4"/>
        <w:numPr>
          <w:ilvl w:val="2"/>
          <w:numId w:val="0"/>
        </w:numPr>
        <w:snapToGrid w:val="0"/>
        <w:ind w:firstLine="480" w:firstLineChars="200"/>
        <w:rPr>
          <w:rFonts w:cs="Times New Roman"/>
          <w:color w:val="auto"/>
        </w:rPr>
      </w:pPr>
      <w:r>
        <w:rPr>
          <w:rFonts w:cs="Times New Roman"/>
          <w:color w:val="auto"/>
        </w:rPr>
        <w:t>10.1.5环境影响经济损益分析</w:t>
      </w:r>
    </w:p>
    <w:p>
      <w:pPr>
        <w:snapToGrid w:val="0"/>
        <w:ind w:firstLine="480"/>
        <w:rPr>
          <w:rFonts w:cs="Times New Roman"/>
          <w:color w:val="auto"/>
        </w:rPr>
      </w:pPr>
      <w:r>
        <w:rPr>
          <w:rFonts w:cs="Times New Roman"/>
          <w:color w:val="auto"/>
        </w:rPr>
        <w:t>本项目是以</w:t>
      </w:r>
      <w:r>
        <w:rPr>
          <w:rFonts w:hint="eastAsia" w:cs="Times New Roman"/>
          <w:color w:val="auto"/>
          <w:lang w:val="en-US" w:eastAsia="zh-CN"/>
        </w:rPr>
        <w:t>生态缓冲带、人工湿地</w:t>
      </w:r>
      <w:r>
        <w:rPr>
          <w:rFonts w:hint="eastAsia" w:cs="Times New Roman"/>
          <w:color w:val="auto"/>
        </w:rPr>
        <w:t>为主的项目</w:t>
      </w:r>
      <w:r>
        <w:rPr>
          <w:rFonts w:cs="Times New Roman"/>
          <w:color w:val="auto"/>
        </w:rPr>
        <w:t>，属于社会效益为主、兼顾一定</w:t>
      </w:r>
      <w:r>
        <w:rPr>
          <w:rFonts w:hint="eastAsia" w:cs="Times New Roman"/>
          <w:color w:val="auto"/>
          <w:lang w:val="en-US" w:eastAsia="zh-CN"/>
        </w:rPr>
        <w:t>防洪</w:t>
      </w:r>
      <w:r>
        <w:rPr>
          <w:rFonts w:cs="Times New Roman"/>
          <w:color w:val="auto"/>
        </w:rPr>
        <w:t>的公益性工程，并不以盈利为目的。本项目对国民经济的发展所起的作用主要体现在外部整体环境的改善，所产生的效益表现为难以用货币量化的环境效益和社会效益。本项目虽然在工程施工期存在一定的污染，但在采取相应的环境保护措施后，对环境的影响可得到有效减缓。本项目实施后，对改善河道水质、恢复河流生态功能、维护生物多样性、拉动投资等具有重要作用。本项目的环境效益、生态效益和社会效益远远大于项目的经济效益，其收益主要体现在建成之后的间接效益。从长远来看，随着工程的运行，环境效益、生态效益和社会效益将不断增大。</w:t>
      </w:r>
    </w:p>
    <w:p>
      <w:pPr>
        <w:pStyle w:val="4"/>
        <w:numPr>
          <w:ilvl w:val="2"/>
          <w:numId w:val="0"/>
        </w:numPr>
        <w:snapToGrid w:val="0"/>
        <w:ind w:firstLine="480" w:firstLineChars="200"/>
        <w:rPr>
          <w:rFonts w:cs="Times New Roman"/>
          <w:color w:val="auto"/>
        </w:rPr>
      </w:pPr>
      <w:r>
        <w:rPr>
          <w:rFonts w:cs="Times New Roman"/>
          <w:color w:val="auto"/>
        </w:rPr>
        <w:t>10.1.6环境管理与监测计划</w:t>
      </w:r>
    </w:p>
    <w:p>
      <w:pPr>
        <w:snapToGrid w:val="0"/>
        <w:ind w:firstLine="480"/>
        <w:rPr>
          <w:rFonts w:cs="Times New Roman"/>
          <w:color w:val="auto"/>
        </w:rPr>
      </w:pPr>
      <w:r>
        <w:rPr>
          <w:rFonts w:cs="Times New Roman"/>
          <w:color w:val="auto"/>
        </w:rPr>
        <w:t>建设单位</w:t>
      </w:r>
      <w:r>
        <w:rPr>
          <w:rFonts w:hint="eastAsia" w:cs="Times New Roman"/>
          <w:color w:val="auto"/>
        </w:rPr>
        <w:t>在</w:t>
      </w:r>
      <w:r>
        <w:rPr>
          <w:rFonts w:cs="Times New Roman"/>
          <w:color w:val="auto"/>
        </w:rPr>
        <w:t>建设阶段，针对不同工况、不同环境影响和环境风险特征，具备完善的环境管理要求。制定完善的污染源监测计划和环境质量监测计划，最大程度的避免管理不善而造成的环境风险。</w:t>
      </w:r>
    </w:p>
    <w:p>
      <w:pPr>
        <w:pStyle w:val="4"/>
        <w:numPr>
          <w:ilvl w:val="2"/>
          <w:numId w:val="0"/>
        </w:numPr>
        <w:snapToGrid w:val="0"/>
        <w:ind w:firstLine="480" w:firstLineChars="200"/>
        <w:rPr>
          <w:rFonts w:cs="Times New Roman"/>
          <w:color w:val="auto"/>
        </w:rPr>
      </w:pPr>
      <w:r>
        <w:rPr>
          <w:rFonts w:cs="Times New Roman"/>
          <w:color w:val="auto"/>
        </w:rPr>
        <w:t>10.1.7</w:t>
      </w:r>
      <w:r>
        <w:rPr>
          <w:rFonts w:hint="eastAsia" w:cs="Times New Roman"/>
          <w:color w:val="auto"/>
        </w:rPr>
        <w:t>总量控制</w:t>
      </w:r>
    </w:p>
    <w:p>
      <w:pPr>
        <w:snapToGrid w:val="0"/>
        <w:ind w:firstLine="480"/>
        <w:rPr>
          <w:rFonts w:cs="Times New Roman"/>
          <w:color w:val="auto"/>
        </w:rPr>
      </w:pPr>
      <w:r>
        <w:rPr>
          <w:rFonts w:hint="eastAsia" w:cs="Times New Roman"/>
          <w:color w:val="auto"/>
        </w:rPr>
        <w:t>结合工程排污特征，本项目为生态项目，本身不排放污染物，不属于新增重点污染物排放的建设项目，故本评价不设置总量控制指标。</w:t>
      </w:r>
    </w:p>
    <w:p>
      <w:pPr>
        <w:pStyle w:val="4"/>
        <w:numPr>
          <w:ilvl w:val="2"/>
          <w:numId w:val="0"/>
        </w:numPr>
        <w:snapToGrid w:val="0"/>
        <w:ind w:firstLine="480" w:firstLineChars="200"/>
        <w:rPr>
          <w:rFonts w:cs="Times New Roman"/>
          <w:color w:val="auto"/>
        </w:rPr>
      </w:pPr>
      <w:r>
        <w:rPr>
          <w:rFonts w:cs="Times New Roman"/>
          <w:color w:val="auto"/>
        </w:rPr>
        <w:t>10.1.8公众意见采纳情况</w:t>
      </w:r>
    </w:p>
    <w:p>
      <w:pPr>
        <w:snapToGrid w:val="0"/>
        <w:ind w:firstLine="480"/>
        <w:rPr>
          <w:rFonts w:cs="Times New Roman"/>
          <w:color w:val="auto"/>
        </w:rPr>
      </w:pPr>
      <w:r>
        <w:rPr>
          <w:rFonts w:hint="eastAsia" w:cs="Times New Roman"/>
          <w:color w:val="auto"/>
        </w:rPr>
        <w:t>按照《环境影响评价公众参与办法》要求，建设单位于</w:t>
      </w:r>
      <w:r>
        <w:rPr>
          <w:rFonts w:cs="Times New Roman"/>
          <w:color w:val="auto"/>
        </w:rPr>
        <w:t>2023</w:t>
      </w:r>
      <w:r>
        <w:rPr>
          <w:rFonts w:hint="eastAsia" w:cs="Times New Roman"/>
          <w:color w:val="auto"/>
        </w:rPr>
        <w:t>年</w:t>
      </w:r>
      <w:r>
        <w:rPr>
          <w:rFonts w:hint="eastAsia" w:cs="Times New Roman"/>
          <w:color w:val="auto"/>
          <w:lang w:val="en-US" w:eastAsia="zh-CN"/>
        </w:rPr>
        <w:t>11</w:t>
      </w:r>
      <w:r>
        <w:rPr>
          <w:rFonts w:hint="eastAsia" w:cs="Times New Roman"/>
          <w:color w:val="auto"/>
        </w:rPr>
        <w:t>月</w:t>
      </w:r>
      <w:r>
        <w:rPr>
          <w:rFonts w:hint="eastAsia" w:cs="Times New Roman"/>
          <w:color w:val="auto"/>
          <w:lang w:val="en-US" w:eastAsia="zh-CN"/>
        </w:rPr>
        <w:t>27</w:t>
      </w:r>
      <w:r>
        <w:rPr>
          <w:rFonts w:hint="eastAsia" w:cs="Times New Roman"/>
          <w:color w:val="auto"/>
        </w:rPr>
        <w:t>日、</w:t>
      </w:r>
      <w:r>
        <w:rPr>
          <w:rFonts w:cs="Times New Roman"/>
          <w:color w:val="auto"/>
        </w:rPr>
        <w:t>2023</w:t>
      </w:r>
      <w:r>
        <w:rPr>
          <w:rFonts w:hint="eastAsia" w:cs="Times New Roman"/>
          <w:color w:val="auto"/>
        </w:rPr>
        <w:t>年</w:t>
      </w:r>
      <w:r>
        <w:rPr>
          <w:rFonts w:hint="eastAsia" w:cs="Times New Roman"/>
          <w:color w:val="auto"/>
          <w:lang w:val="en-US" w:eastAsia="zh-CN"/>
        </w:rPr>
        <w:t>12</w:t>
      </w:r>
      <w:r>
        <w:rPr>
          <w:rFonts w:hint="eastAsia" w:cs="Times New Roman"/>
          <w:color w:val="auto"/>
        </w:rPr>
        <w:t>月</w:t>
      </w:r>
      <w:r>
        <w:rPr>
          <w:rFonts w:hint="eastAsia" w:cs="Times New Roman"/>
          <w:color w:val="auto"/>
          <w:lang w:val="en-US" w:eastAsia="zh-CN"/>
        </w:rPr>
        <w:t>19</w:t>
      </w:r>
      <w:r>
        <w:rPr>
          <w:rFonts w:hint="eastAsia" w:cs="Times New Roman"/>
          <w:color w:val="auto"/>
        </w:rPr>
        <w:t>日在“</w:t>
      </w:r>
      <w:r>
        <w:rPr>
          <w:rFonts w:hint="eastAsia" w:cs="Times New Roman"/>
          <w:color w:val="auto"/>
          <w:lang w:val="en-US" w:eastAsia="zh-CN"/>
        </w:rPr>
        <w:t>岚皋县</w:t>
      </w:r>
      <w:r>
        <w:rPr>
          <w:rFonts w:hint="eastAsia" w:cs="Times New Roman"/>
          <w:color w:val="auto"/>
        </w:rPr>
        <w:t>人民政府”网站上发布了环评信息第一次公示、征求意见稿公示，并在《安康日报》、项目区相关镇公示栏进行了征求意见稿公示。在发布环评信息公示期间，未收到项目周边群众及社会人士对本项目相关信息的反馈。</w:t>
      </w:r>
    </w:p>
    <w:p>
      <w:pPr>
        <w:pStyle w:val="4"/>
        <w:numPr>
          <w:ilvl w:val="2"/>
          <w:numId w:val="0"/>
        </w:numPr>
        <w:snapToGrid w:val="0"/>
        <w:ind w:firstLine="480" w:firstLineChars="200"/>
        <w:rPr>
          <w:rFonts w:cs="Times New Roman"/>
          <w:color w:val="auto"/>
        </w:rPr>
      </w:pPr>
      <w:r>
        <w:rPr>
          <w:rFonts w:cs="Times New Roman"/>
          <w:color w:val="auto"/>
        </w:rPr>
        <w:t>10.1.9项目可行性结论</w:t>
      </w:r>
    </w:p>
    <w:p>
      <w:pPr>
        <w:topLinePunct/>
        <w:snapToGrid w:val="0"/>
        <w:ind w:firstLine="480"/>
        <w:rPr>
          <w:rFonts w:cs="Times New Roman"/>
          <w:color w:val="auto"/>
        </w:rPr>
      </w:pPr>
      <w:r>
        <w:rPr>
          <w:rFonts w:cs="Times New Roman"/>
          <w:color w:val="auto"/>
        </w:rPr>
        <w:t>《安康市岚皋县岚河生态缓冲带保护修复项目</w:t>
      </w:r>
      <w:r>
        <w:rPr>
          <w:rFonts w:hint="eastAsia" w:cs="Times New Roman"/>
          <w:color w:val="auto"/>
        </w:rPr>
        <w:t>（一期）</w:t>
      </w:r>
      <w:r>
        <w:rPr>
          <w:rFonts w:cs="Times New Roman"/>
          <w:color w:val="auto"/>
        </w:rPr>
        <w:t>》项目，符合国家及地方有关政策要求</w:t>
      </w:r>
      <w:r>
        <w:rPr>
          <w:rFonts w:hint="eastAsia" w:cs="Times New Roman"/>
          <w:color w:val="auto"/>
        </w:rPr>
        <w:t>。本工程施工期对环境有一定的不利影响，但严格落实本报告书提出的各项污染治理措施、风险防范措施、生态保护措施，进一步优化施工方案，加强施工期环境管理工作的情况下，不利环境影响是局部的、短期的和可逆的，随着施工的结束，影响也随之消失。工程的实施不会造成水文情势重大变化，对河流生境及水生态环境影响有限。</w:t>
      </w:r>
      <w:r>
        <w:rPr>
          <w:rFonts w:cs="Times New Roman"/>
          <w:color w:val="auto"/>
        </w:rPr>
        <w:t>本工程实施后可以提高河道排洪涝标准，提升生态景观，</w:t>
      </w:r>
      <w:r>
        <w:rPr>
          <w:rFonts w:hint="eastAsia" w:cs="Times New Roman"/>
          <w:color w:val="auto"/>
        </w:rPr>
        <w:t>改善流域水质。</w:t>
      </w:r>
      <w:r>
        <w:rPr>
          <w:rFonts w:cs="Times New Roman"/>
          <w:color w:val="auto"/>
        </w:rPr>
        <w:t>在落实</w:t>
      </w:r>
      <w:r>
        <w:rPr>
          <w:rFonts w:hint="eastAsia" w:cs="Times New Roman"/>
          <w:color w:val="auto"/>
        </w:rPr>
        <w:t>项目设计方案和</w:t>
      </w:r>
      <w:r>
        <w:rPr>
          <w:rFonts w:cs="Times New Roman"/>
          <w:color w:val="auto"/>
        </w:rPr>
        <w:t>环评报告书相关环境保护措施</w:t>
      </w:r>
      <w:r>
        <w:rPr>
          <w:rFonts w:hint="eastAsia" w:cs="Times New Roman"/>
          <w:color w:val="auto"/>
        </w:rPr>
        <w:t>前提下</w:t>
      </w:r>
      <w:r>
        <w:rPr>
          <w:rFonts w:cs="Times New Roman"/>
          <w:color w:val="auto"/>
        </w:rPr>
        <w:t>，从环境保护角度分析，项目建设可行。</w:t>
      </w:r>
    </w:p>
    <w:p>
      <w:pPr>
        <w:pStyle w:val="3"/>
        <w:numPr>
          <w:ilvl w:val="1"/>
          <w:numId w:val="0"/>
        </w:numPr>
        <w:ind w:firstLine="560" w:firstLineChars="200"/>
        <w:rPr>
          <w:rFonts w:cs="Times New Roman"/>
          <w:b w:val="0"/>
          <w:color w:val="auto"/>
        </w:rPr>
      </w:pPr>
      <w:bookmarkStart w:id="118" w:name="_Toc20487"/>
      <w:bookmarkStart w:id="119" w:name="_Toc142388404"/>
      <w:r>
        <w:rPr>
          <w:rFonts w:cs="Times New Roman"/>
          <w:b w:val="0"/>
          <w:color w:val="auto"/>
        </w:rPr>
        <w:t>10.2建议</w:t>
      </w:r>
      <w:bookmarkEnd w:id="118"/>
      <w:bookmarkEnd w:id="119"/>
    </w:p>
    <w:p>
      <w:pPr>
        <w:snapToGrid w:val="0"/>
        <w:ind w:right="113" w:firstLine="480"/>
        <w:rPr>
          <w:rFonts w:cs="Times New Roman"/>
          <w:color w:val="auto"/>
        </w:rPr>
      </w:pPr>
      <w:r>
        <w:rPr>
          <w:rFonts w:hint="eastAsia" w:cs="Times New Roman"/>
          <w:color w:val="auto"/>
        </w:rPr>
        <w:t>1</w:t>
      </w:r>
      <w:r>
        <w:rPr>
          <w:rFonts w:cs="Times New Roman"/>
          <w:color w:val="auto"/>
        </w:rPr>
        <w:t>.本工程在开发建设的同时保护河道生态环境和水环境十分必要。应以预防为主为指导方针，在主体工程规划设计中，充分考虑工程开发建设对自然环境的影响和破坏，工程施工建设过程严格贯彻“三同时”原则。成立环境管理机构，对施工进行监督管理，确保环保施工。建立完善的水土保持防治责任制；确保环境保护投资的到位与投入。</w:t>
      </w:r>
    </w:p>
    <w:p>
      <w:pPr>
        <w:snapToGrid w:val="0"/>
        <w:ind w:right="113" w:firstLine="480"/>
        <w:rPr>
          <w:rFonts w:cs="Times New Roman"/>
          <w:color w:val="auto"/>
        </w:rPr>
      </w:pPr>
      <w:r>
        <w:rPr>
          <w:rFonts w:hint="eastAsia" w:cs="Times New Roman"/>
          <w:color w:val="auto"/>
        </w:rPr>
        <w:t>2</w:t>
      </w:r>
      <w:r>
        <w:rPr>
          <w:rFonts w:cs="Times New Roman"/>
          <w:color w:val="auto"/>
        </w:rPr>
        <w:t>.为能在工程开工前做好工程环境保护的准备工作，建议本工程环境影响报告书通过审查后，应紧密结合工程施工进度，编制环境保护设计报告，从工程准备期逐条落实，专款专用，以有利于维护和改善工程施工建设中的环境质量，减免施工中的不利影响。</w:t>
      </w:r>
    </w:p>
    <w:p>
      <w:pPr>
        <w:snapToGrid w:val="0"/>
        <w:ind w:right="113" w:firstLine="480"/>
        <w:rPr>
          <w:rFonts w:cs="Times New Roman"/>
          <w:color w:val="auto"/>
        </w:rPr>
      </w:pPr>
      <w:r>
        <w:rPr>
          <w:rFonts w:hint="eastAsia" w:cs="Times New Roman"/>
          <w:color w:val="auto"/>
        </w:rPr>
        <w:t>3.</w:t>
      </w:r>
      <w:r>
        <w:rPr>
          <w:rFonts w:cs="Times New Roman"/>
          <w:color w:val="auto"/>
        </w:rPr>
        <w:t>严格控制施工期间车辆、人员的活动范围，做好环境保护宣传工作，提高施工人员环保意识。</w:t>
      </w:r>
    </w:p>
    <w:p>
      <w:pPr>
        <w:snapToGrid w:val="0"/>
        <w:ind w:right="113" w:firstLine="480"/>
        <w:rPr>
          <w:rFonts w:cs="Times New Roman"/>
          <w:color w:val="auto"/>
        </w:rPr>
      </w:pPr>
      <w:r>
        <w:rPr>
          <w:rFonts w:hint="eastAsia" w:cs="Times New Roman"/>
          <w:color w:val="auto"/>
        </w:rPr>
        <w:t>4.</w:t>
      </w:r>
      <w:r>
        <w:rPr>
          <w:rFonts w:cs="Times New Roman"/>
          <w:color w:val="auto"/>
        </w:rPr>
        <w:t>选择有资质、管理严格的施工队伍，加强监督，提高施工管理水平，尽量减少施工对环境造成的影响。</w:t>
      </w:r>
    </w:p>
    <w:p>
      <w:pPr>
        <w:pStyle w:val="61"/>
        <w:ind w:left="0" w:leftChars="0" w:firstLine="0" w:firstLineChars="0"/>
        <w:rPr>
          <w:rFonts w:cs="Times New Roman"/>
          <w:color w:val="auto"/>
        </w:rPr>
      </w:pPr>
    </w:p>
    <w:sectPr>
      <w:pgSz w:w="11906" w:h="16838"/>
      <w:pgMar w:top="1417" w:right="1531" w:bottom="1417" w:left="1417" w:header="851" w:footer="851" w:gutter="0"/>
      <w:pgBorders>
        <w:top w:val="none" w:sz="0" w:space="0"/>
        <w:left w:val="none" w:sz="0" w:space="0"/>
        <w:bottom w:val="none" w:sz="0" w:space="0"/>
        <w:right w:val="none" w:sz="0" w:space="0"/>
      </w:pgBorders>
      <w:cols w:space="0" w:num="1"/>
      <w:docGrid w:linePitch="40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Calibri Light">
    <w:panose1 w:val="020F03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华文细黑">
    <w:altName w:val="微软雅黑"/>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Sim Sun">
    <w:altName w:val="宋体"/>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华文新魏">
    <w:altName w:val="宋体"/>
    <w:panose1 w:val="02010800040101010101"/>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0" w:firstLineChars="0"/>
      <w:rPr>
        <w:sz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thinThickSmallGap" w:color="auto" w:sz="12" w:space="1"/>
      </w:pBdr>
      <w:ind w:firstLine="360"/>
      <w:jc w:val="center"/>
    </w:pPr>
    <w:r>
      <w:fldChar w:fldCharType="begin"/>
    </w:r>
    <w:r>
      <w:instrText xml:space="preserve">PAGE   \* MERGEFORMAT</w:instrText>
    </w:r>
    <w:r>
      <w:fldChar w:fldCharType="separate"/>
    </w:r>
    <w:r>
      <w:rPr>
        <w:lang w:val="zh-CN"/>
      </w:rPr>
      <w:t>14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thinThickSmallGap" w:color="auto" w:sz="12" w:space="1"/>
      </w:pBdr>
      <w:kinsoku w:val="0"/>
      <w:overflowPunct w:val="0"/>
      <w:spacing w:line="14" w:lineRule="auto"/>
      <w:ind w:firstLine="480"/>
      <w:rPr>
        <w:rFonts w:cs="Times New Roman" w:eastAsiaTheme="minorEastAsia"/>
        <w:sz w:val="20"/>
        <w:szCs w:val="20"/>
      </w:rPr>
    </w:pPr>
    <w:r>
      <mc:AlternateContent>
        <mc:Choice Requires="wps">
          <w:drawing>
            <wp:anchor distT="0" distB="0" distL="114300" distR="114300" simplePos="0" relativeHeight="251659264" behindDoc="0" locked="0" layoutInCell="0" allowOverlap="1">
              <wp:simplePos x="0" y="0"/>
              <wp:positionH relativeFrom="margin">
                <wp:posOffset>2631440</wp:posOffset>
              </wp:positionH>
              <wp:positionV relativeFrom="paragraph">
                <wp:posOffset>-193675</wp:posOffset>
              </wp:positionV>
              <wp:extent cx="514985" cy="257810"/>
              <wp:effectExtent l="0" t="0" r="18415" b="8890"/>
              <wp:wrapNone/>
              <wp:docPr id="55"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514985" cy="257810"/>
                      </a:xfrm>
                      <a:prstGeom prst="rect">
                        <a:avLst/>
                      </a:prstGeom>
                      <a:noFill/>
                      <a:ln>
                        <a:noFill/>
                      </a:ln>
                    </wps:spPr>
                    <wps:txbx>
                      <w:txbxContent>
                        <w:p>
                          <w:pPr>
                            <w:pStyle w:val="7"/>
                            <w:kinsoku w:val="0"/>
                            <w:overflowPunct w:val="0"/>
                            <w:spacing w:line="204" w:lineRule="exact"/>
                            <w:ind w:left="40" w:firstLine="360"/>
                            <w:rPr>
                              <w:rFonts w:cs="Times New Roman" w:eastAsiaTheme="minorEastAsia"/>
                              <w:sz w:val="18"/>
                              <w:szCs w:val="18"/>
                            </w:rPr>
                          </w:pPr>
                          <w:r>
                            <w:rPr>
                              <w:rFonts w:cs="Times New Roman" w:eastAsiaTheme="minorEastAsia"/>
                              <w:sz w:val="18"/>
                              <w:szCs w:val="18"/>
                            </w:rPr>
                            <w:fldChar w:fldCharType="begin"/>
                          </w:r>
                          <w:r>
                            <w:rPr>
                              <w:rFonts w:cs="Times New Roman" w:eastAsiaTheme="minorEastAsia"/>
                              <w:sz w:val="18"/>
                              <w:szCs w:val="18"/>
                            </w:rPr>
                            <w:instrText xml:space="preserve"> PAGE </w:instrText>
                          </w:r>
                          <w:r>
                            <w:rPr>
                              <w:rFonts w:cs="Times New Roman" w:eastAsiaTheme="minorEastAsia"/>
                              <w:sz w:val="18"/>
                              <w:szCs w:val="18"/>
                            </w:rPr>
                            <w:fldChar w:fldCharType="separate"/>
                          </w:r>
                          <w:r>
                            <w:rPr>
                              <w:rFonts w:cs="Times New Roman" w:eastAsiaTheme="minorEastAsia"/>
                              <w:sz w:val="18"/>
                              <w:szCs w:val="18"/>
                            </w:rPr>
                            <w:t>153</w:t>
                          </w:r>
                          <w:r>
                            <w:rPr>
                              <w:rFonts w:cs="Times New Roman" w:eastAsiaTheme="minorEastAsia"/>
                              <w:sz w:val="18"/>
                              <w:szCs w:val="18"/>
                            </w:rP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07.2pt;margin-top:-15.25pt;height:20.3pt;width:40.55pt;mso-position-horizontal-relative:margin;z-index:251659264;mso-width-relative:page;mso-height-relative:page;" filled="f" stroked="f" coordsize="21600,21600" o:allowincell="f" o:gfxdata="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Ij9F2QAAAAoBAAAPAAAAAAAAAAEA&#10;IAAAACIAAABkcnMvZG93bnJldi54bWxQSwECFAAUAAAACACHTuJAuuK9KA4CAAAGBAAADgAAAAAA&#10;AAABACAAAAAoAQAAZHJzL2Uyb0RvYy54bWxQSwUGAAAAAAYABgBZAQAAqAUAAAAA&#10;">
              <v:fill on="f" focussize="0,0"/>
              <v:stroke on="f"/>
              <v:imagedata o:title=""/>
              <o:lock v:ext="edit" aspectratio="f"/>
              <v:textbox inset="0mm,0mm,0mm,0mm">
                <w:txbxContent>
                  <w:p>
                    <w:pPr>
                      <w:pStyle w:val="7"/>
                      <w:kinsoku w:val="0"/>
                      <w:overflowPunct w:val="0"/>
                      <w:spacing w:line="204" w:lineRule="exact"/>
                      <w:ind w:left="40" w:firstLine="360"/>
                      <w:rPr>
                        <w:rFonts w:cs="Times New Roman" w:eastAsiaTheme="minorEastAsia"/>
                        <w:sz w:val="18"/>
                        <w:szCs w:val="18"/>
                      </w:rPr>
                    </w:pPr>
                    <w:r>
                      <w:rPr>
                        <w:rFonts w:cs="Times New Roman" w:eastAsiaTheme="minorEastAsia"/>
                        <w:sz w:val="18"/>
                        <w:szCs w:val="18"/>
                      </w:rPr>
                      <w:fldChar w:fldCharType="begin"/>
                    </w:r>
                    <w:r>
                      <w:rPr>
                        <w:rFonts w:cs="Times New Roman" w:eastAsiaTheme="minorEastAsia"/>
                        <w:sz w:val="18"/>
                        <w:szCs w:val="18"/>
                      </w:rPr>
                      <w:instrText xml:space="preserve"> PAGE </w:instrText>
                    </w:r>
                    <w:r>
                      <w:rPr>
                        <w:rFonts w:cs="Times New Roman" w:eastAsiaTheme="minorEastAsia"/>
                        <w:sz w:val="18"/>
                        <w:szCs w:val="18"/>
                      </w:rPr>
                      <w:fldChar w:fldCharType="separate"/>
                    </w:r>
                    <w:r>
                      <w:rPr>
                        <w:rFonts w:cs="Times New Roman" w:eastAsiaTheme="minorEastAsia"/>
                        <w:sz w:val="18"/>
                        <w:szCs w:val="18"/>
                      </w:rPr>
                      <w:t>153</w:t>
                    </w:r>
                    <w:r>
                      <w:rPr>
                        <w:rFonts w:cs="Times New Roman" w:eastAsiaTheme="minorEastAsia"/>
                        <w:sz w:val="18"/>
                        <w:szCs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thinThickSmallGap" w:color="auto" w:sz="24" w:space="1"/>
      </w:pBdr>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ind w:firstLine="360"/>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pPr>
                      <w:pStyle w:val="28"/>
                      <w:ind w:firstLine="360"/>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thickThinSmallGap" w:color="auto" w:sz="12" w:space="1"/>
      </w:pBdr>
      <w:ind w:firstLine="360"/>
      <w:jc w:val="right"/>
      <w:rPr>
        <w:sz w:val="21"/>
        <w:szCs w:val="21"/>
      </w:rPr>
    </w:pPr>
    <w:r>
      <w:rPr>
        <w:rFonts w:cs="Times New Roman"/>
      </w:rPr>
      <w:t>安康市岚皋县岚河生态缓冲带保护修复项目</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85E95E"/>
    <w:multiLevelType w:val="multilevel"/>
    <w:tmpl w:val="7085E95E"/>
    <w:lvl w:ilvl="0" w:tentative="0">
      <w:start w:val="1"/>
      <w:numFmt w:val="decimal"/>
      <w:pStyle w:val="2"/>
      <w:lvlText w:val="%1"/>
      <w:lvlJc w:val="left"/>
      <w:pPr>
        <w:ind w:left="432" w:hanging="432"/>
      </w:pPr>
      <w:rPr>
        <w:rFonts w:hint="default" w:ascii="Times New Roman" w:hAnsi="Times New Roman" w:eastAsia="黑体" w:cs="宋体"/>
      </w:rPr>
    </w:lvl>
    <w:lvl w:ilvl="1" w:tentative="0">
      <w:start w:val="1"/>
      <w:numFmt w:val="decimal"/>
      <w:pStyle w:val="3"/>
      <w:lvlText w:val="%1.%2"/>
      <w:lvlJc w:val="left"/>
      <w:pPr>
        <w:ind w:left="575" w:hanging="575"/>
      </w:pPr>
      <w:rPr>
        <w:rFonts w:hint="default" w:ascii="Times New Roman" w:hAnsi="Times New Roman" w:eastAsia="黑体" w:cs="宋体"/>
      </w:rPr>
    </w:lvl>
    <w:lvl w:ilvl="2" w:tentative="0">
      <w:start w:val="1"/>
      <w:numFmt w:val="decimal"/>
      <w:pStyle w:val="4"/>
      <w:lvlText w:val="%1.%2.%3"/>
      <w:lvlJc w:val="left"/>
      <w:pPr>
        <w:ind w:left="720" w:hanging="720"/>
      </w:pPr>
      <w:rPr>
        <w:rFonts w:hint="default" w:ascii="Times New Roman" w:hAnsi="Times New Roman" w:eastAsia="宋体" w:cs="宋体"/>
      </w:rPr>
    </w:lvl>
    <w:lvl w:ilvl="3" w:tentative="0">
      <w:start w:val="1"/>
      <w:numFmt w:val="decimal"/>
      <w:pStyle w:val="5"/>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hideSpellingErrors/>
  <w:documentProtection w:enforcement="0"/>
  <w:defaultTabStop w:val="420"/>
  <w:drawingGridHorizontalSpacing w:val="120"/>
  <w:drawingGridVerticalSpacing w:val="20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jMzFiNzkxNmU0ZjJiZTMwNWNiNGQwNTUzYzA2YTUifQ=="/>
  </w:docVars>
  <w:rsids>
    <w:rsidRoot w:val="00172A27"/>
    <w:rsid w:val="0000144F"/>
    <w:rsid w:val="00001527"/>
    <w:rsid w:val="00002A90"/>
    <w:rsid w:val="00002C66"/>
    <w:rsid w:val="000031F8"/>
    <w:rsid w:val="00004705"/>
    <w:rsid w:val="00005ED9"/>
    <w:rsid w:val="00006D53"/>
    <w:rsid w:val="00010513"/>
    <w:rsid w:val="00010BE8"/>
    <w:rsid w:val="0001220B"/>
    <w:rsid w:val="00012627"/>
    <w:rsid w:val="00012933"/>
    <w:rsid w:val="00020007"/>
    <w:rsid w:val="00022340"/>
    <w:rsid w:val="00022692"/>
    <w:rsid w:val="0002520A"/>
    <w:rsid w:val="0002685B"/>
    <w:rsid w:val="00027C65"/>
    <w:rsid w:val="00030A45"/>
    <w:rsid w:val="0003267B"/>
    <w:rsid w:val="00032E36"/>
    <w:rsid w:val="00034414"/>
    <w:rsid w:val="00035F5B"/>
    <w:rsid w:val="000419EF"/>
    <w:rsid w:val="0004227F"/>
    <w:rsid w:val="0004416E"/>
    <w:rsid w:val="000458B9"/>
    <w:rsid w:val="00047CAA"/>
    <w:rsid w:val="00050057"/>
    <w:rsid w:val="00050B87"/>
    <w:rsid w:val="00052A93"/>
    <w:rsid w:val="00053291"/>
    <w:rsid w:val="000532AC"/>
    <w:rsid w:val="0005377B"/>
    <w:rsid w:val="000557CB"/>
    <w:rsid w:val="00056F0D"/>
    <w:rsid w:val="00057DB0"/>
    <w:rsid w:val="00060779"/>
    <w:rsid w:val="000609BF"/>
    <w:rsid w:val="00060A9B"/>
    <w:rsid w:val="00062A4C"/>
    <w:rsid w:val="000630F2"/>
    <w:rsid w:val="00063FBA"/>
    <w:rsid w:val="0006454D"/>
    <w:rsid w:val="000656C9"/>
    <w:rsid w:val="00066805"/>
    <w:rsid w:val="000670F3"/>
    <w:rsid w:val="00067ACF"/>
    <w:rsid w:val="000716D5"/>
    <w:rsid w:val="00072528"/>
    <w:rsid w:val="0007311D"/>
    <w:rsid w:val="00074F1B"/>
    <w:rsid w:val="00074FF8"/>
    <w:rsid w:val="00077388"/>
    <w:rsid w:val="00077C53"/>
    <w:rsid w:val="00077FC1"/>
    <w:rsid w:val="0008054E"/>
    <w:rsid w:val="00080954"/>
    <w:rsid w:val="00081409"/>
    <w:rsid w:val="000819D6"/>
    <w:rsid w:val="0008341B"/>
    <w:rsid w:val="00083E48"/>
    <w:rsid w:val="00083F46"/>
    <w:rsid w:val="0008480F"/>
    <w:rsid w:val="00085284"/>
    <w:rsid w:val="0008704F"/>
    <w:rsid w:val="0008732E"/>
    <w:rsid w:val="00090114"/>
    <w:rsid w:val="00092792"/>
    <w:rsid w:val="00095933"/>
    <w:rsid w:val="00097245"/>
    <w:rsid w:val="000A07AF"/>
    <w:rsid w:val="000A1314"/>
    <w:rsid w:val="000A6C5F"/>
    <w:rsid w:val="000A76BF"/>
    <w:rsid w:val="000B0666"/>
    <w:rsid w:val="000B28C5"/>
    <w:rsid w:val="000B4512"/>
    <w:rsid w:val="000B51AB"/>
    <w:rsid w:val="000B5B77"/>
    <w:rsid w:val="000C1ADD"/>
    <w:rsid w:val="000C2EC9"/>
    <w:rsid w:val="000C7D7E"/>
    <w:rsid w:val="000D1508"/>
    <w:rsid w:val="000D396D"/>
    <w:rsid w:val="000D4412"/>
    <w:rsid w:val="000E027C"/>
    <w:rsid w:val="000E02A3"/>
    <w:rsid w:val="000E0806"/>
    <w:rsid w:val="000E1DBB"/>
    <w:rsid w:val="000E4CB9"/>
    <w:rsid w:val="000E5066"/>
    <w:rsid w:val="000E58CF"/>
    <w:rsid w:val="000E7671"/>
    <w:rsid w:val="000F1F41"/>
    <w:rsid w:val="000F3BDF"/>
    <w:rsid w:val="000F3C1B"/>
    <w:rsid w:val="000F4792"/>
    <w:rsid w:val="000F55C3"/>
    <w:rsid w:val="000F747E"/>
    <w:rsid w:val="001008C4"/>
    <w:rsid w:val="00101B5D"/>
    <w:rsid w:val="001031E2"/>
    <w:rsid w:val="00106735"/>
    <w:rsid w:val="00112C32"/>
    <w:rsid w:val="00113299"/>
    <w:rsid w:val="001156F6"/>
    <w:rsid w:val="00116048"/>
    <w:rsid w:val="00116A0E"/>
    <w:rsid w:val="0012011A"/>
    <w:rsid w:val="00121533"/>
    <w:rsid w:val="001217F9"/>
    <w:rsid w:val="00123F25"/>
    <w:rsid w:val="0012600A"/>
    <w:rsid w:val="00127AB7"/>
    <w:rsid w:val="00130F86"/>
    <w:rsid w:val="00135790"/>
    <w:rsid w:val="0013587F"/>
    <w:rsid w:val="001360DF"/>
    <w:rsid w:val="0013637A"/>
    <w:rsid w:val="00137865"/>
    <w:rsid w:val="00142576"/>
    <w:rsid w:val="00150098"/>
    <w:rsid w:val="001536FE"/>
    <w:rsid w:val="001570DA"/>
    <w:rsid w:val="00160FD4"/>
    <w:rsid w:val="00164158"/>
    <w:rsid w:val="00167C2B"/>
    <w:rsid w:val="00172A27"/>
    <w:rsid w:val="00172D2C"/>
    <w:rsid w:val="00173C77"/>
    <w:rsid w:val="001752AD"/>
    <w:rsid w:val="001758CC"/>
    <w:rsid w:val="00175C67"/>
    <w:rsid w:val="001774F5"/>
    <w:rsid w:val="00181AAD"/>
    <w:rsid w:val="00182655"/>
    <w:rsid w:val="00183D98"/>
    <w:rsid w:val="00184FC5"/>
    <w:rsid w:val="00186B55"/>
    <w:rsid w:val="00187222"/>
    <w:rsid w:val="00191DD2"/>
    <w:rsid w:val="0019233D"/>
    <w:rsid w:val="00192942"/>
    <w:rsid w:val="00196DB4"/>
    <w:rsid w:val="0019785A"/>
    <w:rsid w:val="001A0AA4"/>
    <w:rsid w:val="001A704D"/>
    <w:rsid w:val="001B00BA"/>
    <w:rsid w:val="001B0CF4"/>
    <w:rsid w:val="001B103F"/>
    <w:rsid w:val="001B246B"/>
    <w:rsid w:val="001B25FA"/>
    <w:rsid w:val="001B41C6"/>
    <w:rsid w:val="001B4B3F"/>
    <w:rsid w:val="001B55A5"/>
    <w:rsid w:val="001B65C9"/>
    <w:rsid w:val="001B7AF3"/>
    <w:rsid w:val="001B7D75"/>
    <w:rsid w:val="001C138E"/>
    <w:rsid w:val="001C1DAF"/>
    <w:rsid w:val="001C317C"/>
    <w:rsid w:val="001C40BA"/>
    <w:rsid w:val="001C4296"/>
    <w:rsid w:val="001C4C3E"/>
    <w:rsid w:val="001C747F"/>
    <w:rsid w:val="001C7684"/>
    <w:rsid w:val="001C7850"/>
    <w:rsid w:val="001D05C2"/>
    <w:rsid w:val="001D0ECF"/>
    <w:rsid w:val="001D1239"/>
    <w:rsid w:val="001D2DB9"/>
    <w:rsid w:val="001D2F2C"/>
    <w:rsid w:val="001D341C"/>
    <w:rsid w:val="001D353A"/>
    <w:rsid w:val="001D5E94"/>
    <w:rsid w:val="001D6DC3"/>
    <w:rsid w:val="001D745B"/>
    <w:rsid w:val="001E2AA6"/>
    <w:rsid w:val="001E3098"/>
    <w:rsid w:val="001E3B56"/>
    <w:rsid w:val="001E3B6D"/>
    <w:rsid w:val="001E3D1B"/>
    <w:rsid w:val="001E6808"/>
    <w:rsid w:val="001E72E0"/>
    <w:rsid w:val="001F0AC4"/>
    <w:rsid w:val="001F0AF7"/>
    <w:rsid w:val="001F1AA0"/>
    <w:rsid w:val="001F4AF6"/>
    <w:rsid w:val="001F5AAF"/>
    <w:rsid w:val="00202BA9"/>
    <w:rsid w:val="00203EC1"/>
    <w:rsid w:val="002046E1"/>
    <w:rsid w:val="00206742"/>
    <w:rsid w:val="002072A6"/>
    <w:rsid w:val="002077D8"/>
    <w:rsid w:val="00207B3C"/>
    <w:rsid w:val="00210049"/>
    <w:rsid w:val="002104D5"/>
    <w:rsid w:val="00211808"/>
    <w:rsid w:val="00211A26"/>
    <w:rsid w:val="00214D10"/>
    <w:rsid w:val="00214F27"/>
    <w:rsid w:val="00214F4A"/>
    <w:rsid w:val="00215486"/>
    <w:rsid w:val="00215AA4"/>
    <w:rsid w:val="00216B62"/>
    <w:rsid w:val="00217BBE"/>
    <w:rsid w:val="002223B0"/>
    <w:rsid w:val="002232B3"/>
    <w:rsid w:val="00226E08"/>
    <w:rsid w:val="00231120"/>
    <w:rsid w:val="00231349"/>
    <w:rsid w:val="00232733"/>
    <w:rsid w:val="002339ED"/>
    <w:rsid w:val="002358D0"/>
    <w:rsid w:val="00236723"/>
    <w:rsid w:val="0023700C"/>
    <w:rsid w:val="002412BE"/>
    <w:rsid w:val="00243C90"/>
    <w:rsid w:val="0024644D"/>
    <w:rsid w:val="00246E1F"/>
    <w:rsid w:val="002472B5"/>
    <w:rsid w:val="002479AB"/>
    <w:rsid w:val="00250129"/>
    <w:rsid w:val="00251146"/>
    <w:rsid w:val="0025202F"/>
    <w:rsid w:val="00252173"/>
    <w:rsid w:val="00252C05"/>
    <w:rsid w:val="00252F57"/>
    <w:rsid w:val="00256069"/>
    <w:rsid w:val="00261D92"/>
    <w:rsid w:val="002658B9"/>
    <w:rsid w:val="00270138"/>
    <w:rsid w:val="00270691"/>
    <w:rsid w:val="00271C91"/>
    <w:rsid w:val="00272157"/>
    <w:rsid w:val="002738D7"/>
    <w:rsid w:val="00273CA1"/>
    <w:rsid w:val="00274404"/>
    <w:rsid w:val="002745D5"/>
    <w:rsid w:val="002776D5"/>
    <w:rsid w:val="00277835"/>
    <w:rsid w:val="00277D25"/>
    <w:rsid w:val="00280242"/>
    <w:rsid w:val="0028199D"/>
    <w:rsid w:val="002855ED"/>
    <w:rsid w:val="00286756"/>
    <w:rsid w:val="00286D25"/>
    <w:rsid w:val="00287A74"/>
    <w:rsid w:val="00293557"/>
    <w:rsid w:val="00293FC1"/>
    <w:rsid w:val="00294704"/>
    <w:rsid w:val="00294A18"/>
    <w:rsid w:val="002955F3"/>
    <w:rsid w:val="0029697A"/>
    <w:rsid w:val="002A4FDF"/>
    <w:rsid w:val="002A670E"/>
    <w:rsid w:val="002A7411"/>
    <w:rsid w:val="002A7878"/>
    <w:rsid w:val="002A7D25"/>
    <w:rsid w:val="002B0CC0"/>
    <w:rsid w:val="002B2568"/>
    <w:rsid w:val="002B2AE7"/>
    <w:rsid w:val="002B545C"/>
    <w:rsid w:val="002B6B18"/>
    <w:rsid w:val="002C0EF9"/>
    <w:rsid w:val="002C0F99"/>
    <w:rsid w:val="002D0507"/>
    <w:rsid w:val="002D51EB"/>
    <w:rsid w:val="002D526C"/>
    <w:rsid w:val="002D600F"/>
    <w:rsid w:val="002D692E"/>
    <w:rsid w:val="002D7621"/>
    <w:rsid w:val="002D780A"/>
    <w:rsid w:val="002E037E"/>
    <w:rsid w:val="002E171E"/>
    <w:rsid w:val="002E20B9"/>
    <w:rsid w:val="002E2546"/>
    <w:rsid w:val="002E2A02"/>
    <w:rsid w:val="002E740A"/>
    <w:rsid w:val="002F4222"/>
    <w:rsid w:val="002F55B6"/>
    <w:rsid w:val="002F61C2"/>
    <w:rsid w:val="002F7FB9"/>
    <w:rsid w:val="00300941"/>
    <w:rsid w:val="00302B86"/>
    <w:rsid w:val="00302BBD"/>
    <w:rsid w:val="003048F7"/>
    <w:rsid w:val="003050CA"/>
    <w:rsid w:val="0030526B"/>
    <w:rsid w:val="003060AC"/>
    <w:rsid w:val="003061C3"/>
    <w:rsid w:val="003061E5"/>
    <w:rsid w:val="00307473"/>
    <w:rsid w:val="0031315D"/>
    <w:rsid w:val="00313352"/>
    <w:rsid w:val="00314472"/>
    <w:rsid w:val="00315CDF"/>
    <w:rsid w:val="0031729C"/>
    <w:rsid w:val="00317B94"/>
    <w:rsid w:val="00320BEB"/>
    <w:rsid w:val="003235BE"/>
    <w:rsid w:val="00324491"/>
    <w:rsid w:val="003273F4"/>
    <w:rsid w:val="00327D89"/>
    <w:rsid w:val="00330177"/>
    <w:rsid w:val="003338A7"/>
    <w:rsid w:val="003338C5"/>
    <w:rsid w:val="003418BB"/>
    <w:rsid w:val="003457A9"/>
    <w:rsid w:val="003521A5"/>
    <w:rsid w:val="003531E1"/>
    <w:rsid w:val="003532FE"/>
    <w:rsid w:val="00353343"/>
    <w:rsid w:val="00354FBD"/>
    <w:rsid w:val="003559DE"/>
    <w:rsid w:val="00356D16"/>
    <w:rsid w:val="00367092"/>
    <w:rsid w:val="003674AA"/>
    <w:rsid w:val="0037215E"/>
    <w:rsid w:val="003733CD"/>
    <w:rsid w:val="003762A6"/>
    <w:rsid w:val="0038155F"/>
    <w:rsid w:val="00381DD0"/>
    <w:rsid w:val="00382B42"/>
    <w:rsid w:val="00384298"/>
    <w:rsid w:val="00385729"/>
    <w:rsid w:val="0038719D"/>
    <w:rsid w:val="003902D9"/>
    <w:rsid w:val="00391021"/>
    <w:rsid w:val="00391E0B"/>
    <w:rsid w:val="00392560"/>
    <w:rsid w:val="00392F13"/>
    <w:rsid w:val="003963ED"/>
    <w:rsid w:val="00397588"/>
    <w:rsid w:val="00397C57"/>
    <w:rsid w:val="003A185E"/>
    <w:rsid w:val="003A2BB4"/>
    <w:rsid w:val="003A2C61"/>
    <w:rsid w:val="003A2CE5"/>
    <w:rsid w:val="003A33A9"/>
    <w:rsid w:val="003A52CB"/>
    <w:rsid w:val="003A6169"/>
    <w:rsid w:val="003A6A9F"/>
    <w:rsid w:val="003A6ACB"/>
    <w:rsid w:val="003A7577"/>
    <w:rsid w:val="003A77E4"/>
    <w:rsid w:val="003B0F96"/>
    <w:rsid w:val="003B1137"/>
    <w:rsid w:val="003B1BA7"/>
    <w:rsid w:val="003B2582"/>
    <w:rsid w:val="003B2D71"/>
    <w:rsid w:val="003B344B"/>
    <w:rsid w:val="003B3533"/>
    <w:rsid w:val="003B357D"/>
    <w:rsid w:val="003B68BF"/>
    <w:rsid w:val="003B771B"/>
    <w:rsid w:val="003C0DB4"/>
    <w:rsid w:val="003C146A"/>
    <w:rsid w:val="003C1495"/>
    <w:rsid w:val="003C3444"/>
    <w:rsid w:val="003C61D2"/>
    <w:rsid w:val="003C62F8"/>
    <w:rsid w:val="003C6D5C"/>
    <w:rsid w:val="003C77B1"/>
    <w:rsid w:val="003D1E6E"/>
    <w:rsid w:val="003D70AF"/>
    <w:rsid w:val="003E01F1"/>
    <w:rsid w:val="003E1231"/>
    <w:rsid w:val="003E32EF"/>
    <w:rsid w:val="003E67A3"/>
    <w:rsid w:val="003F126F"/>
    <w:rsid w:val="003F1495"/>
    <w:rsid w:val="003F3DF7"/>
    <w:rsid w:val="003F4521"/>
    <w:rsid w:val="003F4F49"/>
    <w:rsid w:val="003F5877"/>
    <w:rsid w:val="003F63E9"/>
    <w:rsid w:val="003F65E3"/>
    <w:rsid w:val="0040060B"/>
    <w:rsid w:val="004032FC"/>
    <w:rsid w:val="00404417"/>
    <w:rsid w:val="0040451F"/>
    <w:rsid w:val="00404DBD"/>
    <w:rsid w:val="004060D2"/>
    <w:rsid w:val="0040674B"/>
    <w:rsid w:val="00406F7E"/>
    <w:rsid w:val="00411571"/>
    <w:rsid w:val="004127B7"/>
    <w:rsid w:val="00414D8C"/>
    <w:rsid w:val="00415598"/>
    <w:rsid w:val="004179D7"/>
    <w:rsid w:val="00421E75"/>
    <w:rsid w:val="0042203E"/>
    <w:rsid w:val="00422C11"/>
    <w:rsid w:val="00424032"/>
    <w:rsid w:val="004241AA"/>
    <w:rsid w:val="004244B6"/>
    <w:rsid w:val="004248DD"/>
    <w:rsid w:val="00424DD6"/>
    <w:rsid w:val="004256CC"/>
    <w:rsid w:val="00426815"/>
    <w:rsid w:val="00431A32"/>
    <w:rsid w:val="00434853"/>
    <w:rsid w:val="00434AAE"/>
    <w:rsid w:val="0043542B"/>
    <w:rsid w:val="00435458"/>
    <w:rsid w:val="0044009F"/>
    <w:rsid w:val="004426D1"/>
    <w:rsid w:val="00442A89"/>
    <w:rsid w:val="00442C27"/>
    <w:rsid w:val="00444DB2"/>
    <w:rsid w:val="00445877"/>
    <w:rsid w:val="004461E0"/>
    <w:rsid w:val="00446335"/>
    <w:rsid w:val="00452075"/>
    <w:rsid w:val="004547BF"/>
    <w:rsid w:val="00455961"/>
    <w:rsid w:val="004560AA"/>
    <w:rsid w:val="00456C6D"/>
    <w:rsid w:val="00456ED3"/>
    <w:rsid w:val="0045728C"/>
    <w:rsid w:val="004578A5"/>
    <w:rsid w:val="00457F7F"/>
    <w:rsid w:val="00463531"/>
    <w:rsid w:val="00464189"/>
    <w:rsid w:val="004644F6"/>
    <w:rsid w:val="00464A8C"/>
    <w:rsid w:val="0046737B"/>
    <w:rsid w:val="004706C4"/>
    <w:rsid w:val="00471A33"/>
    <w:rsid w:val="00471F04"/>
    <w:rsid w:val="00473A4D"/>
    <w:rsid w:val="00473B28"/>
    <w:rsid w:val="004756A9"/>
    <w:rsid w:val="00475DC3"/>
    <w:rsid w:val="00477B50"/>
    <w:rsid w:val="0048039D"/>
    <w:rsid w:val="00481E58"/>
    <w:rsid w:val="0048266A"/>
    <w:rsid w:val="00483D74"/>
    <w:rsid w:val="004845A3"/>
    <w:rsid w:val="00484974"/>
    <w:rsid w:val="004912C3"/>
    <w:rsid w:val="00491858"/>
    <w:rsid w:val="004928A9"/>
    <w:rsid w:val="004958D9"/>
    <w:rsid w:val="004A15C3"/>
    <w:rsid w:val="004A2AE2"/>
    <w:rsid w:val="004A315A"/>
    <w:rsid w:val="004A5D1E"/>
    <w:rsid w:val="004B363D"/>
    <w:rsid w:val="004B6293"/>
    <w:rsid w:val="004C1600"/>
    <w:rsid w:val="004C17EE"/>
    <w:rsid w:val="004C2B51"/>
    <w:rsid w:val="004C4D32"/>
    <w:rsid w:val="004C7507"/>
    <w:rsid w:val="004D2941"/>
    <w:rsid w:val="004D4270"/>
    <w:rsid w:val="004D5972"/>
    <w:rsid w:val="004D7C0E"/>
    <w:rsid w:val="004E131D"/>
    <w:rsid w:val="004E1810"/>
    <w:rsid w:val="004E2574"/>
    <w:rsid w:val="004E39AB"/>
    <w:rsid w:val="004E7D1D"/>
    <w:rsid w:val="004F2428"/>
    <w:rsid w:val="004F7536"/>
    <w:rsid w:val="005009B8"/>
    <w:rsid w:val="00501712"/>
    <w:rsid w:val="00502261"/>
    <w:rsid w:val="0050335C"/>
    <w:rsid w:val="005037D2"/>
    <w:rsid w:val="00503A54"/>
    <w:rsid w:val="00503E41"/>
    <w:rsid w:val="005053A4"/>
    <w:rsid w:val="00506AD1"/>
    <w:rsid w:val="005071E3"/>
    <w:rsid w:val="00507ECE"/>
    <w:rsid w:val="0051013F"/>
    <w:rsid w:val="00510336"/>
    <w:rsid w:val="00511E4F"/>
    <w:rsid w:val="005139EF"/>
    <w:rsid w:val="005154FB"/>
    <w:rsid w:val="00515C03"/>
    <w:rsid w:val="0051726D"/>
    <w:rsid w:val="00522109"/>
    <w:rsid w:val="00525298"/>
    <w:rsid w:val="0052579E"/>
    <w:rsid w:val="00525B3F"/>
    <w:rsid w:val="005267C2"/>
    <w:rsid w:val="00526A08"/>
    <w:rsid w:val="00526B45"/>
    <w:rsid w:val="00526C0A"/>
    <w:rsid w:val="00530E0B"/>
    <w:rsid w:val="00534C35"/>
    <w:rsid w:val="005368E9"/>
    <w:rsid w:val="005373AC"/>
    <w:rsid w:val="005376DF"/>
    <w:rsid w:val="005402C7"/>
    <w:rsid w:val="00541032"/>
    <w:rsid w:val="0054143E"/>
    <w:rsid w:val="00541ACE"/>
    <w:rsid w:val="005426DE"/>
    <w:rsid w:val="005433BC"/>
    <w:rsid w:val="00543B2D"/>
    <w:rsid w:val="00543CE8"/>
    <w:rsid w:val="00544EAD"/>
    <w:rsid w:val="00551645"/>
    <w:rsid w:val="00551AE3"/>
    <w:rsid w:val="0055311C"/>
    <w:rsid w:val="0055509C"/>
    <w:rsid w:val="00556D01"/>
    <w:rsid w:val="005575E9"/>
    <w:rsid w:val="0056065E"/>
    <w:rsid w:val="005618DB"/>
    <w:rsid w:val="00561F23"/>
    <w:rsid w:val="00562284"/>
    <w:rsid w:val="005644E6"/>
    <w:rsid w:val="00572C94"/>
    <w:rsid w:val="00573013"/>
    <w:rsid w:val="00575E7B"/>
    <w:rsid w:val="0058017F"/>
    <w:rsid w:val="005803F8"/>
    <w:rsid w:val="0058042E"/>
    <w:rsid w:val="00581E8D"/>
    <w:rsid w:val="00587E82"/>
    <w:rsid w:val="005925DB"/>
    <w:rsid w:val="00592B38"/>
    <w:rsid w:val="0059335B"/>
    <w:rsid w:val="00594D5F"/>
    <w:rsid w:val="005968A4"/>
    <w:rsid w:val="005979FF"/>
    <w:rsid w:val="005A1B49"/>
    <w:rsid w:val="005A24DF"/>
    <w:rsid w:val="005A2DFD"/>
    <w:rsid w:val="005A581A"/>
    <w:rsid w:val="005A6BF3"/>
    <w:rsid w:val="005B025F"/>
    <w:rsid w:val="005B2E1C"/>
    <w:rsid w:val="005B3078"/>
    <w:rsid w:val="005B3B26"/>
    <w:rsid w:val="005B6602"/>
    <w:rsid w:val="005B7A46"/>
    <w:rsid w:val="005C0C93"/>
    <w:rsid w:val="005C13D3"/>
    <w:rsid w:val="005C235C"/>
    <w:rsid w:val="005C2646"/>
    <w:rsid w:val="005C3516"/>
    <w:rsid w:val="005C3D0F"/>
    <w:rsid w:val="005C520F"/>
    <w:rsid w:val="005C79B8"/>
    <w:rsid w:val="005C7A2D"/>
    <w:rsid w:val="005C7A44"/>
    <w:rsid w:val="005D4F4E"/>
    <w:rsid w:val="005D6981"/>
    <w:rsid w:val="005E00FA"/>
    <w:rsid w:val="005E0DAD"/>
    <w:rsid w:val="005E189E"/>
    <w:rsid w:val="005E1EDE"/>
    <w:rsid w:val="005E4198"/>
    <w:rsid w:val="005E4434"/>
    <w:rsid w:val="005F4555"/>
    <w:rsid w:val="005F4B0A"/>
    <w:rsid w:val="005F60F8"/>
    <w:rsid w:val="005F6B54"/>
    <w:rsid w:val="005F6D88"/>
    <w:rsid w:val="00600289"/>
    <w:rsid w:val="00601AF8"/>
    <w:rsid w:val="0060335A"/>
    <w:rsid w:val="0060335F"/>
    <w:rsid w:val="00603D54"/>
    <w:rsid w:val="00605326"/>
    <w:rsid w:val="00605B43"/>
    <w:rsid w:val="00606400"/>
    <w:rsid w:val="0060680A"/>
    <w:rsid w:val="00612C68"/>
    <w:rsid w:val="006151BB"/>
    <w:rsid w:val="006160C8"/>
    <w:rsid w:val="00620514"/>
    <w:rsid w:val="00621E26"/>
    <w:rsid w:val="006220EB"/>
    <w:rsid w:val="0062314B"/>
    <w:rsid w:val="00623F38"/>
    <w:rsid w:val="006247AD"/>
    <w:rsid w:val="00624A01"/>
    <w:rsid w:val="00624CB3"/>
    <w:rsid w:val="006257E8"/>
    <w:rsid w:val="00626DD7"/>
    <w:rsid w:val="00631DCE"/>
    <w:rsid w:val="00636BB5"/>
    <w:rsid w:val="00642B77"/>
    <w:rsid w:val="00643867"/>
    <w:rsid w:val="00644B6A"/>
    <w:rsid w:val="006454F1"/>
    <w:rsid w:val="006468E5"/>
    <w:rsid w:val="0064702F"/>
    <w:rsid w:val="0065047E"/>
    <w:rsid w:val="00651C32"/>
    <w:rsid w:val="0065221D"/>
    <w:rsid w:val="006530E6"/>
    <w:rsid w:val="0065421E"/>
    <w:rsid w:val="00654675"/>
    <w:rsid w:val="006552A9"/>
    <w:rsid w:val="00655A02"/>
    <w:rsid w:val="00655ACA"/>
    <w:rsid w:val="00661578"/>
    <w:rsid w:val="00661B5D"/>
    <w:rsid w:val="00663592"/>
    <w:rsid w:val="00663A2B"/>
    <w:rsid w:val="00664D12"/>
    <w:rsid w:val="0067168C"/>
    <w:rsid w:val="006726A0"/>
    <w:rsid w:val="00677589"/>
    <w:rsid w:val="00683C4A"/>
    <w:rsid w:val="00683D51"/>
    <w:rsid w:val="0068798A"/>
    <w:rsid w:val="0069013E"/>
    <w:rsid w:val="0069066C"/>
    <w:rsid w:val="006922FA"/>
    <w:rsid w:val="00692545"/>
    <w:rsid w:val="00692EA5"/>
    <w:rsid w:val="00692F4A"/>
    <w:rsid w:val="0069702B"/>
    <w:rsid w:val="006970D0"/>
    <w:rsid w:val="006A0923"/>
    <w:rsid w:val="006A12D7"/>
    <w:rsid w:val="006A230E"/>
    <w:rsid w:val="006A2983"/>
    <w:rsid w:val="006A2AE4"/>
    <w:rsid w:val="006A3100"/>
    <w:rsid w:val="006A404D"/>
    <w:rsid w:val="006B031C"/>
    <w:rsid w:val="006B2784"/>
    <w:rsid w:val="006B29CB"/>
    <w:rsid w:val="006B5E81"/>
    <w:rsid w:val="006B7529"/>
    <w:rsid w:val="006C0870"/>
    <w:rsid w:val="006C23F1"/>
    <w:rsid w:val="006C2699"/>
    <w:rsid w:val="006C35E2"/>
    <w:rsid w:val="006C5277"/>
    <w:rsid w:val="006C5E79"/>
    <w:rsid w:val="006D0395"/>
    <w:rsid w:val="006D2995"/>
    <w:rsid w:val="006D4C61"/>
    <w:rsid w:val="006D4FA6"/>
    <w:rsid w:val="006E0D00"/>
    <w:rsid w:val="006E255D"/>
    <w:rsid w:val="006E42B1"/>
    <w:rsid w:val="006E7969"/>
    <w:rsid w:val="006F0825"/>
    <w:rsid w:val="006F10CE"/>
    <w:rsid w:val="006F1EE4"/>
    <w:rsid w:val="006F2C2A"/>
    <w:rsid w:val="006F2EDA"/>
    <w:rsid w:val="006F5105"/>
    <w:rsid w:val="006F581B"/>
    <w:rsid w:val="006F5BF4"/>
    <w:rsid w:val="006F63D9"/>
    <w:rsid w:val="006F66A0"/>
    <w:rsid w:val="006F68A3"/>
    <w:rsid w:val="006F699A"/>
    <w:rsid w:val="006F7114"/>
    <w:rsid w:val="006F7EF3"/>
    <w:rsid w:val="00700858"/>
    <w:rsid w:val="00700BE9"/>
    <w:rsid w:val="00701182"/>
    <w:rsid w:val="00701FCE"/>
    <w:rsid w:val="00704270"/>
    <w:rsid w:val="0070639D"/>
    <w:rsid w:val="007065AD"/>
    <w:rsid w:val="007076ED"/>
    <w:rsid w:val="007118E7"/>
    <w:rsid w:val="0071214C"/>
    <w:rsid w:val="0071400E"/>
    <w:rsid w:val="00714EDE"/>
    <w:rsid w:val="007150BE"/>
    <w:rsid w:val="00715E7B"/>
    <w:rsid w:val="0071701C"/>
    <w:rsid w:val="0071758C"/>
    <w:rsid w:val="007176CF"/>
    <w:rsid w:val="007213FD"/>
    <w:rsid w:val="0072191C"/>
    <w:rsid w:val="00722152"/>
    <w:rsid w:val="007222AB"/>
    <w:rsid w:val="00725F11"/>
    <w:rsid w:val="00730481"/>
    <w:rsid w:val="007324C0"/>
    <w:rsid w:val="00732644"/>
    <w:rsid w:val="00733B91"/>
    <w:rsid w:val="00734205"/>
    <w:rsid w:val="00737084"/>
    <w:rsid w:val="00740C79"/>
    <w:rsid w:val="007420EB"/>
    <w:rsid w:val="0074567E"/>
    <w:rsid w:val="0074580E"/>
    <w:rsid w:val="00745A42"/>
    <w:rsid w:val="00747611"/>
    <w:rsid w:val="00752F5E"/>
    <w:rsid w:val="007544BD"/>
    <w:rsid w:val="00756C89"/>
    <w:rsid w:val="00757FC4"/>
    <w:rsid w:val="00761801"/>
    <w:rsid w:val="00761931"/>
    <w:rsid w:val="00761CC3"/>
    <w:rsid w:val="007638B0"/>
    <w:rsid w:val="00763BFA"/>
    <w:rsid w:val="00765BCF"/>
    <w:rsid w:val="00766BAC"/>
    <w:rsid w:val="00772C16"/>
    <w:rsid w:val="007750F7"/>
    <w:rsid w:val="007764B1"/>
    <w:rsid w:val="00777727"/>
    <w:rsid w:val="0078004E"/>
    <w:rsid w:val="00780350"/>
    <w:rsid w:val="00782BFD"/>
    <w:rsid w:val="0078470B"/>
    <w:rsid w:val="0078509F"/>
    <w:rsid w:val="0078555D"/>
    <w:rsid w:val="00786E04"/>
    <w:rsid w:val="0078774A"/>
    <w:rsid w:val="00787950"/>
    <w:rsid w:val="007902FA"/>
    <w:rsid w:val="00791EDA"/>
    <w:rsid w:val="007933DE"/>
    <w:rsid w:val="00793606"/>
    <w:rsid w:val="00794EA8"/>
    <w:rsid w:val="007A0066"/>
    <w:rsid w:val="007A2E7E"/>
    <w:rsid w:val="007A3066"/>
    <w:rsid w:val="007A35FF"/>
    <w:rsid w:val="007A4840"/>
    <w:rsid w:val="007A6821"/>
    <w:rsid w:val="007B4877"/>
    <w:rsid w:val="007B4D3C"/>
    <w:rsid w:val="007B6347"/>
    <w:rsid w:val="007B661C"/>
    <w:rsid w:val="007C10E6"/>
    <w:rsid w:val="007C615D"/>
    <w:rsid w:val="007C7686"/>
    <w:rsid w:val="007D1D6C"/>
    <w:rsid w:val="007D4C60"/>
    <w:rsid w:val="007E116A"/>
    <w:rsid w:val="007E1573"/>
    <w:rsid w:val="007E1887"/>
    <w:rsid w:val="007E1C09"/>
    <w:rsid w:val="007E5721"/>
    <w:rsid w:val="007E5923"/>
    <w:rsid w:val="007E7E89"/>
    <w:rsid w:val="007F25CF"/>
    <w:rsid w:val="007F2B6B"/>
    <w:rsid w:val="007F4752"/>
    <w:rsid w:val="007F6BB6"/>
    <w:rsid w:val="00801915"/>
    <w:rsid w:val="00801A8C"/>
    <w:rsid w:val="00805483"/>
    <w:rsid w:val="00807BEF"/>
    <w:rsid w:val="0081077E"/>
    <w:rsid w:val="00811A74"/>
    <w:rsid w:val="00812134"/>
    <w:rsid w:val="00816FEC"/>
    <w:rsid w:val="00820032"/>
    <w:rsid w:val="00820498"/>
    <w:rsid w:val="00820A17"/>
    <w:rsid w:val="00820D49"/>
    <w:rsid w:val="00821FCB"/>
    <w:rsid w:val="008223C8"/>
    <w:rsid w:val="00822FF3"/>
    <w:rsid w:val="008267B3"/>
    <w:rsid w:val="00826B8B"/>
    <w:rsid w:val="00826C86"/>
    <w:rsid w:val="00831A38"/>
    <w:rsid w:val="00835861"/>
    <w:rsid w:val="0083797C"/>
    <w:rsid w:val="00840EC0"/>
    <w:rsid w:val="00841DD9"/>
    <w:rsid w:val="0084368B"/>
    <w:rsid w:val="00844210"/>
    <w:rsid w:val="00844AFC"/>
    <w:rsid w:val="00844CB6"/>
    <w:rsid w:val="00846169"/>
    <w:rsid w:val="00846209"/>
    <w:rsid w:val="00847279"/>
    <w:rsid w:val="00850419"/>
    <w:rsid w:val="00853286"/>
    <w:rsid w:val="00853912"/>
    <w:rsid w:val="008570AF"/>
    <w:rsid w:val="00857468"/>
    <w:rsid w:val="008626F4"/>
    <w:rsid w:val="0086321A"/>
    <w:rsid w:val="00863AD4"/>
    <w:rsid w:val="008643A9"/>
    <w:rsid w:val="00864843"/>
    <w:rsid w:val="00866073"/>
    <w:rsid w:val="0087014C"/>
    <w:rsid w:val="008723A6"/>
    <w:rsid w:val="00874101"/>
    <w:rsid w:val="00874337"/>
    <w:rsid w:val="0087526F"/>
    <w:rsid w:val="00875DFC"/>
    <w:rsid w:val="008768A5"/>
    <w:rsid w:val="00880366"/>
    <w:rsid w:val="00880B12"/>
    <w:rsid w:val="00881926"/>
    <w:rsid w:val="00882E0B"/>
    <w:rsid w:val="00883563"/>
    <w:rsid w:val="00885872"/>
    <w:rsid w:val="00885879"/>
    <w:rsid w:val="0088612E"/>
    <w:rsid w:val="008901FB"/>
    <w:rsid w:val="0089116B"/>
    <w:rsid w:val="00891306"/>
    <w:rsid w:val="008917E1"/>
    <w:rsid w:val="00893C12"/>
    <w:rsid w:val="008A00D4"/>
    <w:rsid w:val="008A0475"/>
    <w:rsid w:val="008A5C48"/>
    <w:rsid w:val="008B086E"/>
    <w:rsid w:val="008B09A3"/>
    <w:rsid w:val="008B0B38"/>
    <w:rsid w:val="008B16E7"/>
    <w:rsid w:val="008B215E"/>
    <w:rsid w:val="008B7E69"/>
    <w:rsid w:val="008C3081"/>
    <w:rsid w:val="008C535A"/>
    <w:rsid w:val="008C5860"/>
    <w:rsid w:val="008C6A99"/>
    <w:rsid w:val="008D1734"/>
    <w:rsid w:val="008D2C3B"/>
    <w:rsid w:val="008D5006"/>
    <w:rsid w:val="008D5011"/>
    <w:rsid w:val="008D6A98"/>
    <w:rsid w:val="008D6F12"/>
    <w:rsid w:val="008D6FB2"/>
    <w:rsid w:val="008E047F"/>
    <w:rsid w:val="008E1701"/>
    <w:rsid w:val="008E36E5"/>
    <w:rsid w:val="008E3CC4"/>
    <w:rsid w:val="008E49A0"/>
    <w:rsid w:val="008E6A0B"/>
    <w:rsid w:val="008E6A25"/>
    <w:rsid w:val="008E6E34"/>
    <w:rsid w:val="008E6E71"/>
    <w:rsid w:val="008F134A"/>
    <w:rsid w:val="008F14D1"/>
    <w:rsid w:val="009003BF"/>
    <w:rsid w:val="009004E7"/>
    <w:rsid w:val="00902693"/>
    <w:rsid w:val="00903467"/>
    <w:rsid w:val="009051DB"/>
    <w:rsid w:val="00905959"/>
    <w:rsid w:val="009063C3"/>
    <w:rsid w:val="00910FC4"/>
    <w:rsid w:val="00915059"/>
    <w:rsid w:val="009155B4"/>
    <w:rsid w:val="0091628F"/>
    <w:rsid w:val="00920C9D"/>
    <w:rsid w:val="00920D30"/>
    <w:rsid w:val="00922863"/>
    <w:rsid w:val="00923091"/>
    <w:rsid w:val="00923272"/>
    <w:rsid w:val="00923751"/>
    <w:rsid w:val="0092416B"/>
    <w:rsid w:val="00924BB5"/>
    <w:rsid w:val="00924F6D"/>
    <w:rsid w:val="009257FE"/>
    <w:rsid w:val="0092717A"/>
    <w:rsid w:val="00932A32"/>
    <w:rsid w:val="009362E7"/>
    <w:rsid w:val="009365E6"/>
    <w:rsid w:val="009377FE"/>
    <w:rsid w:val="00942411"/>
    <w:rsid w:val="00942CCC"/>
    <w:rsid w:val="009430CA"/>
    <w:rsid w:val="00943E0E"/>
    <w:rsid w:val="00944847"/>
    <w:rsid w:val="00944B0B"/>
    <w:rsid w:val="00946910"/>
    <w:rsid w:val="00946A92"/>
    <w:rsid w:val="00947C5D"/>
    <w:rsid w:val="00952850"/>
    <w:rsid w:val="00952902"/>
    <w:rsid w:val="009535F2"/>
    <w:rsid w:val="00953F16"/>
    <w:rsid w:val="0095413F"/>
    <w:rsid w:val="009560DF"/>
    <w:rsid w:val="00956722"/>
    <w:rsid w:val="009575C3"/>
    <w:rsid w:val="009638C0"/>
    <w:rsid w:val="009640EF"/>
    <w:rsid w:val="0096444F"/>
    <w:rsid w:val="00965FC7"/>
    <w:rsid w:val="0096681F"/>
    <w:rsid w:val="00967F77"/>
    <w:rsid w:val="00970456"/>
    <w:rsid w:val="009709A0"/>
    <w:rsid w:val="0097283F"/>
    <w:rsid w:val="00972F2D"/>
    <w:rsid w:val="00976E6A"/>
    <w:rsid w:val="009777ED"/>
    <w:rsid w:val="00977A39"/>
    <w:rsid w:val="009808EE"/>
    <w:rsid w:val="00982CB9"/>
    <w:rsid w:val="0098333C"/>
    <w:rsid w:val="009841B8"/>
    <w:rsid w:val="0098485E"/>
    <w:rsid w:val="00984864"/>
    <w:rsid w:val="009862B8"/>
    <w:rsid w:val="009863EA"/>
    <w:rsid w:val="0099148F"/>
    <w:rsid w:val="00992EE9"/>
    <w:rsid w:val="00993980"/>
    <w:rsid w:val="00993CE1"/>
    <w:rsid w:val="00994C5A"/>
    <w:rsid w:val="00996A67"/>
    <w:rsid w:val="00996E15"/>
    <w:rsid w:val="009A0573"/>
    <w:rsid w:val="009A40C7"/>
    <w:rsid w:val="009A65D4"/>
    <w:rsid w:val="009B0095"/>
    <w:rsid w:val="009B11BB"/>
    <w:rsid w:val="009B30BF"/>
    <w:rsid w:val="009B3350"/>
    <w:rsid w:val="009B6668"/>
    <w:rsid w:val="009B7468"/>
    <w:rsid w:val="009B7BBE"/>
    <w:rsid w:val="009C1C33"/>
    <w:rsid w:val="009C6D22"/>
    <w:rsid w:val="009C7958"/>
    <w:rsid w:val="009C7C6F"/>
    <w:rsid w:val="009D2159"/>
    <w:rsid w:val="009D2347"/>
    <w:rsid w:val="009D2AA0"/>
    <w:rsid w:val="009D3FD8"/>
    <w:rsid w:val="009D5E6B"/>
    <w:rsid w:val="009D75BE"/>
    <w:rsid w:val="009E1301"/>
    <w:rsid w:val="009E3841"/>
    <w:rsid w:val="009E6797"/>
    <w:rsid w:val="009F0592"/>
    <w:rsid w:val="009F183D"/>
    <w:rsid w:val="009F21D2"/>
    <w:rsid w:val="009F281E"/>
    <w:rsid w:val="009F2F68"/>
    <w:rsid w:val="009F392A"/>
    <w:rsid w:val="009F4823"/>
    <w:rsid w:val="009F4CAA"/>
    <w:rsid w:val="009F5BFC"/>
    <w:rsid w:val="00A001E7"/>
    <w:rsid w:val="00A012B2"/>
    <w:rsid w:val="00A026FC"/>
    <w:rsid w:val="00A03392"/>
    <w:rsid w:val="00A04C58"/>
    <w:rsid w:val="00A050F3"/>
    <w:rsid w:val="00A06037"/>
    <w:rsid w:val="00A06BD0"/>
    <w:rsid w:val="00A073A8"/>
    <w:rsid w:val="00A12301"/>
    <w:rsid w:val="00A12395"/>
    <w:rsid w:val="00A14510"/>
    <w:rsid w:val="00A17242"/>
    <w:rsid w:val="00A20D67"/>
    <w:rsid w:val="00A22DCA"/>
    <w:rsid w:val="00A23503"/>
    <w:rsid w:val="00A260EA"/>
    <w:rsid w:val="00A265A8"/>
    <w:rsid w:val="00A2682F"/>
    <w:rsid w:val="00A279BC"/>
    <w:rsid w:val="00A3160F"/>
    <w:rsid w:val="00A32738"/>
    <w:rsid w:val="00A335F3"/>
    <w:rsid w:val="00A3768F"/>
    <w:rsid w:val="00A41920"/>
    <w:rsid w:val="00A41C63"/>
    <w:rsid w:val="00A424B2"/>
    <w:rsid w:val="00A43B3A"/>
    <w:rsid w:val="00A43CFA"/>
    <w:rsid w:val="00A44391"/>
    <w:rsid w:val="00A469DE"/>
    <w:rsid w:val="00A46BF5"/>
    <w:rsid w:val="00A472B4"/>
    <w:rsid w:val="00A47E4D"/>
    <w:rsid w:val="00A50019"/>
    <w:rsid w:val="00A505D5"/>
    <w:rsid w:val="00A51C89"/>
    <w:rsid w:val="00A54212"/>
    <w:rsid w:val="00A545B0"/>
    <w:rsid w:val="00A550D8"/>
    <w:rsid w:val="00A55DBB"/>
    <w:rsid w:val="00A602EF"/>
    <w:rsid w:val="00A613A3"/>
    <w:rsid w:val="00A61424"/>
    <w:rsid w:val="00A61988"/>
    <w:rsid w:val="00A629BB"/>
    <w:rsid w:val="00A640BF"/>
    <w:rsid w:val="00A6447E"/>
    <w:rsid w:val="00A72115"/>
    <w:rsid w:val="00A734CC"/>
    <w:rsid w:val="00A761CC"/>
    <w:rsid w:val="00A77AC2"/>
    <w:rsid w:val="00A806EE"/>
    <w:rsid w:val="00A80C20"/>
    <w:rsid w:val="00A826A5"/>
    <w:rsid w:val="00A82909"/>
    <w:rsid w:val="00A82E12"/>
    <w:rsid w:val="00A83BEC"/>
    <w:rsid w:val="00A860A5"/>
    <w:rsid w:val="00A868A2"/>
    <w:rsid w:val="00A90BC3"/>
    <w:rsid w:val="00A90DA1"/>
    <w:rsid w:val="00A925F5"/>
    <w:rsid w:val="00A94B23"/>
    <w:rsid w:val="00A97A74"/>
    <w:rsid w:val="00A97CD2"/>
    <w:rsid w:val="00AA30FD"/>
    <w:rsid w:val="00AA5CDB"/>
    <w:rsid w:val="00AA6CF4"/>
    <w:rsid w:val="00AB00AC"/>
    <w:rsid w:val="00AB0220"/>
    <w:rsid w:val="00AB05DA"/>
    <w:rsid w:val="00AB0EAA"/>
    <w:rsid w:val="00AB157E"/>
    <w:rsid w:val="00AB31E8"/>
    <w:rsid w:val="00AB34F4"/>
    <w:rsid w:val="00AB432B"/>
    <w:rsid w:val="00AB4870"/>
    <w:rsid w:val="00AB5B58"/>
    <w:rsid w:val="00AB6A61"/>
    <w:rsid w:val="00AB7896"/>
    <w:rsid w:val="00AC3852"/>
    <w:rsid w:val="00AC51E3"/>
    <w:rsid w:val="00AD38FD"/>
    <w:rsid w:val="00AD503A"/>
    <w:rsid w:val="00AD553D"/>
    <w:rsid w:val="00AD6B82"/>
    <w:rsid w:val="00AD7B91"/>
    <w:rsid w:val="00AE12A2"/>
    <w:rsid w:val="00AE1A0B"/>
    <w:rsid w:val="00AE2328"/>
    <w:rsid w:val="00AE2D79"/>
    <w:rsid w:val="00AE3FF1"/>
    <w:rsid w:val="00AE41CF"/>
    <w:rsid w:val="00AE4A3B"/>
    <w:rsid w:val="00AF0BC7"/>
    <w:rsid w:val="00AF17E4"/>
    <w:rsid w:val="00AF4803"/>
    <w:rsid w:val="00AF5238"/>
    <w:rsid w:val="00AF5930"/>
    <w:rsid w:val="00AF75BF"/>
    <w:rsid w:val="00B01D13"/>
    <w:rsid w:val="00B021BB"/>
    <w:rsid w:val="00B0334F"/>
    <w:rsid w:val="00B05ECC"/>
    <w:rsid w:val="00B0605F"/>
    <w:rsid w:val="00B06E54"/>
    <w:rsid w:val="00B1043F"/>
    <w:rsid w:val="00B11116"/>
    <w:rsid w:val="00B12FF9"/>
    <w:rsid w:val="00B141F5"/>
    <w:rsid w:val="00B146AA"/>
    <w:rsid w:val="00B14A25"/>
    <w:rsid w:val="00B15A1E"/>
    <w:rsid w:val="00B16757"/>
    <w:rsid w:val="00B2035B"/>
    <w:rsid w:val="00B218FD"/>
    <w:rsid w:val="00B240BD"/>
    <w:rsid w:val="00B26401"/>
    <w:rsid w:val="00B30A69"/>
    <w:rsid w:val="00B3269E"/>
    <w:rsid w:val="00B376A7"/>
    <w:rsid w:val="00B43175"/>
    <w:rsid w:val="00B43B9B"/>
    <w:rsid w:val="00B44601"/>
    <w:rsid w:val="00B4586D"/>
    <w:rsid w:val="00B45CED"/>
    <w:rsid w:val="00B45CF8"/>
    <w:rsid w:val="00B460AD"/>
    <w:rsid w:val="00B46364"/>
    <w:rsid w:val="00B46723"/>
    <w:rsid w:val="00B4753E"/>
    <w:rsid w:val="00B47597"/>
    <w:rsid w:val="00B5012F"/>
    <w:rsid w:val="00B50883"/>
    <w:rsid w:val="00B509D8"/>
    <w:rsid w:val="00B52674"/>
    <w:rsid w:val="00B52F6C"/>
    <w:rsid w:val="00B53FC1"/>
    <w:rsid w:val="00B5460F"/>
    <w:rsid w:val="00B55BEB"/>
    <w:rsid w:val="00B579CF"/>
    <w:rsid w:val="00B615C6"/>
    <w:rsid w:val="00B61FE0"/>
    <w:rsid w:val="00B661C2"/>
    <w:rsid w:val="00B6650A"/>
    <w:rsid w:val="00B701C3"/>
    <w:rsid w:val="00B71CF6"/>
    <w:rsid w:val="00B73E09"/>
    <w:rsid w:val="00B73E84"/>
    <w:rsid w:val="00B74B49"/>
    <w:rsid w:val="00B75121"/>
    <w:rsid w:val="00B75605"/>
    <w:rsid w:val="00B80ECE"/>
    <w:rsid w:val="00B84BD9"/>
    <w:rsid w:val="00B86E78"/>
    <w:rsid w:val="00B8723C"/>
    <w:rsid w:val="00B87270"/>
    <w:rsid w:val="00B90644"/>
    <w:rsid w:val="00B9114B"/>
    <w:rsid w:val="00B926C5"/>
    <w:rsid w:val="00B94685"/>
    <w:rsid w:val="00B9495B"/>
    <w:rsid w:val="00B94A8F"/>
    <w:rsid w:val="00B9670D"/>
    <w:rsid w:val="00BA2357"/>
    <w:rsid w:val="00BA2AF6"/>
    <w:rsid w:val="00BA6B34"/>
    <w:rsid w:val="00BB1509"/>
    <w:rsid w:val="00BB23E5"/>
    <w:rsid w:val="00BB35F2"/>
    <w:rsid w:val="00BB6402"/>
    <w:rsid w:val="00BB67CC"/>
    <w:rsid w:val="00BB784E"/>
    <w:rsid w:val="00BC0FB2"/>
    <w:rsid w:val="00BC1A71"/>
    <w:rsid w:val="00BC3740"/>
    <w:rsid w:val="00BC56AC"/>
    <w:rsid w:val="00BC62CF"/>
    <w:rsid w:val="00BC66BB"/>
    <w:rsid w:val="00BD024D"/>
    <w:rsid w:val="00BD0A65"/>
    <w:rsid w:val="00BD4088"/>
    <w:rsid w:val="00BD4AC0"/>
    <w:rsid w:val="00BD4B9D"/>
    <w:rsid w:val="00BD4E20"/>
    <w:rsid w:val="00BD52F5"/>
    <w:rsid w:val="00BD5505"/>
    <w:rsid w:val="00BD57CA"/>
    <w:rsid w:val="00BD6692"/>
    <w:rsid w:val="00BE1353"/>
    <w:rsid w:val="00BE2C03"/>
    <w:rsid w:val="00BE3314"/>
    <w:rsid w:val="00BE36FB"/>
    <w:rsid w:val="00BE3F40"/>
    <w:rsid w:val="00BE5479"/>
    <w:rsid w:val="00BE5BC4"/>
    <w:rsid w:val="00BF1585"/>
    <w:rsid w:val="00BF1DF6"/>
    <w:rsid w:val="00BF28B9"/>
    <w:rsid w:val="00BF3CA5"/>
    <w:rsid w:val="00BF4603"/>
    <w:rsid w:val="00BF52D3"/>
    <w:rsid w:val="00BF5764"/>
    <w:rsid w:val="00BF5BDB"/>
    <w:rsid w:val="00BF6847"/>
    <w:rsid w:val="00C00429"/>
    <w:rsid w:val="00C00955"/>
    <w:rsid w:val="00C024CB"/>
    <w:rsid w:val="00C027DD"/>
    <w:rsid w:val="00C02956"/>
    <w:rsid w:val="00C046A7"/>
    <w:rsid w:val="00C10739"/>
    <w:rsid w:val="00C10B64"/>
    <w:rsid w:val="00C11984"/>
    <w:rsid w:val="00C14566"/>
    <w:rsid w:val="00C14F35"/>
    <w:rsid w:val="00C16603"/>
    <w:rsid w:val="00C1723C"/>
    <w:rsid w:val="00C20664"/>
    <w:rsid w:val="00C24740"/>
    <w:rsid w:val="00C27950"/>
    <w:rsid w:val="00C332DD"/>
    <w:rsid w:val="00C3483E"/>
    <w:rsid w:val="00C35495"/>
    <w:rsid w:val="00C358D9"/>
    <w:rsid w:val="00C35AC0"/>
    <w:rsid w:val="00C40751"/>
    <w:rsid w:val="00C4220B"/>
    <w:rsid w:val="00C434AF"/>
    <w:rsid w:val="00C441F6"/>
    <w:rsid w:val="00C44200"/>
    <w:rsid w:val="00C4529C"/>
    <w:rsid w:val="00C4758F"/>
    <w:rsid w:val="00C476BC"/>
    <w:rsid w:val="00C477F5"/>
    <w:rsid w:val="00C505D3"/>
    <w:rsid w:val="00C52FFA"/>
    <w:rsid w:val="00C56148"/>
    <w:rsid w:val="00C571CE"/>
    <w:rsid w:val="00C5758A"/>
    <w:rsid w:val="00C617CF"/>
    <w:rsid w:val="00C65D96"/>
    <w:rsid w:val="00C65EC0"/>
    <w:rsid w:val="00C71E9F"/>
    <w:rsid w:val="00C749D0"/>
    <w:rsid w:val="00C77A44"/>
    <w:rsid w:val="00C77D6A"/>
    <w:rsid w:val="00C77E7A"/>
    <w:rsid w:val="00C8035A"/>
    <w:rsid w:val="00C809B1"/>
    <w:rsid w:val="00C80CD3"/>
    <w:rsid w:val="00C83BCC"/>
    <w:rsid w:val="00C8647B"/>
    <w:rsid w:val="00C908BE"/>
    <w:rsid w:val="00C90C1E"/>
    <w:rsid w:val="00C91F94"/>
    <w:rsid w:val="00C9296E"/>
    <w:rsid w:val="00C93E27"/>
    <w:rsid w:val="00CA178E"/>
    <w:rsid w:val="00CA2E0F"/>
    <w:rsid w:val="00CA2FD9"/>
    <w:rsid w:val="00CA34EB"/>
    <w:rsid w:val="00CA4404"/>
    <w:rsid w:val="00CA5ABC"/>
    <w:rsid w:val="00CA5B23"/>
    <w:rsid w:val="00CA6A6F"/>
    <w:rsid w:val="00CA798D"/>
    <w:rsid w:val="00CB0382"/>
    <w:rsid w:val="00CB3C07"/>
    <w:rsid w:val="00CB3DAC"/>
    <w:rsid w:val="00CB4721"/>
    <w:rsid w:val="00CB4B5B"/>
    <w:rsid w:val="00CB506B"/>
    <w:rsid w:val="00CB5B65"/>
    <w:rsid w:val="00CB5DD2"/>
    <w:rsid w:val="00CB6DDE"/>
    <w:rsid w:val="00CB6E2D"/>
    <w:rsid w:val="00CB7A6A"/>
    <w:rsid w:val="00CB7E5C"/>
    <w:rsid w:val="00CC192A"/>
    <w:rsid w:val="00CC37B7"/>
    <w:rsid w:val="00CC3905"/>
    <w:rsid w:val="00CD232A"/>
    <w:rsid w:val="00CD3BA8"/>
    <w:rsid w:val="00CD7A33"/>
    <w:rsid w:val="00CE0578"/>
    <w:rsid w:val="00CE05E4"/>
    <w:rsid w:val="00CE23DD"/>
    <w:rsid w:val="00CE2B09"/>
    <w:rsid w:val="00CE2B8C"/>
    <w:rsid w:val="00CE5351"/>
    <w:rsid w:val="00CE5609"/>
    <w:rsid w:val="00CE62FB"/>
    <w:rsid w:val="00CE65B3"/>
    <w:rsid w:val="00CF0BCE"/>
    <w:rsid w:val="00CF13A8"/>
    <w:rsid w:val="00CF1452"/>
    <w:rsid w:val="00CF2D0A"/>
    <w:rsid w:val="00CF3604"/>
    <w:rsid w:val="00CF64B0"/>
    <w:rsid w:val="00D01F46"/>
    <w:rsid w:val="00D020B7"/>
    <w:rsid w:val="00D023B2"/>
    <w:rsid w:val="00D02F48"/>
    <w:rsid w:val="00D03E65"/>
    <w:rsid w:val="00D03E97"/>
    <w:rsid w:val="00D044EB"/>
    <w:rsid w:val="00D0470D"/>
    <w:rsid w:val="00D0632C"/>
    <w:rsid w:val="00D108BA"/>
    <w:rsid w:val="00D10FCF"/>
    <w:rsid w:val="00D114FC"/>
    <w:rsid w:val="00D1234F"/>
    <w:rsid w:val="00D12A31"/>
    <w:rsid w:val="00D13D96"/>
    <w:rsid w:val="00D14376"/>
    <w:rsid w:val="00D15C96"/>
    <w:rsid w:val="00D231FF"/>
    <w:rsid w:val="00D2558B"/>
    <w:rsid w:val="00D26D06"/>
    <w:rsid w:val="00D30161"/>
    <w:rsid w:val="00D31923"/>
    <w:rsid w:val="00D3325A"/>
    <w:rsid w:val="00D35856"/>
    <w:rsid w:val="00D37128"/>
    <w:rsid w:val="00D377EB"/>
    <w:rsid w:val="00D419A7"/>
    <w:rsid w:val="00D41B35"/>
    <w:rsid w:val="00D4240C"/>
    <w:rsid w:val="00D44301"/>
    <w:rsid w:val="00D446EB"/>
    <w:rsid w:val="00D45D11"/>
    <w:rsid w:val="00D4717B"/>
    <w:rsid w:val="00D47513"/>
    <w:rsid w:val="00D510B6"/>
    <w:rsid w:val="00D51859"/>
    <w:rsid w:val="00D543E5"/>
    <w:rsid w:val="00D55D82"/>
    <w:rsid w:val="00D61A8D"/>
    <w:rsid w:val="00D6279B"/>
    <w:rsid w:val="00D636FF"/>
    <w:rsid w:val="00D64F55"/>
    <w:rsid w:val="00D65E20"/>
    <w:rsid w:val="00D66CCC"/>
    <w:rsid w:val="00D70C2A"/>
    <w:rsid w:val="00D73BED"/>
    <w:rsid w:val="00D74BAA"/>
    <w:rsid w:val="00D76646"/>
    <w:rsid w:val="00D81E70"/>
    <w:rsid w:val="00D8574A"/>
    <w:rsid w:val="00D86B86"/>
    <w:rsid w:val="00D901BF"/>
    <w:rsid w:val="00D91119"/>
    <w:rsid w:val="00D96A0E"/>
    <w:rsid w:val="00D97F29"/>
    <w:rsid w:val="00DA1EAE"/>
    <w:rsid w:val="00DA2EAA"/>
    <w:rsid w:val="00DA3FB3"/>
    <w:rsid w:val="00DA4033"/>
    <w:rsid w:val="00DA74C1"/>
    <w:rsid w:val="00DB116D"/>
    <w:rsid w:val="00DB3216"/>
    <w:rsid w:val="00DB45DC"/>
    <w:rsid w:val="00DB4966"/>
    <w:rsid w:val="00DB4A8E"/>
    <w:rsid w:val="00DB6EB5"/>
    <w:rsid w:val="00DB7C64"/>
    <w:rsid w:val="00DC1520"/>
    <w:rsid w:val="00DC40D9"/>
    <w:rsid w:val="00DC52B1"/>
    <w:rsid w:val="00DC5D2A"/>
    <w:rsid w:val="00DC797F"/>
    <w:rsid w:val="00DD0F4F"/>
    <w:rsid w:val="00DD1132"/>
    <w:rsid w:val="00DD4F5B"/>
    <w:rsid w:val="00DD7356"/>
    <w:rsid w:val="00DE0124"/>
    <w:rsid w:val="00DE033D"/>
    <w:rsid w:val="00DE0F76"/>
    <w:rsid w:val="00DE197A"/>
    <w:rsid w:val="00DE36DB"/>
    <w:rsid w:val="00DE6A7A"/>
    <w:rsid w:val="00DE6B11"/>
    <w:rsid w:val="00DF038D"/>
    <w:rsid w:val="00DF0FF9"/>
    <w:rsid w:val="00DF2022"/>
    <w:rsid w:val="00DF2A49"/>
    <w:rsid w:val="00DF3FD0"/>
    <w:rsid w:val="00DF4F2F"/>
    <w:rsid w:val="00DF5605"/>
    <w:rsid w:val="00DF645D"/>
    <w:rsid w:val="00E000AD"/>
    <w:rsid w:val="00E0096F"/>
    <w:rsid w:val="00E01605"/>
    <w:rsid w:val="00E031F5"/>
    <w:rsid w:val="00E039AD"/>
    <w:rsid w:val="00E04156"/>
    <w:rsid w:val="00E04496"/>
    <w:rsid w:val="00E04B33"/>
    <w:rsid w:val="00E06004"/>
    <w:rsid w:val="00E102A1"/>
    <w:rsid w:val="00E102E2"/>
    <w:rsid w:val="00E10932"/>
    <w:rsid w:val="00E10F03"/>
    <w:rsid w:val="00E11C47"/>
    <w:rsid w:val="00E11DE6"/>
    <w:rsid w:val="00E120A3"/>
    <w:rsid w:val="00E13860"/>
    <w:rsid w:val="00E1450A"/>
    <w:rsid w:val="00E14CAD"/>
    <w:rsid w:val="00E15A52"/>
    <w:rsid w:val="00E15DD1"/>
    <w:rsid w:val="00E1727D"/>
    <w:rsid w:val="00E203BE"/>
    <w:rsid w:val="00E20BE5"/>
    <w:rsid w:val="00E218B5"/>
    <w:rsid w:val="00E2199B"/>
    <w:rsid w:val="00E21BD3"/>
    <w:rsid w:val="00E2253A"/>
    <w:rsid w:val="00E25215"/>
    <w:rsid w:val="00E26012"/>
    <w:rsid w:val="00E312CB"/>
    <w:rsid w:val="00E337EF"/>
    <w:rsid w:val="00E34F96"/>
    <w:rsid w:val="00E427CE"/>
    <w:rsid w:val="00E43D88"/>
    <w:rsid w:val="00E45E50"/>
    <w:rsid w:val="00E46B99"/>
    <w:rsid w:val="00E50D3B"/>
    <w:rsid w:val="00E51314"/>
    <w:rsid w:val="00E53069"/>
    <w:rsid w:val="00E54711"/>
    <w:rsid w:val="00E54D1E"/>
    <w:rsid w:val="00E552B4"/>
    <w:rsid w:val="00E55ED3"/>
    <w:rsid w:val="00E55FF1"/>
    <w:rsid w:val="00E56682"/>
    <w:rsid w:val="00E56842"/>
    <w:rsid w:val="00E61BF1"/>
    <w:rsid w:val="00E6285C"/>
    <w:rsid w:val="00E62A66"/>
    <w:rsid w:val="00E62A82"/>
    <w:rsid w:val="00E62C34"/>
    <w:rsid w:val="00E63708"/>
    <w:rsid w:val="00E664BF"/>
    <w:rsid w:val="00E71D97"/>
    <w:rsid w:val="00E72CB2"/>
    <w:rsid w:val="00E75748"/>
    <w:rsid w:val="00E77CA3"/>
    <w:rsid w:val="00E80068"/>
    <w:rsid w:val="00E81587"/>
    <w:rsid w:val="00E81F2D"/>
    <w:rsid w:val="00E82ECD"/>
    <w:rsid w:val="00E8411B"/>
    <w:rsid w:val="00E84933"/>
    <w:rsid w:val="00E84C0E"/>
    <w:rsid w:val="00E929D0"/>
    <w:rsid w:val="00E96509"/>
    <w:rsid w:val="00E97556"/>
    <w:rsid w:val="00EA351C"/>
    <w:rsid w:val="00EA586D"/>
    <w:rsid w:val="00EA6316"/>
    <w:rsid w:val="00EA6A9E"/>
    <w:rsid w:val="00EA77DF"/>
    <w:rsid w:val="00EB5368"/>
    <w:rsid w:val="00EB6AFA"/>
    <w:rsid w:val="00EB758A"/>
    <w:rsid w:val="00EC179D"/>
    <w:rsid w:val="00EC28ED"/>
    <w:rsid w:val="00EC32F2"/>
    <w:rsid w:val="00EC3620"/>
    <w:rsid w:val="00EC4786"/>
    <w:rsid w:val="00EC66B3"/>
    <w:rsid w:val="00EC6895"/>
    <w:rsid w:val="00EC68E7"/>
    <w:rsid w:val="00EC7BA1"/>
    <w:rsid w:val="00ED1139"/>
    <w:rsid w:val="00ED1A56"/>
    <w:rsid w:val="00ED1EDA"/>
    <w:rsid w:val="00ED3727"/>
    <w:rsid w:val="00EE0729"/>
    <w:rsid w:val="00EE43D6"/>
    <w:rsid w:val="00EE74B9"/>
    <w:rsid w:val="00EF2504"/>
    <w:rsid w:val="00EF4AEF"/>
    <w:rsid w:val="00EF5F7F"/>
    <w:rsid w:val="00EF7563"/>
    <w:rsid w:val="00F01613"/>
    <w:rsid w:val="00F01628"/>
    <w:rsid w:val="00F02A18"/>
    <w:rsid w:val="00F0614D"/>
    <w:rsid w:val="00F070DD"/>
    <w:rsid w:val="00F13771"/>
    <w:rsid w:val="00F1481B"/>
    <w:rsid w:val="00F15FA6"/>
    <w:rsid w:val="00F2267A"/>
    <w:rsid w:val="00F23876"/>
    <w:rsid w:val="00F238FA"/>
    <w:rsid w:val="00F25508"/>
    <w:rsid w:val="00F26CE6"/>
    <w:rsid w:val="00F32361"/>
    <w:rsid w:val="00F33360"/>
    <w:rsid w:val="00F350AB"/>
    <w:rsid w:val="00F3658C"/>
    <w:rsid w:val="00F41CEC"/>
    <w:rsid w:val="00F42B40"/>
    <w:rsid w:val="00F43AC2"/>
    <w:rsid w:val="00F444E7"/>
    <w:rsid w:val="00F45548"/>
    <w:rsid w:val="00F46897"/>
    <w:rsid w:val="00F476BF"/>
    <w:rsid w:val="00F50429"/>
    <w:rsid w:val="00F50989"/>
    <w:rsid w:val="00F52680"/>
    <w:rsid w:val="00F52A0F"/>
    <w:rsid w:val="00F579E6"/>
    <w:rsid w:val="00F60442"/>
    <w:rsid w:val="00F609EB"/>
    <w:rsid w:val="00F62325"/>
    <w:rsid w:val="00F6244A"/>
    <w:rsid w:val="00F62718"/>
    <w:rsid w:val="00F62D0E"/>
    <w:rsid w:val="00F6304A"/>
    <w:rsid w:val="00F6317A"/>
    <w:rsid w:val="00F650FD"/>
    <w:rsid w:val="00F6694D"/>
    <w:rsid w:val="00F712E3"/>
    <w:rsid w:val="00F71487"/>
    <w:rsid w:val="00F71FBE"/>
    <w:rsid w:val="00F72AD9"/>
    <w:rsid w:val="00F72CB3"/>
    <w:rsid w:val="00F83289"/>
    <w:rsid w:val="00F83E8F"/>
    <w:rsid w:val="00F84C12"/>
    <w:rsid w:val="00F85B0D"/>
    <w:rsid w:val="00F86A42"/>
    <w:rsid w:val="00F928C0"/>
    <w:rsid w:val="00F9296A"/>
    <w:rsid w:val="00F94464"/>
    <w:rsid w:val="00F94B00"/>
    <w:rsid w:val="00F94E19"/>
    <w:rsid w:val="00F95A49"/>
    <w:rsid w:val="00F963DA"/>
    <w:rsid w:val="00F96889"/>
    <w:rsid w:val="00F96C34"/>
    <w:rsid w:val="00F975A6"/>
    <w:rsid w:val="00FA2F40"/>
    <w:rsid w:val="00FA37F2"/>
    <w:rsid w:val="00FA3AF5"/>
    <w:rsid w:val="00FA500E"/>
    <w:rsid w:val="00FA553F"/>
    <w:rsid w:val="00FA5689"/>
    <w:rsid w:val="00FA6D68"/>
    <w:rsid w:val="00FA78F5"/>
    <w:rsid w:val="00FB0422"/>
    <w:rsid w:val="00FB28F9"/>
    <w:rsid w:val="00FB4A8F"/>
    <w:rsid w:val="00FB564C"/>
    <w:rsid w:val="00FB5AA8"/>
    <w:rsid w:val="00FB5BF8"/>
    <w:rsid w:val="00FC01F6"/>
    <w:rsid w:val="00FC23A6"/>
    <w:rsid w:val="00FC3FA6"/>
    <w:rsid w:val="00FC5B58"/>
    <w:rsid w:val="00FC6186"/>
    <w:rsid w:val="00FD075A"/>
    <w:rsid w:val="00FD546E"/>
    <w:rsid w:val="00FD5D8F"/>
    <w:rsid w:val="00FD6142"/>
    <w:rsid w:val="00FD65C7"/>
    <w:rsid w:val="00FE035C"/>
    <w:rsid w:val="00FE37A1"/>
    <w:rsid w:val="00FE3A80"/>
    <w:rsid w:val="00FE477C"/>
    <w:rsid w:val="00FE546C"/>
    <w:rsid w:val="00FE6B72"/>
    <w:rsid w:val="00FE6FAE"/>
    <w:rsid w:val="00FE7DDB"/>
    <w:rsid w:val="00FF5BD5"/>
    <w:rsid w:val="010D5113"/>
    <w:rsid w:val="01110DE5"/>
    <w:rsid w:val="01150642"/>
    <w:rsid w:val="01196AD5"/>
    <w:rsid w:val="011B3D5D"/>
    <w:rsid w:val="011D29CA"/>
    <w:rsid w:val="011D6E67"/>
    <w:rsid w:val="012008A0"/>
    <w:rsid w:val="012E4B97"/>
    <w:rsid w:val="01341465"/>
    <w:rsid w:val="01361F25"/>
    <w:rsid w:val="013631FA"/>
    <w:rsid w:val="013632B0"/>
    <w:rsid w:val="01383BD5"/>
    <w:rsid w:val="013917D2"/>
    <w:rsid w:val="013B2CB0"/>
    <w:rsid w:val="013C008C"/>
    <w:rsid w:val="013E414D"/>
    <w:rsid w:val="013E4434"/>
    <w:rsid w:val="01454677"/>
    <w:rsid w:val="014751F1"/>
    <w:rsid w:val="014C4DA3"/>
    <w:rsid w:val="015108FC"/>
    <w:rsid w:val="01550995"/>
    <w:rsid w:val="015849EE"/>
    <w:rsid w:val="015A4CB9"/>
    <w:rsid w:val="015F0314"/>
    <w:rsid w:val="015F39FA"/>
    <w:rsid w:val="01621F49"/>
    <w:rsid w:val="01670819"/>
    <w:rsid w:val="01676D25"/>
    <w:rsid w:val="0169497F"/>
    <w:rsid w:val="016A3612"/>
    <w:rsid w:val="016B75F5"/>
    <w:rsid w:val="016F551B"/>
    <w:rsid w:val="01740ADE"/>
    <w:rsid w:val="01747FB3"/>
    <w:rsid w:val="01792319"/>
    <w:rsid w:val="017D4F5C"/>
    <w:rsid w:val="017D78BC"/>
    <w:rsid w:val="01842978"/>
    <w:rsid w:val="018A3AE5"/>
    <w:rsid w:val="018F5335"/>
    <w:rsid w:val="01952C18"/>
    <w:rsid w:val="0196114C"/>
    <w:rsid w:val="01982532"/>
    <w:rsid w:val="019951D4"/>
    <w:rsid w:val="01A00DB8"/>
    <w:rsid w:val="01A06AF4"/>
    <w:rsid w:val="01AF5430"/>
    <w:rsid w:val="01B041D6"/>
    <w:rsid w:val="01B04B83"/>
    <w:rsid w:val="01B1032D"/>
    <w:rsid w:val="01B435CB"/>
    <w:rsid w:val="01B77B6D"/>
    <w:rsid w:val="01B84553"/>
    <w:rsid w:val="01BA0102"/>
    <w:rsid w:val="01BA427E"/>
    <w:rsid w:val="01BA4C23"/>
    <w:rsid w:val="01BA6EDE"/>
    <w:rsid w:val="01BB311A"/>
    <w:rsid w:val="01BF7AE3"/>
    <w:rsid w:val="01CA16F4"/>
    <w:rsid w:val="01D14FA0"/>
    <w:rsid w:val="01D159E6"/>
    <w:rsid w:val="01D523F1"/>
    <w:rsid w:val="01D5406D"/>
    <w:rsid w:val="01D54CE3"/>
    <w:rsid w:val="01D558F9"/>
    <w:rsid w:val="01D6313B"/>
    <w:rsid w:val="01D6734A"/>
    <w:rsid w:val="01DA174C"/>
    <w:rsid w:val="01DB2EB4"/>
    <w:rsid w:val="01DF3CAC"/>
    <w:rsid w:val="01E019C2"/>
    <w:rsid w:val="01E06A55"/>
    <w:rsid w:val="01E3131B"/>
    <w:rsid w:val="01F02979"/>
    <w:rsid w:val="01F246B9"/>
    <w:rsid w:val="01F42745"/>
    <w:rsid w:val="01F472A0"/>
    <w:rsid w:val="01F91B8C"/>
    <w:rsid w:val="01F9599A"/>
    <w:rsid w:val="01FC4DAD"/>
    <w:rsid w:val="01FF278E"/>
    <w:rsid w:val="020133CB"/>
    <w:rsid w:val="02025C33"/>
    <w:rsid w:val="02035204"/>
    <w:rsid w:val="0205791F"/>
    <w:rsid w:val="020652A2"/>
    <w:rsid w:val="0210331C"/>
    <w:rsid w:val="0211288F"/>
    <w:rsid w:val="02173829"/>
    <w:rsid w:val="021A43E6"/>
    <w:rsid w:val="021B005A"/>
    <w:rsid w:val="021C4F86"/>
    <w:rsid w:val="02201A31"/>
    <w:rsid w:val="02221EBD"/>
    <w:rsid w:val="02285D94"/>
    <w:rsid w:val="022A1B74"/>
    <w:rsid w:val="022A1DB0"/>
    <w:rsid w:val="022B0A63"/>
    <w:rsid w:val="022C5B3C"/>
    <w:rsid w:val="022E5D46"/>
    <w:rsid w:val="023219D7"/>
    <w:rsid w:val="02363B7C"/>
    <w:rsid w:val="0237756F"/>
    <w:rsid w:val="02383117"/>
    <w:rsid w:val="023960B0"/>
    <w:rsid w:val="02415D46"/>
    <w:rsid w:val="02496CBB"/>
    <w:rsid w:val="024A3BD9"/>
    <w:rsid w:val="024B41D0"/>
    <w:rsid w:val="024D692A"/>
    <w:rsid w:val="024E67EF"/>
    <w:rsid w:val="024F2254"/>
    <w:rsid w:val="02510D35"/>
    <w:rsid w:val="02527986"/>
    <w:rsid w:val="02530B2D"/>
    <w:rsid w:val="02570EE7"/>
    <w:rsid w:val="0259337A"/>
    <w:rsid w:val="025C360C"/>
    <w:rsid w:val="025E6CAE"/>
    <w:rsid w:val="02684ADB"/>
    <w:rsid w:val="026D473E"/>
    <w:rsid w:val="026E2B16"/>
    <w:rsid w:val="027036F3"/>
    <w:rsid w:val="02710B7B"/>
    <w:rsid w:val="027846E1"/>
    <w:rsid w:val="027D512D"/>
    <w:rsid w:val="027D52DA"/>
    <w:rsid w:val="027D6D4D"/>
    <w:rsid w:val="027E0673"/>
    <w:rsid w:val="027E2973"/>
    <w:rsid w:val="0281623A"/>
    <w:rsid w:val="02827BBA"/>
    <w:rsid w:val="02851335"/>
    <w:rsid w:val="02873437"/>
    <w:rsid w:val="02881D28"/>
    <w:rsid w:val="0289280A"/>
    <w:rsid w:val="028A196E"/>
    <w:rsid w:val="028B742B"/>
    <w:rsid w:val="028E7F0F"/>
    <w:rsid w:val="02945BD9"/>
    <w:rsid w:val="02946BC5"/>
    <w:rsid w:val="02974EC5"/>
    <w:rsid w:val="029A6892"/>
    <w:rsid w:val="029E467C"/>
    <w:rsid w:val="029F62B8"/>
    <w:rsid w:val="02A167F1"/>
    <w:rsid w:val="02A27352"/>
    <w:rsid w:val="02A33E09"/>
    <w:rsid w:val="02A42515"/>
    <w:rsid w:val="02A42D24"/>
    <w:rsid w:val="02A94384"/>
    <w:rsid w:val="02B0178A"/>
    <w:rsid w:val="02B35C19"/>
    <w:rsid w:val="02B81537"/>
    <w:rsid w:val="02C11EA1"/>
    <w:rsid w:val="02C4664E"/>
    <w:rsid w:val="02C47236"/>
    <w:rsid w:val="02CD0544"/>
    <w:rsid w:val="02DD342C"/>
    <w:rsid w:val="02DD6790"/>
    <w:rsid w:val="02DE2484"/>
    <w:rsid w:val="02DE607D"/>
    <w:rsid w:val="02DF0B72"/>
    <w:rsid w:val="02DF38C4"/>
    <w:rsid w:val="02DF516E"/>
    <w:rsid w:val="02E2259B"/>
    <w:rsid w:val="02E64825"/>
    <w:rsid w:val="02EB791A"/>
    <w:rsid w:val="02EC4B1F"/>
    <w:rsid w:val="02F55E04"/>
    <w:rsid w:val="02F666C6"/>
    <w:rsid w:val="02F725A0"/>
    <w:rsid w:val="02F7269F"/>
    <w:rsid w:val="02FA5E75"/>
    <w:rsid w:val="02FF131F"/>
    <w:rsid w:val="030563D1"/>
    <w:rsid w:val="03062C6C"/>
    <w:rsid w:val="03065E27"/>
    <w:rsid w:val="030A5150"/>
    <w:rsid w:val="030E07AC"/>
    <w:rsid w:val="03111A46"/>
    <w:rsid w:val="03115C1E"/>
    <w:rsid w:val="0312036D"/>
    <w:rsid w:val="03121385"/>
    <w:rsid w:val="03125B07"/>
    <w:rsid w:val="03153B65"/>
    <w:rsid w:val="0315431E"/>
    <w:rsid w:val="03165F1E"/>
    <w:rsid w:val="031A0FC0"/>
    <w:rsid w:val="031E5864"/>
    <w:rsid w:val="03207A37"/>
    <w:rsid w:val="032768DA"/>
    <w:rsid w:val="0329093F"/>
    <w:rsid w:val="033253FC"/>
    <w:rsid w:val="03366D9E"/>
    <w:rsid w:val="03392A93"/>
    <w:rsid w:val="0339786E"/>
    <w:rsid w:val="033E5CCD"/>
    <w:rsid w:val="033E7596"/>
    <w:rsid w:val="0344173B"/>
    <w:rsid w:val="03492885"/>
    <w:rsid w:val="034B2E29"/>
    <w:rsid w:val="034E1DE5"/>
    <w:rsid w:val="035C23A9"/>
    <w:rsid w:val="035D32DE"/>
    <w:rsid w:val="035E5D2E"/>
    <w:rsid w:val="036065D1"/>
    <w:rsid w:val="03631B37"/>
    <w:rsid w:val="0363328A"/>
    <w:rsid w:val="03651D67"/>
    <w:rsid w:val="0366266E"/>
    <w:rsid w:val="036B5B18"/>
    <w:rsid w:val="038010F2"/>
    <w:rsid w:val="038030E9"/>
    <w:rsid w:val="038165E4"/>
    <w:rsid w:val="038262EB"/>
    <w:rsid w:val="03896BCD"/>
    <w:rsid w:val="03916C4A"/>
    <w:rsid w:val="03941FA4"/>
    <w:rsid w:val="0394315A"/>
    <w:rsid w:val="0399051E"/>
    <w:rsid w:val="039B4E81"/>
    <w:rsid w:val="03A26C9D"/>
    <w:rsid w:val="03AA6FA6"/>
    <w:rsid w:val="03AD03F0"/>
    <w:rsid w:val="03AF2EFA"/>
    <w:rsid w:val="03AF4368"/>
    <w:rsid w:val="03B00790"/>
    <w:rsid w:val="03BB2719"/>
    <w:rsid w:val="03BC51E3"/>
    <w:rsid w:val="03BD63EF"/>
    <w:rsid w:val="03C342C0"/>
    <w:rsid w:val="03C8334D"/>
    <w:rsid w:val="03CF16A0"/>
    <w:rsid w:val="03D20249"/>
    <w:rsid w:val="03D6161B"/>
    <w:rsid w:val="03D61C1D"/>
    <w:rsid w:val="03D64508"/>
    <w:rsid w:val="03D867A6"/>
    <w:rsid w:val="03DA6713"/>
    <w:rsid w:val="03DB3DF6"/>
    <w:rsid w:val="03E02F6A"/>
    <w:rsid w:val="03E55CFB"/>
    <w:rsid w:val="03E870EC"/>
    <w:rsid w:val="03EE2141"/>
    <w:rsid w:val="03F81F9E"/>
    <w:rsid w:val="03FE686A"/>
    <w:rsid w:val="040113C9"/>
    <w:rsid w:val="04072BC2"/>
    <w:rsid w:val="040C594F"/>
    <w:rsid w:val="04193BC8"/>
    <w:rsid w:val="041A4320"/>
    <w:rsid w:val="041F0772"/>
    <w:rsid w:val="04207C0B"/>
    <w:rsid w:val="042345CE"/>
    <w:rsid w:val="042670E7"/>
    <w:rsid w:val="04291C01"/>
    <w:rsid w:val="04294671"/>
    <w:rsid w:val="04311128"/>
    <w:rsid w:val="04334E95"/>
    <w:rsid w:val="04365D8C"/>
    <w:rsid w:val="043A6405"/>
    <w:rsid w:val="043D32E4"/>
    <w:rsid w:val="043E047C"/>
    <w:rsid w:val="043E11B3"/>
    <w:rsid w:val="043F748D"/>
    <w:rsid w:val="0442185B"/>
    <w:rsid w:val="044B1B31"/>
    <w:rsid w:val="045076E8"/>
    <w:rsid w:val="04547BDA"/>
    <w:rsid w:val="04577F8E"/>
    <w:rsid w:val="045F5655"/>
    <w:rsid w:val="046009D3"/>
    <w:rsid w:val="04645CDB"/>
    <w:rsid w:val="04793D2E"/>
    <w:rsid w:val="04820460"/>
    <w:rsid w:val="04824E76"/>
    <w:rsid w:val="04854E6B"/>
    <w:rsid w:val="048D60DB"/>
    <w:rsid w:val="048D7FED"/>
    <w:rsid w:val="048F3CBD"/>
    <w:rsid w:val="049054D6"/>
    <w:rsid w:val="049105FA"/>
    <w:rsid w:val="04944BF9"/>
    <w:rsid w:val="049D7D45"/>
    <w:rsid w:val="049F1548"/>
    <w:rsid w:val="049F7B58"/>
    <w:rsid w:val="04A0499E"/>
    <w:rsid w:val="04AA606D"/>
    <w:rsid w:val="04AC0B17"/>
    <w:rsid w:val="04B2267F"/>
    <w:rsid w:val="04B40F26"/>
    <w:rsid w:val="04B75089"/>
    <w:rsid w:val="04B853DC"/>
    <w:rsid w:val="04C738E7"/>
    <w:rsid w:val="04CB68CC"/>
    <w:rsid w:val="04D2070B"/>
    <w:rsid w:val="04D67F89"/>
    <w:rsid w:val="04DE2AB1"/>
    <w:rsid w:val="04E338E6"/>
    <w:rsid w:val="04E511AA"/>
    <w:rsid w:val="04E74FA6"/>
    <w:rsid w:val="04EA15ED"/>
    <w:rsid w:val="04EB40F0"/>
    <w:rsid w:val="04F1028E"/>
    <w:rsid w:val="04F16068"/>
    <w:rsid w:val="04F47585"/>
    <w:rsid w:val="04F5434F"/>
    <w:rsid w:val="04F7020A"/>
    <w:rsid w:val="04F8199F"/>
    <w:rsid w:val="04FA3E23"/>
    <w:rsid w:val="04FA6DD1"/>
    <w:rsid w:val="04FE7698"/>
    <w:rsid w:val="04FF07D7"/>
    <w:rsid w:val="050B5584"/>
    <w:rsid w:val="050C7DF9"/>
    <w:rsid w:val="050D1259"/>
    <w:rsid w:val="050D269E"/>
    <w:rsid w:val="050D67EF"/>
    <w:rsid w:val="050E424D"/>
    <w:rsid w:val="05127842"/>
    <w:rsid w:val="05132DCF"/>
    <w:rsid w:val="05143E11"/>
    <w:rsid w:val="051D6197"/>
    <w:rsid w:val="05220FBB"/>
    <w:rsid w:val="05222514"/>
    <w:rsid w:val="0525547D"/>
    <w:rsid w:val="05290E0D"/>
    <w:rsid w:val="052D16F6"/>
    <w:rsid w:val="052E1384"/>
    <w:rsid w:val="052E4D30"/>
    <w:rsid w:val="0530302B"/>
    <w:rsid w:val="05436FBC"/>
    <w:rsid w:val="054C3981"/>
    <w:rsid w:val="0553354F"/>
    <w:rsid w:val="055646DB"/>
    <w:rsid w:val="05591005"/>
    <w:rsid w:val="056977A2"/>
    <w:rsid w:val="05763906"/>
    <w:rsid w:val="05783F09"/>
    <w:rsid w:val="05784AF8"/>
    <w:rsid w:val="057D5EDC"/>
    <w:rsid w:val="057E31F3"/>
    <w:rsid w:val="058111BF"/>
    <w:rsid w:val="058717C8"/>
    <w:rsid w:val="058876ED"/>
    <w:rsid w:val="058D65BC"/>
    <w:rsid w:val="058F4E6A"/>
    <w:rsid w:val="058F4F21"/>
    <w:rsid w:val="058F7BE2"/>
    <w:rsid w:val="0590444A"/>
    <w:rsid w:val="05942F06"/>
    <w:rsid w:val="05997E0B"/>
    <w:rsid w:val="059D1BF9"/>
    <w:rsid w:val="059E0AE6"/>
    <w:rsid w:val="05A04CE8"/>
    <w:rsid w:val="05A97247"/>
    <w:rsid w:val="05B35770"/>
    <w:rsid w:val="05BB2071"/>
    <w:rsid w:val="05BE2598"/>
    <w:rsid w:val="05BE2E6A"/>
    <w:rsid w:val="05BE417A"/>
    <w:rsid w:val="05CB600B"/>
    <w:rsid w:val="05CD4E80"/>
    <w:rsid w:val="05D1138A"/>
    <w:rsid w:val="05D256DC"/>
    <w:rsid w:val="05D45C3E"/>
    <w:rsid w:val="05D52C0B"/>
    <w:rsid w:val="05D857D3"/>
    <w:rsid w:val="05DC5170"/>
    <w:rsid w:val="05DE60F3"/>
    <w:rsid w:val="05E327CC"/>
    <w:rsid w:val="05E601A4"/>
    <w:rsid w:val="05E703D9"/>
    <w:rsid w:val="05E718D0"/>
    <w:rsid w:val="05EC22C1"/>
    <w:rsid w:val="05ED3EB0"/>
    <w:rsid w:val="05EF49C0"/>
    <w:rsid w:val="05F11EA2"/>
    <w:rsid w:val="05F347E8"/>
    <w:rsid w:val="05F367E5"/>
    <w:rsid w:val="05F36E34"/>
    <w:rsid w:val="05F476BF"/>
    <w:rsid w:val="05F52E69"/>
    <w:rsid w:val="05F92813"/>
    <w:rsid w:val="05FB2F75"/>
    <w:rsid w:val="0602606D"/>
    <w:rsid w:val="060B0120"/>
    <w:rsid w:val="060C407F"/>
    <w:rsid w:val="060E259F"/>
    <w:rsid w:val="060E39F5"/>
    <w:rsid w:val="060F2F7C"/>
    <w:rsid w:val="06155C01"/>
    <w:rsid w:val="061706B9"/>
    <w:rsid w:val="06177E56"/>
    <w:rsid w:val="06180339"/>
    <w:rsid w:val="061E1E3F"/>
    <w:rsid w:val="06217F97"/>
    <w:rsid w:val="0625526D"/>
    <w:rsid w:val="0625720C"/>
    <w:rsid w:val="062E56B4"/>
    <w:rsid w:val="06395CD5"/>
    <w:rsid w:val="063A313E"/>
    <w:rsid w:val="063B37B1"/>
    <w:rsid w:val="063B5589"/>
    <w:rsid w:val="063B5E0E"/>
    <w:rsid w:val="06405038"/>
    <w:rsid w:val="06420522"/>
    <w:rsid w:val="06420F74"/>
    <w:rsid w:val="064352A1"/>
    <w:rsid w:val="06450C4F"/>
    <w:rsid w:val="06451A56"/>
    <w:rsid w:val="06496F58"/>
    <w:rsid w:val="064C6E1D"/>
    <w:rsid w:val="064D082A"/>
    <w:rsid w:val="064F456E"/>
    <w:rsid w:val="064F4F9F"/>
    <w:rsid w:val="06541277"/>
    <w:rsid w:val="06576A55"/>
    <w:rsid w:val="06592E18"/>
    <w:rsid w:val="065D2923"/>
    <w:rsid w:val="066000A5"/>
    <w:rsid w:val="06634493"/>
    <w:rsid w:val="0663760C"/>
    <w:rsid w:val="06642706"/>
    <w:rsid w:val="066536B8"/>
    <w:rsid w:val="06661117"/>
    <w:rsid w:val="06664829"/>
    <w:rsid w:val="066A6861"/>
    <w:rsid w:val="066B351B"/>
    <w:rsid w:val="066F265B"/>
    <w:rsid w:val="066F449B"/>
    <w:rsid w:val="06716396"/>
    <w:rsid w:val="067A0FEE"/>
    <w:rsid w:val="067B0C6A"/>
    <w:rsid w:val="067E3B66"/>
    <w:rsid w:val="068605D6"/>
    <w:rsid w:val="06872310"/>
    <w:rsid w:val="06883F98"/>
    <w:rsid w:val="068B52E6"/>
    <w:rsid w:val="06923138"/>
    <w:rsid w:val="069910B9"/>
    <w:rsid w:val="069927FB"/>
    <w:rsid w:val="069C253C"/>
    <w:rsid w:val="069F5975"/>
    <w:rsid w:val="06A308E2"/>
    <w:rsid w:val="06A43D77"/>
    <w:rsid w:val="06A4732A"/>
    <w:rsid w:val="06A557DD"/>
    <w:rsid w:val="06AA3D3F"/>
    <w:rsid w:val="06AE6D8F"/>
    <w:rsid w:val="06B0093A"/>
    <w:rsid w:val="06B13906"/>
    <w:rsid w:val="06B65DC3"/>
    <w:rsid w:val="06BD084D"/>
    <w:rsid w:val="06C1383F"/>
    <w:rsid w:val="06C253BF"/>
    <w:rsid w:val="06C462A8"/>
    <w:rsid w:val="06C9749B"/>
    <w:rsid w:val="06D1100B"/>
    <w:rsid w:val="06D82981"/>
    <w:rsid w:val="06D84AD0"/>
    <w:rsid w:val="06D85469"/>
    <w:rsid w:val="06D90670"/>
    <w:rsid w:val="06E226A6"/>
    <w:rsid w:val="06E22A61"/>
    <w:rsid w:val="06E33B41"/>
    <w:rsid w:val="06E450D7"/>
    <w:rsid w:val="06E4782C"/>
    <w:rsid w:val="06E93CDC"/>
    <w:rsid w:val="06EC13E8"/>
    <w:rsid w:val="06EC29FB"/>
    <w:rsid w:val="06ED3FFF"/>
    <w:rsid w:val="06F12205"/>
    <w:rsid w:val="06F15228"/>
    <w:rsid w:val="06F23054"/>
    <w:rsid w:val="06F63372"/>
    <w:rsid w:val="06FC4FD5"/>
    <w:rsid w:val="06FF08C8"/>
    <w:rsid w:val="06FF1C8F"/>
    <w:rsid w:val="0700345C"/>
    <w:rsid w:val="07071184"/>
    <w:rsid w:val="070771B4"/>
    <w:rsid w:val="0709089A"/>
    <w:rsid w:val="07093667"/>
    <w:rsid w:val="070B7F04"/>
    <w:rsid w:val="070C7D52"/>
    <w:rsid w:val="070D3E6F"/>
    <w:rsid w:val="070D6D82"/>
    <w:rsid w:val="070F64D1"/>
    <w:rsid w:val="07103E70"/>
    <w:rsid w:val="07127417"/>
    <w:rsid w:val="071663F4"/>
    <w:rsid w:val="071B4604"/>
    <w:rsid w:val="071C32BF"/>
    <w:rsid w:val="071C4B6C"/>
    <w:rsid w:val="071E6FCF"/>
    <w:rsid w:val="07201EC5"/>
    <w:rsid w:val="072459D6"/>
    <w:rsid w:val="07276F2B"/>
    <w:rsid w:val="072C090F"/>
    <w:rsid w:val="073719A5"/>
    <w:rsid w:val="073A6626"/>
    <w:rsid w:val="07436F59"/>
    <w:rsid w:val="0744526B"/>
    <w:rsid w:val="07465E59"/>
    <w:rsid w:val="0747388B"/>
    <w:rsid w:val="07482789"/>
    <w:rsid w:val="074A7E9A"/>
    <w:rsid w:val="074B2106"/>
    <w:rsid w:val="074E1B80"/>
    <w:rsid w:val="07520291"/>
    <w:rsid w:val="07527F81"/>
    <w:rsid w:val="07552F18"/>
    <w:rsid w:val="07554698"/>
    <w:rsid w:val="07561A41"/>
    <w:rsid w:val="07562440"/>
    <w:rsid w:val="075B534B"/>
    <w:rsid w:val="075D3FC6"/>
    <w:rsid w:val="075D625C"/>
    <w:rsid w:val="075F1C72"/>
    <w:rsid w:val="076120A7"/>
    <w:rsid w:val="076464FB"/>
    <w:rsid w:val="076667DD"/>
    <w:rsid w:val="07671AE8"/>
    <w:rsid w:val="0767794C"/>
    <w:rsid w:val="076854F2"/>
    <w:rsid w:val="076A41B1"/>
    <w:rsid w:val="076B41E9"/>
    <w:rsid w:val="076C1149"/>
    <w:rsid w:val="076C16BD"/>
    <w:rsid w:val="077263F8"/>
    <w:rsid w:val="0776297D"/>
    <w:rsid w:val="077743D0"/>
    <w:rsid w:val="077D7889"/>
    <w:rsid w:val="077E38F4"/>
    <w:rsid w:val="077E4116"/>
    <w:rsid w:val="077E6038"/>
    <w:rsid w:val="077F0C8B"/>
    <w:rsid w:val="077F121C"/>
    <w:rsid w:val="077F2E1A"/>
    <w:rsid w:val="078A1C05"/>
    <w:rsid w:val="078D71D6"/>
    <w:rsid w:val="078E46A1"/>
    <w:rsid w:val="07925CFD"/>
    <w:rsid w:val="079A7BBD"/>
    <w:rsid w:val="07A11433"/>
    <w:rsid w:val="07A23811"/>
    <w:rsid w:val="07A75D83"/>
    <w:rsid w:val="07A778B6"/>
    <w:rsid w:val="07AA1B8C"/>
    <w:rsid w:val="07AC5B45"/>
    <w:rsid w:val="07AD2666"/>
    <w:rsid w:val="07AE7FB0"/>
    <w:rsid w:val="07AF5722"/>
    <w:rsid w:val="07B038DE"/>
    <w:rsid w:val="07B24195"/>
    <w:rsid w:val="07B40349"/>
    <w:rsid w:val="07B433CC"/>
    <w:rsid w:val="07B6387E"/>
    <w:rsid w:val="07B817D6"/>
    <w:rsid w:val="07BF0B18"/>
    <w:rsid w:val="07C02F5D"/>
    <w:rsid w:val="07C12060"/>
    <w:rsid w:val="07C15B63"/>
    <w:rsid w:val="07C5135C"/>
    <w:rsid w:val="07C70BE6"/>
    <w:rsid w:val="07C845DF"/>
    <w:rsid w:val="07D10CB3"/>
    <w:rsid w:val="07D277FE"/>
    <w:rsid w:val="07DB3CBE"/>
    <w:rsid w:val="07DF2442"/>
    <w:rsid w:val="07DF7A14"/>
    <w:rsid w:val="07E05199"/>
    <w:rsid w:val="07E549B3"/>
    <w:rsid w:val="07E85765"/>
    <w:rsid w:val="07EA17E1"/>
    <w:rsid w:val="07EB4CDD"/>
    <w:rsid w:val="07EC316C"/>
    <w:rsid w:val="07EC6B0E"/>
    <w:rsid w:val="07ED3172"/>
    <w:rsid w:val="07ED6C93"/>
    <w:rsid w:val="07FB3C85"/>
    <w:rsid w:val="07FC2B1A"/>
    <w:rsid w:val="07FE491D"/>
    <w:rsid w:val="080032FA"/>
    <w:rsid w:val="08011461"/>
    <w:rsid w:val="08046441"/>
    <w:rsid w:val="08060358"/>
    <w:rsid w:val="0806214A"/>
    <w:rsid w:val="08087437"/>
    <w:rsid w:val="080D271C"/>
    <w:rsid w:val="080D7D7B"/>
    <w:rsid w:val="08141A65"/>
    <w:rsid w:val="081B6890"/>
    <w:rsid w:val="081E4663"/>
    <w:rsid w:val="08201EFA"/>
    <w:rsid w:val="08245402"/>
    <w:rsid w:val="0830300D"/>
    <w:rsid w:val="0830428D"/>
    <w:rsid w:val="08360BC2"/>
    <w:rsid w:val="08361F41"/>
    <w:rsid w:val="08381B18"/>
    <w:rsid w:val="083C7CFD"/>
    <w:rsid w:val="08420563"/>
    <w:rsid w:val="08450365"/>
    <w:rsid w:val="08495829"/>
    <w:rsid w:val="084B5636"/>
    <w:rsid w:val="084C414C"/>
    <w:rsid w:val="08503544"/>
    <w:rsid w:val="085173EC"/>
    <w:rsid w:val="08517A90"/>
    <w:rsid w:val="08544BFF"/>
    <w:rsid w:val="08566507"/>
    <w:rsid w:val="08581F2C"/>
    <w:rsid w:val="08591489"/>
    <w:rsid w:val="08597F39"/>
    <w:rsid w:val="085A254D"/>
    <w:rsid w:val="085F25A5"/>
    <w:rsid w:val="0865025A"/>
    <w:rsid w:val="086956D3"/>
    <w:rsid w:val="086D09D2"/>
    <w:rsid w:val="086D3705"/>
    <w:rsid w:val="086D65C9"/>
    <w:rsid w:val="08755575"/>
    <w:rsid w:val="087973EF"/>
    <w:rsid w:val="087C2940"/>
    <w:rsid w:val="088038FF"/>
    <w:rsid w:val="088449BD"/>
    <w:rsid w:val="08846AD7"/>
    <w:rsid w:val="08850AB8"/>
    <w:rsid w:val="08865F1E"/>
    <w:rsid w:val="08894B1B"/>
    <w:rsid w:val="08896ECD"/>
    <w:rsid w:val="088A2E07"/>
    <w:rsid w:val="088A7CDB"/>
    <w:rsid w:val="088C1F3A"/>
    <w:rsid w:val="088E4153"/>
    <w:rsid w:val="08907E9C"/>
    <w:rsid w:val="08936CA2"/>
    <w:rsid w:val="0895500B"/>
    <w:rsid w:val="08990E47"/>
    <w:rsid w:val="089D308D"/>
    <w:rsid w:val="08A03802"/>
    <w:rsid w:val="08A26D38"/>
    <w:rsid w:val="08A30800"/>
    <w:rsid w:val="08A6283C"/>
    <w:rsid w:val="08A629CB"/>
    <w:rsid w:val="08A81848"/>
    <w:rsid w:val="08AC620C"/>
    <w:rsid w:val="08AF773C"/>
    <w:rsid w:val="08B20F8B"/>
    <w:rsid w:val="08BA7BF4"/>
    <w:rsid w:val="08BD756F"/>
    <w:rsid w:val="08BF636E"/>
    <w:rsid w:val="08C90878"/>
    <w:rsid w:val="08CD0E6E"/>
    <w:rsid w:val="08D04FC7"/>
    <w:rsid w:val="08D75427"/>
    <w:rsid w:val="08D9538F"/>
    <w:rsid w:val="08DB3D67"/>
    <w:rsid w:val="08DE139F"/>
    <w:rsid w:val="08E06311"/>
    <w:rsid w:val="08E258C3"/>
    <w:rsid w:val="08F21330"/>
    <w:rsid w:val="08F26A13"/>
    <w:rsid w:val="08F373FD"/>
    <w:rsid w:val="08FA4767"/>
    <w:rsid w:val="08FC6F64"/>
    <w:rsid w:val="08FE3F80"/>
    <w:rsid w:val="090137C2"/>
    <w:rsid w:val="090441B5"/>
    <w:rsid w:val="09092C54"/>
    <w:rsid w:val="090C1DFA"/>
    <w:rsid w:val="090F5B7E"/>
    <w:rsid w:val="09170D18"/>
    <w:rsid w:val="091A422F"/>
    <w:rsid w:val="09201166"/>
    <w:rsid w:val="09226F4C"/>
    <w:rsid w:val="09237237"/>
    <w:rsid w:val="092B1A36"/>
    <w:rsid w:val="092B52CD"/>
    <w:rsid w:val="092F4ED6"/>
    <w:rsid w:val="09310FE3"/>
    <w:rsid w:val="09313931"/>
    <w:rsid w:val="093408C4"/>
    <w:rsid w:val="09351B3D"/>
    <w:rsid w:val="09397507"/>
    <w:rsid w:val="093A3733"/>
    <w:rsid w:val="093B5CB3"/>
    <w:rsid w:val="093E5783"/>
    <w:rsid w:val="093F2D34"/>
    <w:rsid w:val="09413B09"/>
    <w:rsid w:val="09423921"/>
    <w:rsid w:val="09461AC0"/>
    <w:rsid w:val="094C36F1"/>
    <w:rsid w:val="094C4280"/>
    <w:rsid w:val="094F520B"/>
    <w:rsid w:val="095066D8"/>
    <w:rsid w:val="09525141"/>
    <w:rsid w:val="095D56E6"/>
    <w:rsid w:val="09603D9A"/>
    <w:rsid w:val="0967143C"/>
    <w:rsid w:val="096C0BE6"/>
    <w:rsid w:val="09762A06"/>
    <w:rsid w:val="09770614"/>
    <w:rsid w:val="097A175F"/>
    <w:rsid w:val="097B3910"/>
    <w:rsid w:val="09850214"/>
    <w:rsid w:val="09886321"/>
    <w:rsid w:val="098B7FB4"/>
    <w:rsid w:val="098E179F"/>
    <w:rsid w:val="09913E2A"/>
    <w:rsid w:val="09944E69"/>
    <w:rsid w:val="09980948"/>
    <w:rsid w:val="099D3871"/>
    <w:rsid w:val="099E3016"/>
    <w:rsid w:val="099E557D"/>
    <w:rsid w:val="09A047D3"/>
    <w:rsid w:val="09A11C51"/>
    <w:rsid w:val="09A70092"/>
    <w:rsid w:val="09A85D57"/>
    <w:rsid w:val="09B02BAA"/>
    <w:rsid w:val="09B276E5"/>
    <w:rsid w:val="09B65F2F"/>
    <w:rsid w:val="09B836F6"/>
    <w:rsid w:val="09BC4257"/>
    <w:rsid w:val="09C0458F"/>
    <w:rsid w:val="09C145F9"/>
    <w:rsid w:val="09C55CA3"/>
    <w:rsid w:val="09C76F25"/>
    <w:rsid w:val="09CA4745"/>
    <w:rsid w:val="09CC28F2"/>
    <w:rsid w:val="09CF52A4"/>
    <w:rsid w:val="09D0058A"/>
    <w:rsid w:val="09D04B87"/>
    <w:rsid w:val="09D402D5"/>
    <w:rsid w:val="09D47A97"/>
    <w:rsid w:val="09D57978"/>
    <w:rsid w:val="09E007FE"/>
    <w:rsid w:val="09EB6939"/>
    <w:rsid w:val="09EC2B55"/>
    <w:rsid w:val="09EE1B14"/>
    <w:rsid w:val="09EF322D"/>
    <w:rsid w:val="09F157AA"/>
    <w:rsid w:val="09F506BC"/>
    <w:rsid w:val="09FF6CA1"/>
    <w:rsid w:val="0A0053D2"/>
    <w:rsid w:val="0A031BCA"/>
    <w:rsid w:val="0A041D1D"/>
    <w:rsid w:val="0A0430E0"/>
    <w:rsid w:val="0A063479"/>
    <w:rsid w:val="0A064CF7"/>
    <w:rsid w:val="0A064E0B"/>
    <w:rsid w:val="0A090421"/>
    <w:rsid w:val="0A095CF6"/>
    <w:rsid w:val="0A0B055A"/>
    <w:rsid w:val="0A0D16A8"/>
    <w:rsid w:val="0A0D5CF8"/>
    <w:rsid w:val="0A0E5082"/>
    <w:rsid w:val="0A10146A"/>
    <w:rsid w:val="0A113192"/>
    <w:rsid w:val="0A125552"/>
    <w:rsid w:val="0A1458D3"/>
    <w:rsid w:val="0A155BF9"/>
    <w:rsid w:val="0A1863FC"/>
    <w:rsid w:val="0A1F738B"/>
    <w:rsid w:val="0A220C84"/>
    <w:rsid w:val="0A224537"/>
    <w:rsid w:val="0A241383"/>
    <w:rsid w:val="0A286C80"/>
    <w:rsid w:val="0A2C6684"/>
    <w:rsid w:val="0A2F36B0"/>
    <w:rsid w:val="0A3474B2"/>
    <w:rsid w:val="0A37101F"/>
    <w:rsid w:val="0A391944"/>
    <w:rsid w:val="0A3B4DAF"/>
    <w:rsid w:val="0A407AE9"/>
    <w:rsid w:val="0A4644D9"/>
    <w:rsid w:val="0A4E4195"/>
    <w:rsid w:val="0A4F6533"/>
    <w:rsid w:val="0A53433B"/>
    <w:rsid w:val="0A54622A"/>
    <w:rsid w:val="0A5742EA"/>
    <w:rsid w:val="0A5F44F5"/>
    <w:rsid w:val="0A622B96"/>
    <w:rsid w:val="0A660D85"/>
    <w:rsid w:val="0A692297"/>
    <w:rsid w:val="0A7461DE"/>
    <w:rsid w:val="0A7B1AF9"/>
    <w:rsid w:val="0A7F7918"/>
    <w:rsid w:val="0A8055B9"/>
    <w:rsid w:val="0A816518"/>
    <w:rsid w:val="0A88222D"/>
    <w:rsid w:val="0A893C22"/>
    <w:rsid w:val="0A945CBB"/>
    <w:rsid w:val="0A964419"/>
    <w:rsid w:val="0A983C8A"/>
    <w:rsid w:val="0A9A6F73"/>
    <w:rsid w:val="0A9D70E7"/>
    <w:rsid w:val="0A9E31E2"/>
    <w:rsid w:val="0AA13F9D"/>
    <w:rsid w:val="0AA250BD"/>
    <w:rsid w:val="0AA67F52"/>
    <w:rsid w:val="0AA85D31"/>
    <w:rsid w:val="0AA94CD6"/>
    <w:rsid w:val="0AAA511E"/>
    <w:rsid w:val="0AAD543E"/>
    <w:rsid w:val="0AB45865"/>
    <w:rsid w:val="0AB537E5"/>
    <w:rsid w:val="0AB62E2A"/>
    <w:rsid w:val="0AB67553"/>
    <w:rsid w:val="0AB8045F"/>
    <w:rsid w:val="0AB96DAF"/>
    <w:rsid w:val="0AC41A84"/>
    <w:rsid w:val="0ACA6730"/>
    <w:rsid w:val="0ACC32B5"/>
    <w:rsid w:val="0ACD279B"/>
    <w:rsid w:val="0ACE089A"/>
    <w:rsid w:val="0ACF43C1"/>
    <w:rsid w:val="0AD00820"/>
    <w:rsid w:val="0AD41352"/>
    <w:rsid w:val="0AD66E87"/>
    <w:rsid w:val="0AD81C7A"/>
    <w:rsid w:val="0AD83597"/>
    <w:rsid w:val="0ADB5814"/>
    <w:rsid w:val="0AE32A1F"/>
    <w:rsid w:val="0AEB72FD"/>
    <w:rsid w:val="0AED1BA1"/>
    <w:rsid w:val="0AEE0702"/>
    <w:rsid w:val="0AF373C3"/>
    <w:rsid w:val="0AF545E5"/>
    <w:rsid w:val="0AF84449"/>
    <w:rsid w:val="0AFE256B"/>
    <w:rsid w:val="0B01540C"/>
    <w:rsid w:val="0B047D8E"/>
    <w:rsid w:val="0B0B5F09"/>
    <w:rsid w:val="0B0D1AC7"/>
    <w:rsid w:val="0B147D37"/>
    <w:rsid w:val="0B181F59"/>
    <w:rsid w:val="0B1A17F3"/>
    <w:rsid w:val="0B1D45CB"/>
    <w:rsid w:val="0B297E83"/>
    <w:rsid w:val="0B2B77D7"/>
    <w:rsid w:val="0B2D4221"/>
    <w:rsid w:val="0B2D6754"/>
    <w:rsid w:val="0B321FCF"/>
    <w:rsid w:val="0B386201"/>
    <w:rsid w:val="0B397C82"/>
    <w:rsid w:val="0B3A7089"/>
    <w:rsid w:val="0B3F0084"/>
    <w:rsid w:val="0B400979"/>
    <w:rsid w:val="0B403D5D"/>
    <w:rsid w:val="0B444A27"/>
    <w:rsid w:val="0B4B3224"/>
    <w:rsid w:val="0B4C0A1A"/>
    <w:rsid w:val="0B4F1754"/>
    <w:rsid w:val="0B50637F"/>
    <w:rsid w:val="0B511A6F"/>
    <w:rsid w:val="0B536536"/>
    <w:rsid w:val="0B5425EA"/>
    <w:rsid w:val="0B544BAD"/>
    <w:rsid w:val="0B56100C"/>
    <w:rsid w:val="0B5918CA"/>
    <w:rsid w:val="0B594C45"/>
    <w:rsid w:val="0B5A1554"/>
    <w:rsid w:val="0B5B7FE7"/>
    <w:rsid w:val="0B5C14CC"/>
    <w:rsid w:val="0B5C2428"/>
    <w:rsid w:val="0B5F3EA8"/>
    <w:rsid w:val="0B621273"/>
    <w:rsid w:val="0B632BAC"/>
    <w:rsid w:val="0B640F4C"/>
    <w:rsid w:val="0B66553F"/>
    <w:rsid w:val="0B67389A"/>
    <w:rsid w:val="0B6C0A97"/>
    <w:rsid w:val="0B727E18"/>
    <w:rsid w:val="0B756CA9"/>
    <w:rsid w:val="0B820646"/>
    <w:rsid w:val="0B843A0A"/>
    <w:rsid w:val="0B85316E"/>
    <w:rsid w:val="0B945B46"/>
    <w:rsid w:val="0B9C5269"/>
    <w:rsid w:val="0BA2487F"/>
    <w:rsid w:val="0BA36EE2"/>
    <w:rsid w:val="0BB57CA2"/>
    <w:rsid w:val="0BC07793"/>
    <w:rsid w:val="0BC100F0"/>
    <w:rsid w:val="0BC415F3"/>
    <w:rsid w:val="0BC503D0"/>
    <w:rsid w:val="0BCB0BAC"/>
    <w:rsid w:val="0BD10591"/>
    <w:rsid w:val="0BD10CD3"/>
    <w:rsid w:val="0BDC443F"/>
    <w:rsid w:val="0BDD653E"/>
    <w:rsid w:val="0BDF2EB4"/>
    <w:rsid w:val="0BE27A73"/>
    <w:rsid w:val="0BE71B36"/>
    <w:rsid w:val="0BEC1E83"/>
    <w:rsid w:val="0BED3BE3"/>
    <w:rsid w:val="0BF25DE4"/>
    <w:rsid w:val="0BF33015"/>
    <w:rsid w:val="0BF371E7"/>
    <w:rsid w:val="0BF54D32"/>
    <w:rsid w:val="0BF77EAC"/>
    <w:rsid w:val="0BFE1866"/>
    <w:rsid w:val="0BFE480B"/>
    <w:rsid w:val="0C005869"/>
    <w:rsid w:val="0C041219"/>
    <w:rsid w:val="0C063E5F"/>
    <w:rsid w:val="0C094C99"/>
    <w:rsid w:val="0C0A015E"/>
    <w:rsid w:val="0C0C12B0"/>
    <w:rsid w:val="0C0C4C57"/>
    <w:rsid w:val="0C126AE3"/>
    <w:rsid w:val="0C1D62BF"/>
    <w:rsid w:val="0C213139"/>
    <w:rsid w:val="0C213A13"/>
    <w:rsid w:val="0C274765"/>
    <w:rsid w:val="0C2B6A18"/>
    <w:rsid w:val="0C321E7E"/>
    <w:rsid w:val="0C327125"/>
    <w:rsid w:val="0C4025A2"/>
    <w:rsid w:val="0C443F1D"/>
    <w:rsid w:val="0C45381D"/>
    <w:rsid w:val="0C4C29BF"/>
    <w:rsid w:val="0C4C2E89"/>
    <w:rsid w:val="0C4E386D"/>
    <w:rsid w:val="0C504DF2"/>
    <w:rsid w:val="0C53614B"/>
    <w:rsid w:val="0C642D76"/>
    <w:rsid w:val="0C647B3F"/>
    <w:rsid w:val="0C67401D"/>
    <w:rsid w:val="0C704CA5"/>
    <w:rsid w:val="0C705AC3"/>
    <w:rsid w:val="0C727832"/>
    <w:rsid w:val="0C7368EA"/>
    <w:rsid w:val="0C833643"/>
    <w:rsid w:val="0C8346FB"/>
    <w:rsid w:val="0C850624"/>
    <w:rsid w:val="0C8559F9"/>
    <w:rsid w:val="0C872B78"/>
    <w:rsid w:val="0C906D43"/>
    <w:rsid w:val="0C944B1B"/>
    <w:rsid w:val="0C9477D5"/>
    <w:rsid w:val="0C975E70"/>
    <w:rsid w:val="0C9A6E05"/>
    <w:rsid w:val="0C9C5CFC"/>
    <w:rsid w:val="0C9D1516"/>
    <w:rsid w:val="0C9D42D0"/>
    <w:rsid w:val="0C9E5FFD"/>
    <w:rsid w:val="0C9F3ACE"/>
    <w:rsid w:val="0CA11505"/>
    <w:rsid w:val="0CA35372"/>
    <w:rsid w:val="0CA5641D"/>
    <w:rsid w:val="0CA605B6"/>
    <w:rsid w:val="0CA843C0"/>
    <w:rsid w:val="0CAB3301"/>
    <w:rsid w:val="0CC36A5D"/>
    <w:rsid w:val="0CC41D20"/>
    <w:rsid w:val="0CD12CB0"/>
    <w:rsid w:val="0CD22DBB"/>
    <w:rsid w:val="0CD66283"/>
    <w:rsid w:val="0CD807CA"/>
    <w:rsid w:val="0CD84C69"/>
    <w:rsid w:val="0CDC079F"/>
    <w:rsid w:val="0CDC28E2"/>
    <w:rsid w:val="0CE02A38"/>
    <w:rsid w:val="0CE20074"/>
    <w:rsid w:val="0CE246B8"/>
    <w:rsid w:val="0CE27B67"/>
    <w:rsid w:val="0CEB5AD4"/>
    <w:rsid w:val="0CED13C1"/>
    <w:rsid w:val="0CFA4FF0"/>
    <w:rsid w:val="0D0020A3"/>
    <w:rsid w:val="0D044C05"/>
    <w:rsid w:val="0D07491E"/>
    <w:rsid w:val="0D116C22"/>
    <w:rsid w:val="0D156EE1"/>
    <w:rsid w:val="0D18240A"/>
    <w:rsid w:val="0D1A4AB9"/>
    <w:rsid w:val="0D1A4D73"/>
    <w:rsid w:val="0D1B1ACD"/>
    <w:rsid w:val="0D1E508E"/>
    <w:rsid w:val="0D200C6A"/>
    <w:rsid w:val="0D223848"/>
    <w:rsid w:val="0D224A2F"/>
    <w:rsid w:val="0D2255D3"/>
    <w:rsid w:val="0D281D37"/>
    <w:rsid w:val="0D297A3C"/>
    <w:rsid w:val="0D2A737F"/>
    <w:rsid w:val="0D2B2A72"/>
    <w:rsid w:val="0D2C3AC0"/>
    <w:rsid w:val="0D352042"/>
    <w:rsid w:val="0D3B6C89"/>
    <w:rsid w:val="0D3B72B3"/>
    <w:rsid w:val="0D3E0B12"/>
    <w:rsid w:val="0D3F228A"/>
    <w:rsid w:val="0D3F4EFC"/>
    <w:rsid w:val="0D4260AA"/>
    <w:rsid w:val="0D471659"/>
    <w:rsid w:val="0D4869BD"/>
    <w:rsid w:val="0D4A7D8B"/>
    <w:rsid w:val="0D5539B7"/>
    <w:rsid w:val="0D5831AD"/>
    <w:rsid w:val="0D5860AD"/>
    <w:rsid w:val="0D586E73"/>
    <w:rsid w:val="0D5C25C6"/>
    <w:rsid w:val="0D6334A5"/>
    <w:rsid w:val="0D660D23"/>
    <w:rsid w:val="0D672C9F"/>
    <w:rsid w:val="0D723B3E"/>
    <w:rsid w:val="0D725FF3"/>
    <w:rsid w:val="0D770B24"/>
    <w:rsid w:val="0D781ABF"/>
    <w:rsid w:val="0D78397E"/>
    <w:rsid w:val="0D784889"/>
    <w:rsid w:val="0D795D3C"/>
    <w:rsid w:val="0D812DD2"/>
    <w:rsid w:val="0D853B7C"/>
    <w:rsid w:val="0D8818F2"/>
    <w:rsid w:val="0D9249A2"/>
    <w:rsid w:val="0D9A6E96"/>
    <w:rsid w:val="0D9F7CCB"/>
    <w:rsid w:val="0DA66B61"/>
    <w:rsid w:val="0DA922A3"/>
    <w:rsid w:val="0DA93835"/>
    <w:rsid w:val="0DAF0D71"/>
    <w:rsid w:val="0DB116B4"/>
    <w:rsid w:val="0DB16699"/>
    <w:rsid w:val="0DB465F5"/>
    <w:rsid w:val="0DB726E1"/>
    <w:rsid w:val="0DBC0C06"/>
    <w:rsid w:val="0DC10247"/>
    <w:rsid w:val="0DCC4F36"/>
    <w:rsid w:val="0DCD02D5"/>
    <w:rsid w:val="0DCD4246"/>
    <w:rsid w:val="0DD279EC"/>
    <w:rsid w:val="0DD851CD"/>
    <w:rsid w:val="0DDA2335"/>
    <w:rsid w:val="0DDA702B"/>
    <w:rsid w:val="0DDD1904"/>
    <w:rsid w:val="0DDF40DC"/>
    <w:rsid w:val="0DDF6277"/>
    <w:rsid w:val="0DE5205A"/>
    <w:rsid w:val="0DE61A2D"/>
    <w:rsid w:val="0DE65A2A"/>
    <w:rsid w:val="0DE67025"/>
    <w:rsid w:val="0DEA2F67"/>
    <w:rsid w:val="0DED2733"/>
    <w:rsid w:val="0DF07B63"/>
    <w:rsid w:val="0DF60BF6"/>
    <w:rsid w:val="0DFA24CA"/>
    <w:rsid w:val="0DFE5C21"/>
    <w:rsid w:val="0E070F5E"/>
    <w:rsid w:val="0E0864F0"/>
    <w:rsid w:val="0E0A2E38"/>
    <w:rsid w:val="0E0C3A36"/>
    <w:rsid w:val="0E122A32"/>
    <w:rsid w:val="0E14109E"/>
    <w:rsid w:val="0E152692"/>
    <w:rsid w:val="0E1B504F"/>
    <w:rsid w:val="0E1D123C"/>
    <w:rsid w:val="0E276C3A"/>
    <w:rsid w:val="0E277D24"/>
    <w:rsid w:val="0E2A44F5"/>
    <w:rsid w:val="0E2B1402"/>
    <w:rsid w:val="0E372471"/>
    <w:rsid w:val="0E380A3F"/>
    <w:rsid w:val="0E3A068A"/>
    <w:rsid w:val="0E3F1BEC"/>
    <w:rsid w:val="0E4261EF"/>
    <w:rsid w:val="0E432ECB"/>
    <w:rsid w:val="0E44134A"/>
    <w:rsid w:val="0E4816BF"/>
    <w:rsid w:val="0E4909CA"/>
    <w:rsid w:val="0E5048FF"/>
    <w:rsid w:val="0E5737B6"/>
    <w:rsid w:val="0E577474"/>
    <w:rsid w:val="0E5D2CE4"/>
    <w:rsid w:val="0E5E0961"/>
    <w:rsid w:val="0E5E0A4A"/>
    <w:rsid w:val="0E5F0063"/>
    <w:rsid w:val="0E5F3E9D"/>
    <w:rsid w:val="0E603DD1"/>
    <w:rsid w:val="0E604D2F"/>
    <w:rsid w:val="0E641270"/>
    <w:rsid w:val="0E643718"/>
    <w:rsid w:val="0E6A190C"/>
    <w:rsid w:val="0E6A46DF"/>
    <w:rsid w:val="0E6F41F6"/>
    <w:rsid w:val="0E773D43"/>
    <w:rsid w:val="0E79186D"/>
    <w:rsid w:val="0E7C0557"/>
    <w:rsid w:val="0E80403B"/>
    <w:rsid w:val="0E8140EE"/>
    <w:rsid w:val="0E855B1C"/>
    <w:rsid w:val="0E885BC4"/>
    <w:rsid w:val="0E8A5825"/>
    <w:rsid w:val="0E90116A"/>
    <w:rsid w:val="0E9064B7"/>
    <w:rsid w:val="0E9245C3"/>
    <w:rsid w:val="0E945144"/>
    <w:rsid w:val="0E9B6268"/>
    <w:rsid w:val="0E9C4966"/>
    <w:rsid w:val="0EA046E9"/>
    <w:rsid w:val="0EA22E74"/>
    <w:rsid w:val="0EA53475"/>
    <w:rsid w:val="0EA938DF"/>
    <w:rsid w:val="0EA96893"/>
    <w:rsid w:val="0EAB09D9"/>
    <w:rsid w:val="0EAB5C51"/>
    <w:rsid w:val="0EAD0961"/>
    <w:rsid w:val="0EAF0126"/>
    <w:rsid w:val="0EB05546"/>
    <w:rsid w:val="0EB33B3A"/>
    <w:rsid w:val="0EB5141D"/>
    <w:rsid w:val="0EB76F3B"/>
    <w:rsid w:val="0EB818A4"/>
    <w:rsid w:val="0EBC52D4"/>
    <w:rsid w:val="0EBD0B5D"/>
    <w:rsid w:val="0EBE3C26"/>
    <w:rsid w:val="0EBF301B"/>
    <w:rsid w:val="0EC412D2"/>
    <w:rsid w:val="0EC4204E"/>
    <w:rsid w:val="0ECB680C"/>
    <w:rsid w:val="0ED11FC5"/>
    <w:rsid w:val="0ED35653"/>
    <w:rsid w:val="0ED4016B"/>
    <w:rsid w:val="0ED47896"/>
    <w:rsid w:val="0ED638F9"/>
    <w:rsid w:val="0EDB5E09"/>
    <w:rsid w:val="0EE11FC6"/>
    <w:rsid w:val="0EE73972"/>
    <w:rsid w:val="0EE93D9B"/>
    <w:rsid w:val="0EEA5B49"/>
    <w:rsid w:val="0EED010F"/>
    <w:rsid w:val="0EF5134E"/>
    <w:rsid w:val="0EF56A7A"/>
    <w:rsid w:val="0EF56B58"/>
    <w:rsid w:val="0EFD2F7D"/>
    <w:rsid w:val="0F0126BA"/>
    <w:rsid w:val="0F101F45"/>
    <w:rsid w:val="0F111B07"/>
    <w:rsid w:val="0F153AFD"/>
    <w:rsid w:val="0F183B28"/>
    <w:rsid w:val="0F1B3855"/>
    <w:rsid w:val="0F1C7FDE"/>
    <w:rsid w:val="0F1D0829"/>
    <w:rsid w:val="0F224DE6"/>
    <w:rsid w:val="0F242BC9"/>
    <w:rsid w:val="0F243BF7"/>
    <w:rsid w:val="0F286769"/>
    <w:rsid w:val="0F2F2233"/>
    <w:rsid w:val="0F304DCE"/>
    <w:rsid w:val="0F3467FB"/>
    <w:rsid w:val="0F360650"/>
    <w:rsid w:val="0F375695"/>
    <w:rsid w:val="0F3E2B7D"/>
    <w:rsid w:val="0F3E6BF3"/>
    <w:rsid w:val="0F4208DF"/>
    <w:rsid w:val="0F425485"/>
    <w:rsid w:val="0F45327A"/>
    <w:rsid w:val="0F455628"/>
    <w:rsid w:val="0F476677"/>
    <w:rsid w:val="0F48348C"/>
    <w:rsid w:val="0F4926D8"/>
    <w:rsid w:val="0F4F171B"/>
    <w:rsid w:val="0F53442E"/>
    <w:rsid w:val="0F617A83"/>
    <w:rsid w:val="0F631CE5"/>
    <w:rsid w:val="0F6573A5"/>
    <w:rsid w:val="0F662896"/>
    <w:rsid w:val="0F674CF0"/>
    <w:rsid w:val="0F6F6CB4"/>
    <w:rsid w:val="0F7274EB"/>
    <w:rsid w:val="0F7445D9"/>
    <w:rsid w:val="0F7534B9"/>
    <w:rsid w:val="0F7A71CA"/>
    <w:rsid w:val="0F7C04CF"/>
    <w:rsid w:val="0F7C68EB"/>
    <w:rsid w:val="0F823EA1"/>
    <w:rsid w:val="0F8C1CB1"/>
    <w:rsid w:val="0F8D6BBF"/>
    <w:rsid w:val="0F902F5B"/>
    <w:rsid w:val="0F904766"/>
    <w:rsid w:val="0F907604"/>
    <w:rsid w:val="0F960252"/>
    <w:rsid w:val="0F982571"/>
    <w:rsid w:val="0F9A3BC2"/>
    <w:rsid w:val="0F9E205E"/>
    <w:rsid w:val="0FA02642"/>
    <w:rsid w:val="0FA212E0"/>
    <w:rsid w:val="0FA315A3"/>
    <w:rsid w:val="0FA35F0D"/>
    <w:rsid w:val="0FA73915"/>
    <w:rsid w:val="0FA805EC"/>
    <w:rsid w:val="0FAC6332"/>
    <w:rsid w:val="0FAD4A16"/>
    <w:rsid w:val="0FAE09D7"/>
    <w:rsid w:val="0FB07B97"/>
    <w:rsid w:val="0FB45208"/>
    <w:rsid w:val="0FB5677B"/>
    <w:rsid w:val="0FBA1B85"/>
    <w:rsid w:val="0FC0100D"/>
    <w:rsid w:val="0FC306E9"/>
    <w:rsid w:val="0FC3187E"/>
    <w:rsid w:val="0FC4269D"/>
    <w:rsid w:val="0FC816DA"/>
    <w:rsid w:val="0FC840DC"/>
    <w:rsid w:val="0FC8777D"/>
    <w:rsid w:val="0FC94197"/>
    <w:rsid w:val="0FCC0820"/>
    <w:rsid w:val="0FCC1120"/>
    <w:rsid w:val="0FCE22FD"/>
    <w:rsid w:val="0FD02C45"/>
    <w:rsid w:val="0FD34DA8"/>
    <w:rsid w:val="0FD42CD5"/>
    <w:rsid w:val="0FD45012"/>
    <w:rsid w:val="0FD74461"/>
    <w:rsid w:val="0FD868F5"/>
    <w:rsid w:val="0FDE53B3"/>
    <w:rsid w:val="0FE019AA"/>
    <w:rsid w:val="0FE459B6"/>
    <w:rsid w:val="0FEB67A4"/>
    <w:rsid w:val="0FEC18F0"/>
    <w:rsid w:val="0FEC32A5"/>
    <w:rsid w:val="0FED140A"/>
    <w:rsid w:val="0FEF05B0"/>
    <w:rsid w:val="0FF35359"/>
    <w:rsid w:val="0FF60D2B"/>
    <w:rsid w:val="0FF728F8"/>
    <w:rsid w:val="0FF74C73"/>
    <w:rsid w:val="0FF8281F"/>
    <w:rsid w:val="0FFB1CE4"/>
    <w:rsid w:val="0FFF1232"/>
    <w:rsid w:val="100162B7"/>
    <w:rsid w:val="100544AD"/>
    <w:rsid w:val="10057177"/>
    <w:rsid w:val="100B3D04"/>
    <w:rsid w:val="100B4474"/>
    <w:rsid w:val="100B6C94"/>
    <w:rsid w:val="100E4A56"/>
    <w:rsid w:val="1012515D"/>
    <w:rsid w:val="10140633"/>
    <w:rsid w:val="101526E7"/>
    <w:rsid w:val="101674AF"/>
    <w:rsid w:val="101725A6"/>
    <w:rsid w:val="101A468D"/>
    <w:rsid w:val="101B3FDB"/>
    <w:rsid w:val="101E5C4F"/>
    <w:rsid w:val="10266B7F"/>
    <w:rsid w:val="102B64CB"/>
    <w:rsid w:val="102C35B1"/>
    <w:rsid w:val="1036527D"/>
    <w:rsid w:val="10376EFA"/>
    <w:rsid w:val="10461A7E"/>
    <w:rsid w:val="10483411"/>
    <w:rsid w:val="1049142B"/>
    <w:rsid w:val="104961B0"/>
    <w:rsid w:val="104C3E6E"/>
    <w:rsid w:val="104C7DF7"/>
    <w:rsid w:val="104F371F"/>
    <w:rsid w:val="1050008C"/>
    <w:rsid w:val="105354E7"/>
    <w:rsid w:val="10560B8C"/>
    <w:rsid w:val="10572A35"/>
    <w:rsid w:val="105B7419"/>
    <w:rsid w:val="105D0396"/>
    <w:rsid w:val="105E0AED"/>
    <w:rsid w:val="105E31AF"/>
    <w:rsid w:val="106043C7"/>
    <w:rsid w:val="1064598B"/>
    <w:rsid w:val="10655E92"/>
    <w:rsid w:val="106B7B46"/>
    <w:rsid w:val="106D4E87"/>
    <w:rsid w:val="107643AA"/>
    <w:rsid w:val="107F2FB6"/>
    <w:rsid w:val="1087148A"/>
    <w:rsid w:val="10882545"/>
    <w:rsid w:val="1091156E"/>
    <w:rsid w:val="10913BF6"/>
    <w:rsid w:val="10925FFB"/>
    <w:rsid w:val="10965ED0"/>
    <w:rsid w:val="109B720D"/>
    <w:rsid w:val="109D244B"/>
    <w:rsid w:val="10A161AB"/>
    <w:rsid w:val="10A8612B"/>
    <w:rsid w:val="10A9461B"/>
    <w:rsid w:val="10A94865"/>
    <w:rsid w:val="10AA3EF4"/>
    <w:rsid w:val="10AC601A"/>
    <w:rsid w:val="10AE63CA"/>
    <w:rsid w:val="10AE646C"/>
    <w:rsid w:val="10AF21B9"/>
    <w:rsid w:val="10B97D0C"/>
    <w:rsid w:val="10BA262C"/>
    <w:rsid w:val="10BA7F4C"/>
    <w:rsid w:val="10BC6E2E"/>
    <w:rsid w:val="10BE6852"/>
    <w:rsid w:val="10BF79F5"/>
    <w:rsid w:val="10C500C5"/>
    <w:rsid w:val="10C64981"/>
    <w:rsid w:val="10C91CC5"/>
    <w:rsid w:val="10CC6C66"/>
    <w:rsid w:val="10CD5B1E"/>
    <w:rsid w:val="10D0219F"/>
    <w:rsid w:val="10D27523"/>
    <w:rsid w:val="10D31533"/>
    <w:rsid w:val="10D3788D"/>
    <w:rsid w:val="10D93A9D"/>
    <w:rsid w:val="10DC308B"/>
    <w:rsid w:val="10E30A9F"/>
    <w:rsid w:val="10E360CF"/>
    <w:rsid w:val="10E4670C"/>
    <w:rsid w:val="10E54A11"/>
    <w:rsid w:val="10E70CBE"/>
    <w:rsid w:val="10E8633A"/>
    <w:rsid w:val="10E94215"/>
    <w:rsid w:val="10EB2FFD"/>
    <w:rsid w:val="10EC099A"/>
    <w:rsid w:val="10F166EF"/>
    <w:rsid w:val="10F45E68"/>
    <w:rsid w:val="10F76182"/>
    <w:rsid w:val="10F81F40"/>
    <w:rsid w:val="10FC6380"/>
    <w:rsid w:val="11022836"/>
    <w:rsid w:val="1104615F"/>
    <w:rsid w:val="11091B5F"/>
    <w:rsid w:val="11093565"/>
    <w:rsid w:val="110B7BDD"/>
    <w:rsid w:val="11106FA2"/>
    <w:rsid w:val="11233E58"/>
    <w:rsid w:val="11296527"/>
    <w:rsid w:val="112B20E5"/>
    <w:rsid w:val="112C3BD4"/>
    <w:rsid w:val="112E3C2D"/>
    <w:rsid w:val="11301D8A"/>
    <w:rsid w:val="11401B02"/>
    <w:rsid w:val="1145655F"/>
    <w:rsid w:val="11483C82"/>
    <w:rsid w:val="114F2B2C"/>
    <w:rsid w:val="114F4B87"/>
    <w:rsid w:val="115E17AE"/>
    <w:rsid w:val="115E727F"/>
    <w:rsid w:val="1164563E"/>
    <w:rsid w:val="1165358F"/>
    <w:rsid w:val="1166677B"/>
    <w:rsid w:val="11666C6F"/>
    <w:rsid w:val="116A53F5"/>
    <w:rsid w:val="11733CF9"/>
    <w:rsid w:val="11754BD1"/>
    <w:rsid w:val="11780B27"/>
    <w:rsid w:val="117E051B"/>
    <w:rsid w:val="117E2171"/>
    <w:rsid w:val="118046CF"/>
    <w:rsid w:val="118059A6"/>
    <w:rsid w:val="118520A7"/>
    <w:rsid w:val="118E6414"/>
    <w:rsid w:val="11936046"/>
    <w:rsid w:val="11945B1C"/>
    <w:rsid w:val="119514C5"/>
    <w:rsid w:val="11965BB5"/>
    <w:rsid w:val="11984F4C"/>
    <w:rsid w:val="119C2E9B"/>
    <w:rsid w:val="119D431A"/>
    <w:rsid w:val="119F1799"/>
    <w:rsid w:val="11A03257"/>
    <w:rsid w:val="11A4752B"/>
    <w:rsid w:val="11A71783"/>
    <w:rsid w:val="11A8469C"/>
    <w:rsid w:val="11AA222A"/>
    <w:rsid w:val="11AB1848"/>
    <w:rsid w:val="11AC16B5"/>
    <w:rsid w:val="11AE74E2"/>
    <w:rsid w:val="11B40E8D"/>
    <w:rsid w:val="11BF72F8"/>
    <w:rsid w:val="11C05C3E"/>
    <w:rsid w:val="11C2347D"/>
    <w:rsid w:val="11C81378"/>
    <w:rsid w:val="11C83171"/>
    <w:rsid w:val="11CC63DE"/>
    <w:rsid w:val="11CF13B4"/>
    <w:rsid w:val="11D036EC"/>
    <w:rsid w:val="11D11538"/>
    <w:rsid w:val="11D2456A"/>
    <w:rsid w:val="11D75746"/>
    <w:rsid w:val="11DA59EB"/>
    <w:rsid w:val="11E923AD"/>
    <w:rsid w:val="11EA0BAD"/>
    <w:rsid w:val="11EB7F4C"/>
    <w:rsid w:val="11EC6370"/>
    <w:rsid w:val="11F27CCE"/>
    <w:rsid w:val="11F67D0D"/>
    <w:rsid w:val="11FE5DE4"/>
    <w:rsid w:val="11FF1E70"/>
    <w:rsid w:val="12030614"/>
    <w:rsid w:val="120629AB"/>
    <w:rsid w:val="120637B9"/>
    <w:rsid w:val="120C3401"/>
    <w:rsid w:val="120F24D9"/>
    <w:rsid w:val="1214686A"/>
    <w:rsid w:val="12154D3D"/>
    <w:rsid w:val="121651E1"/>
    <w:rsid w:val="12181E49"/>
    <w:rsid w:val="121D5822"/>
    <w:rsid w:val="121E1636"/>
    <w:rsid w:val="12235436"/>
    <w:rsid w:val="122C1933"/>
    <w:rsid w:val="1237753F"/>
    <w:rsid w:val="12380331"/>
    <w:rsid w:val="12381E21"/>
    <w:rsid w:val="123D47A6"/>
    <w:rsid w:val="12410885"/>
    <w:rsid w:val="1246450F"/>
    <w:rsid w:val="12466F5D"/>
    <w:rsid w:val="12475328"/>
    <w:rsid w:val="124A7760"/>
    <w:rsid w:val="124C3E80"/>
    <w:rsid w:val="12516170"/>
    <w:rsid w:val="125250EF"/>
    <w:rsid w:val="12526ECC"/>
    <w:rsid w:val="12555161"/>
    <w:rsid w:val="125A3F44"/>
    <w:rsid w:val="125C0038"/>
    <w:rsid w:val="125C2415"/>
    <w:rsid w:val="125D539E"/>
    <w:rsid w:val="125E173D"/>
    <w:rsid w:val="12604AD7"/>
    <w:rsid w:val="12610911"/>
    <w:rsid w:val="126745BF"/>
    <w:rsid w:val="12676AA5"/>
    <w:rsid w:val="12686647"/>
    <w:rsid w:val="126C6E3A"/>
    <w:rsid w:val="12721E69"/>
    <w:rsid w:val="127677FC"/>
    <w:rsid w:val="127D1895"/>
    <w:rsid w:val="127D6FD6"/>
    <w:rsid w:val="127E11C6"/>
    <w:rsid w:val="128378AE"/>
    <w:rsid w:val="128629E7"/>
    <w:rsid w:val="128834C1"/>
    <w:rsid w:val="128C1272"/>
    <w:rsid w:val="128C206B"/>
    <w:rsid w:val="12944B23"/>
    <w:rsid w:val="12946B86"/>
    <w:rsid w:val="12963B26"/>
    <w:rsid w:val="12984975"/>
    <w:rsid w:val="129A699B"/>
    <w:rsid w:val="129E3271"/>
    <w:rsid w:val="12B00B7C"/>
    <w:rsid w:val="12B4704A"/>
    <w:rsid w:val="12B7142E"/>
    <w:rsid w:val="12B83205"/>
    <w:rsid w:val="12B85446"/>
    <w:rsid w:val="12BA3EE9"/>
    <w:rsid w:val="12BC5FFA"/>
    <w:rsid w:val="12BE4628"/>
    <w:rsid w:val="12C2213A"/>
    <w:rsid w:val="12C5450A"/>
    <w:rsid w:val="12CF0C4C"/>
    <w:rsid w:val="12D14B57"/>
    <w:rsid w:val="12D203BA"/>
    <w:rsid w:val="12DB7DFA"/>
    <w:rsid w:val="12DC4B93"/>
    <w:rsid w:val="12DD254D"/>
    <w:rsid w:val="12E02D05"/>
    <w:rsid w:val="12F14E44"/>
    <w:rsid w:val="12F54506"/>
    <w:rsid w:val="12F6592E"/>
    <w:rsid w:val="12FB03D7"/>
    <w:rsid w:val="13012A13"/>
    <w:rsid w:val="1304083F"/>
    <w:rsid w:val="13041881"/>
    <w:rsid w:val="13081E47"/>
    <w:rsid w:val="13090946"/>
    <w:rsid w:val="130970A6"/>
    <w:rsid w:val="130A0641"/>
    <w:rsid w:val="130A1048"/>
    <w:rsid w:val="130B0D69"/>
    <w:rsid w:val="130C347A"/>
    <w:rsid w:val="13104066"/>
    <w:rsid w:val="13115F32"/>
    <w:rsid w:val="131831DB"/>
    <w:rsid w:val="131B150E"/>
    <w:rsid w:val="131B7893"/>
    <w:rsid w:val="131F69B9"/>
    <w:rsid w:val="132318D4"/>
    <w:rsid w:val="13245FED"/>
    <w:rsid w:val="13286EB8"/>
    <w:rsid w:val="132942A5"/>
    <w:rsid w:val="132B6F1E"/>
    <w:rsid w:val="132E094D"/>
    <w:rsid w:val="132E12E1"/>
    <w:rsid w:val="13310C88"/>
    <w:rsid w:val="1331261E"/>
    <w:rsid w:val="13313BED"/>
    <w:rsid w:val="133523C4"/>
    <w:rsid w:val="133A176D"/>
    <w:rsid w:val="133C0651"/>
    <w:rsid w:val="133C0F8C"/>
    <w:rsid w:val="13457743"/>
    <w:rsid w:val="13467ECE"/>
    <w:rsid w:val="13476A62"/>
    <w:rsid w:val="134F4463"/>
    <w:rsid w:val="1350342C"/>
    <w:rsid w:val="13562F95"/>
    <w:rsid w:val="13593F14"/>
    <w:rsid w:val="135C3E7F"/>
    <w:rsid w:val="135E5617"/>
    <w:rsid w:val="136116CA"/>
    <w:rsid w:val="136C7C7E"/>
    <w:rsid w:val="136F66CF"/>
    <w:rsid w:val="13704610"/>
    <w:rsid w:val="13726CAF"/>
    <w:rsid w:val="13783C63"/>
    <w:rsid w:val="137F2033"/>
    <w:rsid w:val="137F4A93"/>
    <w:rsid w:val="137F6201"/>
    <w:rsid w:val="13807A54"/>
    <w:rsid w:val="13840630"/>
    <w:rsid w:val="138612C6"/>
    <w:rsid w:val="13875F60"/>
    <w:rsid w:val="13886460"/>
    <w:rsid w:val="138B59D8"/>
    <w:rsid w:val="13901401"/>
    <w:rsid w:val="13905B9B"/>
    <w:rsid w:val="1395612A"/>
    <w:rsid w:val="1397118A"/>
    <w:rsid w:val="13976310"/>
    <w:rsid w:val="139B5F7E"/>
    <w:rsid w:val="139B7E3D"/>
    <w:rsid w:val="139C49A3"/>
    <w:rsid w:val="13A062CB"/>
    <w:rsid w:val="13A42180"/>
    <w:rsid w:val="13AC16D1"/>
    <w:rsid w:val="13AC666A"/>
    <w:rsid w:val="13AF2017"/>
    <w:rsid w:val="13B44FD7"/>
    <w:rsid w:val="13B54341"/>
    <w:rsid w:val="13B66784"/>
    <w:rsid w:val="13B6678B"/>
    <w:rsid w:val="13B95125"/>
    <w:rsid w:val="13C056FE"/>
    <w:rsid w:val="13C2561E"/>
    <w:rsid w:val="13C25936"/>
    <w:rsid w:val="13C41528"/>
    <w:rsid w:val="13C43C44"/>
    <w:rsid w:val="13C505B0"/>
    <w:rsid w:val="13C80E68"/>
    <w:rsid w:val="13D51D62"/>
    <w:rsid w:val="13D960AB"/>
    <w:rsid w:val="13DA230B"/>
    <w:rsid w:val="13DC0C99"/>
    <w:rsid w:val="13DE4435"/>
    <w:rsid w:val="13DF5603"/>
    <w:rsid w:val="13E82CAC"/>
    <w:rsid w:val="13E861B3"/>
    <w:rsid w:val="13EA752D"/>
    <w:rsid w:val="13EF2529"/>
    <w:rsid w:val="13F457E5"/>
    <w:rsid w:val="13F45F36"/>
    <w:rsid w:val="13F66C88"/>
    <w:rsid w:val="13F7187C"/>
    <w:rsid w:val="13FA7C14"/>
    <w:rsid w:val="13FD66B2"/>
    <w:rsid w:val="13FE7245"/>
    <w:rsid w:val="14003B6D"/>
    <w:rsid w:val="14032709"/>
    <w:rsid w:val="140817B8"/>
    <w:rsid w:val="1408461B"/>
    <w:rsid w:val="14090F0F"/>
    <w:rsid w:val="140B7863"/>
    <w:rsid w:val="140C6350"/>
    <w:rsid w:val="14100F3B"/>
    <w:rsid w:val="14115EC8"/>
    <w:rsid w:val="1412637D"/>
    <w:rsid w:val="141465AC"/>
    <w:rsid w:val="14147F47"/>
    <w:rsid w:val="141D5346"/>
    <w:rsid w:val="141D7045"/>
    <w:rsid w:val="1420525C"/>
    <w:rsid w:val="142501CD"/>
    <w:rsid w:val="1425439F"/>
    <w:rsid w:val="142D383C"/>
    <w:rsid w:val="142E2719"/>
    <w:rsid w:val="142F3073"/>
    <w:rsid w:val="143324BB"/>
    <w:rsid w:val="143A1950"/>
    <w:rsid w:val="143D2F7A"/>
    <w:rsid w:val="143E1FFB"/>
    <w:rsid w:val="1445611A"/>
    <w:rsid w:val="14462751"/>
    <w:rsid w:val="144930B3"/>
    <w:rsid w:val="144A05D8"/>
    <w:rsid w:val="144E60BD"/>
    <w:rsid w:val="144F71CC"/>
    <w:rsid w:val="14546E64"/>
    <w:rsid w:val="145726D4"/>
    <w:rsid w:val="145B457F"/>
    <w:rsid w:val="145E421D"/>
    <w:rsid w:val="1464065A"/>
    <w:rsid w:val="14653E32"/>
    <w:rsid w:val="146579F8"/>
    <w:rsid w:val="14661880"/>
    <w:rsid w:val="146623E4"/>
    <w:rsid w:val="146876FB"/>
    <w:rsid w:val="146B2BEA"/>
    <w:rsid w:val="146D778E"/>
    <w:rsid w:val="14732150"/>
    <w:rsid w:val="14744901"/>
    <w:rsid w:val="14783088"/>
    <w:rsid w:val="14793207"/>
    <w:rsid w:val="148170E3"/>
    <w:rsid w:val="148529B1"/>
    <w:rsid w:val="14855B88"/>
    <w:rsid w:val="148B6CC2"/>
    <w:rsid w:val="148D727E"/>
    <w:rsid w:val="14976B7E"/>
    <w:rsid w:val="149949AE"/>
    <w:rsid w:val="149F7FE0"/>
    <w:rsid w:val="14A2048B"/>
    <w:rsid w:val="14A205DB"/>
    <w:rsid w:val="14A5698E"/>
    <w:rsid w:val="14A63FD6"/>
    <w:rsid w:val="14AB0F99"/>
    <w:rsid w:val="14AF49D3"/>
    <w:rsid w:val="14B26F5B"/>
    <w:rsid w:val="14B27D80"/>
    <w:rsid w:val="14B94A7B"/>
    <w:rsid w:val="14BB7B8B"/>
    <w:rsid w:val="14C76932"/>
    <w:rsid w:val="14C9348D"/>
    <w:rsid w:val="14CB44CC"/>
    <w:rsid w:val="14CE46CE"/>
    <w:rsid w:val="14CF1E49"/>
    <w:rsid w:val="14DD5928"/>
    <w:rsid w:val="14DF412E"/>
    <w:rsid w:val="14E65F8A"/>
    <w:rsid w:val="14E66EEA"/>
    <w:rsid w:val="14E80B06"/>
    <w:rsid w:val="14E9005E"/>
    <w:rsid w:val="14EA0401"/>
    <w:rsid w:val="14EB2E50"/>
    <w:rsid w:val="14ED02E0"/>
    <w:rsid w:val="14F115B9"/>
    <w:rsid w:val="14F356ED"/>
    <w:rsid w:val="14F831A1"/>
    <w:rsid w:val="14FD63B8"/>
    <w:rsid w:val="15074741"/>
    <w:rsid w:val="15111967"/>
    <w:rsid w:val="1513213A"/>
    <w:rsid w:val="15152E17"/>
    <w:rsid w:val="15155837"/>
    <w:rsid w:val="151A6608"/>
    <w:rsid w:val="152662EE"/>
    <w:rsid w:val="152D1B5A"/>
    <w:rsid w:val="152F0DE0"/>
    <w:rsid w:val="153113A6"/>
    <w:rsid w:val="15354EA7"/>
    <w:rsid w:val="15370588"/>
    <w:rsid w:val="153A6E53"/>
    <w:rsid w:val="153E45AB"/>
    <w:rsid w:val="15403940"/>
    <w:rsid w:val="15410A42"/>
    <w:rsid w:val="15480F07"/>
    <w:rsid w:val="154B2216"/>
    <w:rsid w:val="154D009F"/>
    <w:rsid w:val="154D1A6E"/>
    <w:rsid w:val="155154FC"/>
    <w:rsid w:val="155B1A29"/>
    <w:rsid w:val="155B31D3"/>
    <w:rsid w:val="155C53FF"/>
    <w:rsid w:val="155E4CB2"/>
    <w:rsid w:val="15606280"/>
    <w:rsid w:val="15640E79"/>
    <w:rsid w:val="15695BDF"/>
    <w:rsid w:val="156A0E72"/>
    <w:rsid w:val="156B4C18"/>
    <w:rsid w:val="15705AEA"/>
    <w:rsid w:val="15766689"/>
    <w:rsid w:val="15791E48"/>
    <w:rsid w:val="157D3A06"/>
    <w:rsid w:val="157F7C6E"/>
    <w:rsid w:val="158008A2"/>
    <w:rsid w:val="15807C55"/>
    <w:rsid w:val="15837CFA"/>
    <w:rsid w:val="15865FBD"/>
    <w:rsid w:val="1589071E"/>
    <w:rsid w:val="158A3742"/>
    <w:rsid w:val="158B42CB"/>
    <w:rsid w:val="158E6D14"/>
    <w:rsid w:val="15906040"/>
    <w:rsid w:val="15946CD7"/>
    <w:rsid w:val="159A28DF"/>
    <w:rsid w:val="15A46B04"/>
    <w:rsid w:val="15A721D1"/>
    <w:rsid w:val="15A93017"/>
    <w:rsid w:val="15B2189D"/>
    <w:rsid w:val="15BD5893"/>
    <w:rsid w:val="15C4563D"/>
    <w:rsid w:val="15C80F6B"/>
    <w:rsid w:val="15CC2DA0"/>
    <w:rsid w:val="15CE27A2"/>
    <w:rsid w:val="15D214CC"/>
    <w:rsid w:val="15DA20D2"/>
    <w:rsid w:val="15DA6CED"/>
    <w:rsid w:val="15DC0F7A"/>
    <w:rsid w:val="15DE21ED"/>
    <w:rsid w:val="15DE2F00"/>
    <w:rsid w:val="15DF5AF0"/>
    <w:rsid w:val="15E02A52"/>
    <w:rsid w:val="15E13351"/>
    <w:rsid w:val="15E31621"/>
    <w:rsid w:val="15ED5D90"/>
    <w:rsid w:val="15F41589"/>
    <w:rsid w:val="15F440B5"/>
    <w:rsid w:val="15F92E76"/>
    <w:rsid w:val="15FC0CEF"/>
    <w:rsid w:val="15FE0BE1"/>
    <w:rsid w:val="15FF1DF7"/>
    <w:rsid w:val="1608371E"/>
    <w:rsid w:val="160E74EA"/>
    <w:rsid w:val="161915C6"/>
    <w:rsid w:val="161C0888"/>
    <w:rsid w:val="161C3386"/>
    <w:rsid w:val="162349F1"/>
    <w:rsid w:val="1623782D"/>
    <w:rsid w:val="16283A51"/>
    <w:rsid w:val="162E6525"/>
    <w:rsid w:val="162E730A"/>
    <w:rsid w:val="162F4C5B"/>
    <w:rsid w:val="162F4F37"/>
    <w:rsid w:val="163019DB"/>
    <w:rsid w:val="1630391B"/>
    <w:rsid w:val="1634691B"/>
    <w:rsid w:val="16357514"/>
    <w:rsid w:val="163A1216"/>
    <w:rsid w:val="163A189E"/>
    <w:rsid w:val="163C1635"/>
    <w:rsid w:val="16423AC9"/>
    <w:rsid w:val="1647756D"/>
    <w:rsid w:val="164A2FF3"/>
    <w:rsid w:val="164F5DB0"/>
    <w:rsid w:val="16506BC5"/>
    <w:rsid w:val="16531C44"/>
    <w:rsid w:val="16542D85"/>
    <w:rsid w:val="165649B5"/>
    <w:rsid w:val="1657024C"/>
    <w:rsid w:val="165B1AF8"/>
    <w:rsid w:val="16612524"/>
    <w:rsid w:val="16656AA3"/>
    <w:rsid w:val="16677327"/>
    <w:rsid w:val="166E5E2F"/>
    <w:rsid w:val="16733F17"/>
    <w:rsid w:val="16783EE8"/>
    <w:rsid w:val="16790E91"/>
    <w:rsid w:val="167978B2"/>
    <w:rsid w:val="167B2078"/>
    <w:rsid w:val="168058CE"/>
    <w:rsid w:val="16821C87"/>
    <w:rsid w:val="168572C6"/>
    <w:rsid w:val="168A341B"/>
    <w:rsid w:val="168B279B"/>
    <w:rsid w:val="168E1AF6"/>
    <w:rsid w:val="1693092E"/>
    <w:rsid w:val="16941C8C"/>
    <w:rsid w:val="1699503B"/>
    <w:rsid w:val="169F0652"/>
    <w:rsid w:val="16A62408"/>
    <w:rsid w:val="16A658DC"/>
    <w:rsid w:val="16AB1255"/>
    <w:rsid w:val="16AF6918"/>
    <w:rsid w:val="16B155F7"/>
    <w:rsid w:val="16B31808"/>
    <w:rsid w:val="16B33417"/>
    <w:rsid w:val="16B42CAC"/>
    <w:rsid w:val="16B86E70"/>
    <w:rsid w:val="16BB2201"/>
    <w:rsid w:val="16BE4F7B"/>
    <w:rsid w:val="16C224D6"/>
    <w:rsid w:val="16C32AE1"/>
    <w:rsid w:val="16C9505B"/>
    <w:rsid w:val="16CB30BB"/>
    <w:rsid w:val="16D47419"/>
    <w:rsid w:val="16D7242D"/>
    <w:rsid w:val="16D8007E"/>
    <w:rsid w:val="16DC05E4"/>
    <w:rsid w:val="16DE51C7"/>
    <w:rsid w:val="16DF6851"/>
    <w:rsid w:val="16E003D5"/>
    <w:rsid w:val="16EA5ED6"/>
    <w:rsid w:val="16EB4538"/>
    <w:rsid w:val="16ED2D9A"/>
    <w:rsid w:val="16F506A5"/>
    <w:rsid w:val="16F655CE"/>
    <w:rsid w:val="16F74A56"/>
    <w:rsid w:val="16FD79B9"/>
    <w:rsid w:val="17081C2F"/>
    <w:rsid w:val="17083629"/>
    <w:rsid w:val="1708435D"/>
    <w:rsid w:val="170B3A83"/>
    <w:rsid w:val="170B5540"/>
    <w:rsid w:val="170C23CE"/>
    <w:rsid w:val="171237E1"/>
    <w:rsid w:val="171433DC"/>
    <w:rsid w:val="1715758D"/>
    <w:rsid w:val="171739C9"/>
    <w:rsid w:val="17194140"/>
    <w:rsid w:val="17230EEE"/>
    <w:rsid w:val="17232582"/>
    <w:rsid w:val="17263548"/>
    <w:rsid w:val="1728138C"/>
    <w:rsid w:val="172E4225"/>
    <w:rsid w:val="1730386B"/>
    <w:rsid w:val="1732113A"/>
    <w:rsid w:val="1739327C"/>
    <w:rsid w:val="174110F0"/>
    <w:rsid w:val="174225DE"/>
    <w:rsid w:val="17422FDC"/>
    <w:rsid w:val="17446532"/>
    <w:rsid w:val="17485A1C"/>
    <w:rsid w:val="17496A1E"/>
    <w:rsid w:val="174A0BFA"/>
    <w:rsid w:val="174A7987"/>
    <w:rsid w:val="174B702A"/>
    <w:rsid w:val="174D6914"/>
    <w:rsid w:val="175005C5"/>
    <w:rsid w:val="1751514C"/>
    <w:rsid w:val="17516810"/>
    <w:rsid w:val="1756141C"/>
    <w:rsid w:val="175D0181"/>
    <w:rsid w:val="175D415F"/>
    <w:rsid w:val="175E203E"/>
    <w:rsid w:val="17615A17"/>
    <w:rsid w:val="17627AAF"/>
    <w:rsid w:val="1764138E"/>
    <w:rsid w:val="176562D7"/>
    <w:rsid w:val="17657B39"/>
    <w:rsid w:val="17657EC0"/>
    <w:rsid w:val="17677B0C"/>
    <w:rsid w:val="176D51E5"/>
    <w:rsid w:val="1772108F"/>
    <w:rsid w:val="17787018"/>
    <w:rsid w:val="177E1106"/>
    <w:rsid w:val="17875261"/>
    <w:rsid w:val="178B1F10"/>
    <w:rsid w:val="178B3F24"/>
    <w:rsid w:val="178F7561"/>
    <w:rsid w:val="179226F9"/>
    <w:rsid w:val="17A10DE5"/>
    <w:rsid w:val="17A15382"/>
    <w:rsid w:val="17A2434A"/>
    <w:rsid w:val="17A40CE4"/>
    <w:rsid w:val="17A41B8E"/>
    <w:rsid w:val="17A565D7"/>
    <w:rsid w:val="17A96653"/>
    <w:rsid w:val="17AC7ECB"/>
    <w:rsid w:val="17AD2B67"/>
    <w:rsid w:val="17AD4179"/>
    <w:rsid w:val="17B2062A"/>
    <w:rsid w:val="17B35C29"/>
    <w:rsid w:val="17B42874"/>
    <w:rsid w:val="17B4300B"/>
    <w:rsid w:val="17B51D02"/>
    <w:rsid w:val="17B60D45"/>
    <w:rsid w:val="17B74A73"/>
    <w:rsid w:val="17BC1241"/>
    <w:rsid w:val="17BE5592"/>
    <w:rsid w:val="17BF191B"/>
    <w:rsid w:val="17C05B2F"/>
    <w:rsid w:val="17C25DF1"/>
    <w:rsid w:val="17C7266D"/>
    <w:rsid w:val="17C772AB"/>
    <w:rsid w:val="17C82B73"/>
    <w:rsid w:val="17CA3118"/>
    <w:rsid w:val="17D0333C"/>
    <w:rsid w:val="17D7300E"/>
    <w:rsid w:val="17DA2765"/>
    <w:rsid w:val="17DA2D2A"/>
    <w:rsid w:val="17DB61A6"/>
    <w:rsid w:val="17DD1B5E"/>
    <w:rsid w:val="17DF0395"/>
    <w:rsid w:val="17E0083F"/>
    <w:rsid w:val="17EA7BD4"/>
    <w:rsid w:val="17EC7344"/>
    <w:rsid w:val="17ED55CA"/>
    <w:rsid w:val="17EF0C5B"/>
    <w:rsid w:val="17F07E36"/>
    <w:rsid w:val="17F273B0"/>
    <w:rsid w:val="17F32771"/>
    <w:rsid w:val="17F50E00"/>
    <w:rsid w:val="180058FE"/>
    <w:rsid w:val="18026623"/>
    <w:rsid w:val="18037B94"/>
    <w:rsid w:val="1804604D"/>
    <w:rsid w:val="180E3CD4"/>
    <w:rsid w:val="180E5BBE"/>
    <w:rsid w:val="18102D1B"/>
    <w:rsid w:val="1819243C"/>
    <w:rsid w:val="18232F27"/>
    <w:rsid w:val="18265618"/>
    <w:rsid w:val="1828332E"/>
    <w:rsid w:val="18283916"/>
    <w:rsid w:val="18286D30"/>
    <w:rsid w:val="182B1450"/>
    <w:rsid w:val="1834570E"/>
    <w:rsid w:val="18347536"/>
    <w:rsid w:val="18365B7D"/>
    <w:rsid w:val="18390B0F"/>
    <w:rsid w:val="183E51A1"/>
    <w:rsid w:val="183E5A2F"/>
    <w:rsid w:val="183F44A2"/>
    <w:rsid w:val="184921A7"/>
    <w:rsid w:val="184D0B83"/>
    <w:rsid w:val="185022E7"/>
    <w:rsid w:val="185168E6"/>
    <w:rsid w:val="18523125"/>
    <w:rsid w:val="18565D6F"/>
    <w:rsid w:val="185757AA"/>
    <w:rsid w:val="185A2B9F"/>
    <w:rsid w:val="185E2BAC"/>
    <w:rsid w:val="18634389"/>
    <w:rsid w:val="186525FF"/>
    <w:rsid w:val="187B2357"/>
    <w:rsid w:val="187C36A5"/>
    <w:rsid w:val="187D3B00"/>
    <w:rsid w:val="187D5806"/>
    <w:rsid w:val="188048C2"/>
    <w:rsid w:val="18842CFA"/>
    <w:rsid w:val="1886663C"/>
    <w:rsid w:val="188D228D"/>
    <w:rsid w:val="188D6AEB"/>
    <w:rsid w:val="1897167E"/>
    <w:rsid w:val="18973372"/>
    <w:rsid w:val="189927F4"/>
    <w:rsid w:val="189B50F7"/>
    <w:rsid w:val="189E246A"/>
    <w:rsid w:val="18A15884"/>
    <w:rsid w:val="18A87A59"/>
    <w:rsid w:val="18A93015"/>
    <w:rsid w:val="18AE0994"/>
    <w:rsid w:val="18AE470D"/>
    <w:rsid w:val="18B03757"/>
    <w:rsid w:val="18B073CB"/>
    <w:rsid w:val="18B0756E"/>
    <w:rsid w:val="18B360EA"/>
    <w:rsid w:val="18BB201B"/>
    <w:rsid w:val="18BD4DB0"/>
    <w:rsid w:val="18C31535"/>
    <w:rsid w:val="18C33F5F"/>
    <w:rsid w:val="18C7219E"/>
    <w:rsid w:val="18D35E8C"/>
    <w:rsid w:val="18D42858"/>
    <w:rsid w:val="18D71310"/>
    <w:rsid w:val="18D83FB5"/>
    <w:rsid w:val="18DA0165"/>
    <w:rsid w:val="18DE3095"/>
    <w:rsid w:val="18E37378"/>
    <w:rsid w:val="18E52C64"/>
    <w:rsid w:val="18E52C98"/>
    <w:rsid w:val="18EB0EF1"/>
    <w:rsid w:val="18EB57DF"/>
    <w:rsid w:val="18F367AA"/>
    <w:rsid w:val="18F45F56"/>
    <w:rsid w:val="18F821FC"/>
    <w:rsid w:val="18F96FFA"/>
    <w:rsid w:val="18F97FAC"/>
    <w:rsid w:val="18FA29CF"/>
    <w:rsid w:val="18FA4BDF"/>
    <w:rsid w:val="18FB3CBD"/>
    <w:rsid w:val="19016592"/>
    <w:rsid w:val="19054405"/>
    <w:rsid w:val="190A0282"/>
    <w:rsid w:val="190A1825"/>
    <w:rsid w:val="190C4342"/>
    <w:rsid w:val="1912647A"/>
    <w:rsid w:val="191B39E4"/>
    <w:rsid w:val="19242E45"/>
    <w:rsid w:val="19246584"/>
    <w:rsid w:val="192559D6"/>
    <w:rsid w:val="192608A5"/>
    <w:rsid w:val="192C1EC2"/>
    <w:rsid w:val="192D375F"/>
    <w:rsid w:val="1935316E"/>
    <w:rsid w:val="193F7AAA"/>
    <w:rsid w:val="194030EA"/>
    <w:rsid w:val="19410B0E"/>
    <w:rsid w:val="194117AE"/>
    <w:rsid w:val="19426772"/>
    <w:rsid w:val="1943768C"/>
    <w:rsid w:val="1945381D"/>
    <w:rsid w:val="19461284"/>
    <w:rsid w:val="19497C9A"/>
    <w:rsid w:val="194A3CBF"/>
    <w:rsid w:val="194A42D4"/>
    <w:rsid w:val="194C4933"/>
    <w:rsid w:val="194F150B"/>
    <w:rsid w:val="194F6033"/>
    <w:rsid w:val="19543D4E"/>
    <w:rsid w:val="19562349"/>
    <w:rsid w:val="195707A8"/>
    <w:rsid w:val="19572BD8"/>
    <w:rsid w:val="195A54FB"/>
    <w:rsid w:val="195B2B4D"/>
    <w:rsid w:val="195B4DA4"/>
    <w:rsid w:val="195D77E7"/>
    <w:rsid w:val="19601E2E"/>
    <w:rsid w:val="19611889"/>
    <w:rsid w:val="1966781F"/>
    <w:rsid w:val="19670574"/>
    <w:rsid w:val="196A2B9D"/>
    <w:rsid w:val="196D18ED"/>
    <w:rsid w:val="196E4FCA"/>
    <w:rsid w:val="19717DF1"/>
    <w:rsid w:val="19734824"/>
    <w:rsid w:val="1975073C"/>
    <w:rsid w:val="1976514E"/>
    <w:rsid w:val="19775B71"/>
    <w:rsid w:val="19795A53"/>
    <w:rsid w:val="1984018B"/>
    <w:rsid w:val="198946DC"/>
    <w:rsid w:val="19896B0A"/>
    <w:rsid w:val="198B655C"/>
    <w:rsid w:val="198C04F5"/>
    <w:rsid w:val="19911D6E"/>
    <w:rsid w:val="19944A10"/>
    <w:rsid w:val="199538C2"/>
    <w:rsid w:val="19986DF8"/>
    <w:rsid w:val="19986E94"/>
    <w:rsid w:val="19987519"/>
    <w:rsid w:val="19995EDA"/>
    <w:rsid w:val="199C78D8"/>
    <w:rsid w:val="199D21E8"/>
    <w:rsid w:val="199F32B2"/>
    <w:rsid w:val="19A73F5F"/>
    <w:rsid w:val="19AA1656"/>
    <w:rsid w:val="19B122E3"/>
    <w:rsid w:val="19B75BC5"/>
    <w:rsid w:val="19BB1946"/>
    <w:rsid w:val="19BE7BF6"/>
    <w:rsid w:val="19C11667"/>
    <w:rsid w:val="19C31B8E"/>
    <w:rsid w:val="19C53F25"/>
    <w:rsid w:val="19C85CB8"/>
    <w:rsid w:val="19CB005F"/>
    <w:rsid w:val="19CB283B"/>
    <w:rsid w:val="19CB412E"/>
    <w:rsid w:val="19CB69C6"/>
    <w:rsid w:val="19CC4C09"/>
    <w:rsid w:val="19CC4D6A"/>
    <w:rsid w:val="19CE05F3"/>
    <w:rsid w:val="19CE151F"/>
    <w:rsid w:val="19CF198B"/>
    <w:rsid w:val="19CF4FE4"/>
    <w:rsid w:val="19D22C48"/>
    <w:rsid w:val="19D62271"/>
    <w:rsid w:val="19D97557"/>
    <w:rsid w:val="19DA532F"/>
    <w:rsid w:val="19DE5656"/>
    <w:rsid w:val="19E215E1"/>
    <w:rsid w:val="19E3404F"/>
    <w:rsid w:val="19E75A0E"/>
    <w:rsid w:val="19EC3BF7"/>
    <w:rsid w:val="19F01A3B"/>
    <w:rsid w:val="19F151A7"/>
    <w:rsid w:val="19FA4DE0"/>
    <w:rsid w:val="19FD4E2D"/>
    <w:rsid w:val="19FF6398"/>
    <w:rsid w:val="1A0068B8"/>
    <w:rsid w:val="1A016DF6"/>
    <w:rsid w:val="1A024195"/>
    <w:rsid w:val="1A0B0802"/>
    <w:rsid w:val="1A0C729C"/>
    <w:rsid w:val="1A103A48"/>
    <w:rsid w:val="1A18368E"/>
    <w:rsid w:val="1A1912B3"/>
    <w:rsid w:val="1A1A6AB6"/>
    <w:rsid w:val="1A201710"/>
    <w:rsid w:val="1A20545C"/>
    <w:rsid w:val="1A225F20"/>
    <w:rsid w:val="1A277A96"/>
    <w:rsid w:val="1A2A7C9A"/>
    <w:rsid w:val="1A2D5155"/>
    <w:rsid w:val="1A2E0072"/>
    <w:rsid w:val="1A2E3881"/>
    <w:rsid w:val="1A311ED6"/>
    <w:rsid w:val="1A336624"/>
    <w:rsid w:val="1A3A3DCD"/>
    <w:rsid w:val="1A3B3CBE"/>
    <w:rsid w:val="1A3D783F"/>
    <w:rsid w:val="1A435D37"/>
    <w:rsid w:val="1A456D91"/>
    <w:rsid w:val="1A462119"/>
    <w:rsid w:val="1A471171"/>
    <w:rsid w:val="1A4A2C59"/>
    <w:rsid w:val="1A4B7CEB"/>
    <w:rsid w:val="1A4C3287"/>
    <w:rsid w:val="1A4D5AA8"/>
    <w:rsid w:val="1A540098"/>
    <w:rsid w:val="1A541885"/>
    <w:rsid w:val="1A606700"/>
    <w:rsid w:val="1A626622"/>
    <w:rsid w:val="1A627CBE"/>
    <w:rsid w:val="1A642895"/>
    <w:rsid w:val="1A664D7E"/>
    <w:rsid w:val="1A695007"/>
    <w:rsid w:val="1A6B68DB"/>
    <w:rsid w:val="1A7318EA"/>
    <w:rsid w:val="1A735FA2"/>
    <w:rsid w:val="1A7A77DC"/>
    <w:rsid w:val="1A8117AB"/>
    <w:rsid w:val="1A8367D7"/>
    <w:rsid w:val="1A851F97"/>
    <w:rsid w:val="1A851F9E"/>
    <w:rsid w:val="1A853B9D"/>
    <w:rsid w:val="1A8E0128"/>
    <w:rsid w:val="1A8E0290"/>
    <w:rsid w:val="1A9249FE"/>
    <w:rsid w:val="1A963DB7"/>
    <w:rsid w:val="1A984BF1"/>
    <w:rsid w:val="1A991E1D"/>
    <w:rsid w:val="1A9973A8"/>
    <w:rsid w:val="1A9B0ADE"/>
    <w:rsid w:val="1A9C030D"/>
    <w:rsid w:val="1AA2147C"/>
    <w:rsid w:val="1AA41FDD"/>
    <w:rsid w:val="1AA8694B"/>
    <w:rsid w:val="1AA92ECE"/>
    <w:rsid w:val="1AAD2BDD"/>
    <w:rsid w:val="1AB01945"/>
    <w:rsid w:val="1AB23324"/>
    <w:rsid w:val="1AB632FF"/>
    <w:rsid w:val="1AB90C4E"/>
    <w:rsid w:val="1ABF0197"/>
    <w:rsid w:val="1AC16363"/>
    <w:rsid w:val="1AC315D3"/>
    <w:rsid w:val="1AC528BC"/>
    <w:rsid w:val="1AD411CC"/>
    <w:rsid w:val="1AD44D80"/>
    <w:rsid w:val="1ADA0390"/>
    <w:rsid w:val="1ADB5122"/>
    <w:rsid w:val="1ADB73AD"/>
    <w:rsid w:val="1ADC6944"/>
    <w:rsid w:val="1AE94A5F"/>
    <w:rsid w:val="1AEE0D7F"/>
    <w:rsid w:val="1AF047E7"/>
    <w:rsid w:val="1AFF2D8D"/>
    <w:rsid w:val="1B054198"/>
    <w:rsid w:val="1B0C1DAF"/>
    <w:rsid w:val="1B0E0468"/>
    <w:rsid w:val="1B0F4936"/>
    <w:rsid w:val="1B114A46"/>
    <w:rsid w:val="1B152EAF"/>
    <w:rsid w:val="1B2224C1"/>
    <w:rsid w:val="1B224A31"/>
    <w:rsid w:val="1B23034B"/>
    <w:rsid w:val="1B2308A7"/>
    <w:rsid w:val="1B25504F"/>
    <w:rsid w:val="1B264950"/>
    <w:rsid w:val="1B270A35"/>
    <w:rsid w:val="1B2B70DA"/>
    <w:rsid w:val="1B2C4607"/>
    <w:rsid w:val="1B2C5424"/>
    <w:rsid w:val="1B3220A8"/>
    <w:rsid w:val="1B3A4B1E"/>
    <w:rsid w:val="1B3B6CC3"/>
    <w:rsid w:val="1B475B54"/>
    <w:rsid w:val="1B502249"/>
    <w:rsid w:val="1B5177B1"/>
    <w:rsid w:val="1B532FDA"/>
    <w:rsid w:val="1B565A4F"/>
    <w:rsid w:val="1B5C133D"/>
    <w:rsid w:val="1B5E5BCA"/>
    <w:rsid w:val="1B603BB6"/>
    <w:rsid w:val="1B615E3C"/>
    <w:rsid w:val="1B657009"/>
    <w:rsid w:val="1B661B2D"/>
    <w:rsid w:val="1B6649CD"/>
    <w:rsid w:val="1B6A4623"/>
    <w:rsid w:val="1B6C7122"/>
    <w:rsid w:val="1B6D6D03"/>
    <w:rsid w:val="1B6D7707"/>
    <w:rsid w:val="1B6F42D7"/>
    <w:rsid w:val="1B7126BF"/>
    <w:rsid w:val="1B817C3B"/>
    <w:rsid w:val="1B840E5A"/>
    <w:rsid w:val="1B866588"/>
    <w:rsid w:val="1B910C20"/>
    <w:rsid w:val="1B92023A"/>
    <w:rsid w:val="1B92062C"/>
    <w:rsid w:val="1B924CC2"/>
    <w:rsid w:val="1B927744"/>
    <w:rsid w:val="1B954BDF"/>
    <w:rsid w:val="1B95626C"/>
    <w:rsid w:val="1B9F073E"/>
    <w:rsid w:val="1BA018C0"/>
    <w:rsid w:val="1BA2798E"/>
    <w:rsid w:val="1BA47E6A"/>
    <w:rsid w:val="1BAA4A54"/>
    <w:rsid w:val="1BAD6418"/>
    <w:rsid w:val="1BB209BD"/>
    <w:rsid w:val="1BB67591"/>
    <w:rsid w:val="1BBC4E60"/>
    <w:rsid w:val="1BBC6910"/>
    <w:rsid w:val="1BBD1196"/>
    <w:rsid w:val="1BC82ABD"/>
    <w:rsid w:val="1BCA422A"/>
    <w:rsid w:val="1BD93797"/>
    <w:rsid w:val="1BD95D4D"/>
    <w:rsid w:val="1BDD4B1E"/>
    <w:rsid w:val="1BEA0D6A"/>
    <w:rsid w:val="1BF4300B"/>
    <w:rsid w:val="1BFA30A5"/>
    <w:rsid w:val="1BFA6B0A"/>
    <w:rsid w:val="1BFD4327"/>
    <w:rsid w:val="1BFD476B"/>
    <w:rsid w:val="1C0402F0"/>
    <w:rsid w:val="1C040BEF"/>
    <w:rsid w:val="1C060084"/>
    <w:rsid w:val="1C0A246B"/>
    <w:rsid w:val="1C0A6BC2"/>
    <w:rsid w:val="1C0C4EFD"/>
    <w:rsid w:val="1C0E14C2"/>
    <w:rsid w:val="1C1C36FA"/>
    <w:rsid w:val="1C1C7B51"/>
    <w:rsid w:val="1C1D419B"/>
    <w:rsid w:val="1C1E6ABA"/>
    <w:rsid w:val="1C2159A6"/>
    <w:rsid w:val="1C215A59"/>
    <w:rsid w:val="1C231D32"/>
    <w:rsid w:val="1C2575D8"/>
    <w:rsid w:val="1C2A174F"/>
    <w:rsid w:val="1C345FA9"/>
    <w:rsid w:val="1C35127B"/>
    <w:rsid w:val="1C4129AD"/>
    <w:rsid w:val="1C432629"/>
    <w:rsid w:val="1C432C58"/>
    <w:rsid w:val="1C452ED5"/>
    <w:rsid w:val="1C4626B0"/>
    <w:rsid w:val="1C484648"/>
    <w:rsid w:val="1C4A16FC"/>
    <w:rsid w:val="1C4F5D3F"/>
    <w:rsid w:val="1C5137E4"/>
    <w:rsid w:val="1C534D67"/>
    <w:rsid w:val="1C534DE8"/>
    <w:rsid w:val="1C557E68"/>
    <w:rsid w:val="1C56509A"/>
    <w:rsid w:val="1C5E5263"/>
    <w:rsid w:val="1C67792E"/>
    <w:rsid w:val="1C703B1E"/>
    <w:rsid w:val="1C721013"/>
    <w:rsid w:val="1C747FEE"/>
    <w:rsid w:val="1C75068F"/>
    <w:rsid w:val="1C7609BD"/>
    <w:rsid w:val="1C76113E"/>
    <w:rsid w:val="1C7822E5"/>
    <w:rsid w:val="1C787CAB"/>
    <w:rsid w:val="1C821270"/>
    <w:rsid w:val="1C826991"/>
    <w:rsid w:val="1C85257A"/>
    <w:rsid w:val="1C92442F"/>
    <w:rsid w:val="1C93411C"/>
    <w:rsid w:val="1C956074"/>
    <w:rsid w:val="1C990CBC"/>
    <w:rsid w:val="1CA60DC2"/>
    <w:rsid w:val="1CA93038"/>
    <w:rsid w:val="1CAA3EB0"/>
    <w:rsid w:val="1CAC2439"/>
    <w:rsid w:val="1CB0171D"/>
    <w:rsid w:val="1CB475FC"/>
    <w:rsid w:val="1CB559DD"/>
    <w:rsid w:val="1CB66E27"/>
    <w:rsid w:val="1CB91046"/>
    <w:rsid w:val="1CC46E06"/>
    <w:rsid w:val="1CC6058C"/>
    <w:rsid w:val="1CCA0B9F"/>
    <w:rsid w:val="1CCD5A66"/>
    <w:rsid w:val="1CCE0C3D"/>
    <w:rsid w:val="1CD10827"/>
    <w:rsid w:val="1CDC68C0"/>
    <w:rsid w:val="1CDF4745"/>
    <w:rsid w:val="1CDF62D1"/>
    <w:rsid w:val="1CDF7C30"/>
    <w:rsid w:val="1CE42B3F"/>
    <w:rsid w:val="1CE70CBB"/>
    <w:rsid w:val="1CE85FC0"/>
    <w:rsid w:val="1CE968CC"/>
    <w:rsid w:val="1CEE477B"/>
    <w:rsid w:val="1CF245BC"/>
    <w:rsid w:val="1CF57C45"/>
    <w:rsid w:val="1CF91343"/>
    <w:rsid w:val="1CF919DC"/>
    <w:rsid w:val="1CFA0140"/>
    <w:rsid w:val="1CFA4202"/>
    <w:rsid w:val="1CFC7AD5"/>
    <w:rsid w:val="1CFE352C"/>
    <w:rsid w:val="1CFF7694"/>
    <w:rsid w:val="1D014DCE"/>
    <w:rsid w:val="1D0570D8"/>
    <w:rsid w:val="1D11080C"/>
    <w:rsid w:val="1D11742F"/>
    <w:rsid w:val="1D133BC8"/>
    <w:rsid w:val="1D13493C"/>
    <w:rsid w:val="1D1433EF"/>
    <w:rsid w:val="1D1B5317"/>
    <w:rsid w:val="1D1D6DB6"/>
    <w:rsid w:val="1D1F2136"/>
    <w:rsid w:val="1D211B34"/>
    <w:rsid w:val="1D277D23"/>
    <w:rsid w:val="1D2925DE"/>
    <w:rsid w:val="1D2D1404"/>
    <w:rsid w:val="1D2E3E54"/>
    <w:rsid w:val="1D30410B"/>
    <w:rsid w:val="1D3250C0"/>
    <w:rsid w:val="1D33042A"/>
    <w:rsid w:val="1D33106A"/>
    <w:rsid w:val="1D3905C4"/>
    <w:rsid w:val="1D3B5AA3"/>
    <w:rsid w:val="1D451347"/>
    <w:rsid w:val="1D4F14CC"/>
    <w:rsid w:val="1D4F685D"/>
    <w:rsid w:val="1D563AF7"/>
    <w:rsid w:val="1D571AB4"/>
    <w:rsid w:val="1D585AE5"/>
    <w:rsid w:val="1D5C538B"/>
    <w:rsid w:val="1D5E56DB"/>
    <w:rsid w:val="1D623BCD"/>
    <w:rsid w:val="1D6A123A"/>
    <w:rsid w:val="1D6A39AE"/>
    <w:rsid w:val="1D6A6C96"/>
    <w:rsid w:val="1D6B7F07"/>
    <w:rsid w:val="1D6D14DE"/>
    <w:rsid w:val="1D6D245F"/>
    <w:rsid w:val="1D72744A"/>
    <w:rsid w:val="1D757ECF"/>
    <w:rsid w:val="1D77584D"/>
    <w:rsid w:val="1D78544C"/>
    <w:rsid w:val="1D7A1C24"/>
    <w:rsid w:val="1D7B6C75"/>
    <w:rsid w:val="1D805D73"/>
    <w:rsid w:val="1D8A5205"/>
    <w:rsid w:val="1D9D60B7"/>
    <w:rsid w:val="1D9E61E4"/>
    <w:rsid w:val="1DA22180"/>
    <w:rsid w:val="1DA44730"/>
    <w:rsid w:val="1DA8781F"/>
    <w:rsid w:val="1DAC27BE"/>
    <w:rsid w:val="1DAC6707"/>
    <w:rsid w:val="1DAF456F"/>
    <w:rsid w:val="1DB04A23"/>
    <w:rsid w:val="1DB15E28"/>
    <w:rsid w:val="1DBB6FD3"/>
    <w:rsid w:val="1DBC485A"/>
    <w:rsid w:val="1DC00507"/>
    <w:rsid w:val="1DC37D43"/>
    <w:rsid w:val="1DC706D2"/>
    <w:rsid w:val="1DCA3DB1"/>
    <w:rsid w:val="1DCB572B"/>
    <w:rsid w:val="1DD05FEF"/>
    <w:rsid w:val="1DD31E99"/>
    <w:rsid w:val="1DD36F4D"/>
    <w:rsid w:val="1DD87ADE"/>
    <w:rsid w:val="1DD975B5"/>
    <w:rsid w:val="1DDB1AB1"/>
    <w:rsid w:val="1DDF11FC"/>
    <w:rsid w:val="1DE22ED9"/>
    <w:rsid w:val="1DE43118"/>
    <w:rsid w:val="1DE67A51"/>
    <w:rsid w:val="1DE83E13"/>
    <w:rsid w:val="1DE9676E"/>
    <w:rsid w:val="1DEB046F"/>
    <w:rsid w:val="1DEC1CA0"/>
    <w:rsid w:val="1DEC6DB1"/>
    <w:rsid w:val="1DED6BFB"/>
    <w:rsid w:val="1DF1473E"/>
    <w:rsid w:val="1DF50331"/>
    <w:rsid w:val="1DF943F8"/>
    <w:rsid w:val="1DFA4138"/>
    <w:rsid w:val="1DFB220F"/>
    <w:rsid w:val="1DFB4478"/>
    <w:rsid w:val="1DFC257F"/>
    <w:rsid w:val="1DFF3D72"/>
    <w:rsid w:val="1E0320A9"/>
    <w:rsid w:val="1E064D06"/>
    <w:rsid w:val="1E0810B6"/>
    <w:rsid w:val="1E0D0FBE"/>
    <w:rsid w:val="1E0E4C90"/>
    <w:rsid w:val="1E0F3F2E"/>
    <w:rsid w:val="1E140EC4"/>
    <w:rsid w:val="1E1457A0"/>
    <w:rsid w:val="1E147D1C"/>
    <w:rsid w:val="1E166702"/>
    <w:rsid w:val="1E190302"/>
    <w:rsid w:val="1E1A799E"/>
    <w:rsid w:val="1E1B3AF0"/>
    <w:rsid w:val="1E1D4818"/>
    <w:rsid w:val="1E244982"/>
    <w:rsid w:val="1E25505A"/>
    <w:rsid w:val="1E2A6014"/>
    <w:rsid w:val="1E302301"/>
    <w:rsid w:val="1E344E3D"/>
    <w:rsid w:val="1E354718"/>
    <w:rsid w:val="1E367522"/>
    <w:rsid w:val="1E3B570A"/>
    <w:rsid w:val="1E402D5F"/>
    <w:rsid w:val="1E441951"/>
    <w:rsid w:val="1E442B7A"/>
    <w:rsid w:val="1E455F4D"/>
    <w:rsid w:val="1E4A64CA"/>
    <w:rsid w:val="1E4D03A6"/>
    <w:rsid w:val="1E53168E"/>
    <w:rsid w:val="1E547C8C"/>
    <w:rsid w:val="1E551952"/>
    <w:rsid w:val="1E5A3044"/>
    <w:rsid w:val="1E5E446E"/>
    <w:rsid w:val="1E641599"/>
    <w:rsid w:val="1E695F5B"/>
    <w:rsid w:val="1E73579A"/>
    <w:rsid w:val="1E747482"/>
    <w:rsid w:val="1E7B4A6A"/>
    <w:rsid w:val="1E7C6156"/>
    <w:rsid w:val="1E7C6CBE"/>
    <w:rsid w:val="1E7D659D"/>
    <w:rsid w:val="1E810AAD"/>
    <w:rsid w:val="1E854FF8"/>
    <w:rsid w:val="1E896107"/>
    <w:rsid w:val="1E8E0C0C"/>
    <w:rsid w:val="1E905CA1"/>
    <w:rsid w:val="1E922536"/>
    <w:rsid w:val="1E9303AC"/>
    <w:rsid w:val="1E954E63"/>
    <w:rsid w:val="1E956A2F"/>
    <w:rsid w:val="1E9932E4"/>
    <w:rsid w:val="1E9B13DB"/>
    <w:rsid w:val="1E9C4E4F"/>
    <w:rsid w:val="1EA1617D"/>
    <w:rsid w:val="1EA465E6"/>
    <w:rsid w:val="1EAF79CB"/>
    <w:rsid w:val="1EB2566A"/>
    <w:rsid w:val="1EB40364"/>
    <w:rsid w:val="1EB6767E"/>
    <w:rsid w:val="1EB73AF6"/>
    <w:rsid w:val="1EB90993"/>
    <w:rsid w:val="1EBF7E98"/>
    <w:rsid w:val="1EC2624D"/>
    <w:rsid w:val="1EC55C04"/>
    <w:rsid w:val="1ED31BCC"/>
    <w:rsid w:val="1ED536AB"/>
    <w:rsid w:val="1ED74E10"/>
    <w:rsid w:val="1EDC11F6"/>
    <w:rsid w:val="1EDC5C40"/>
    <w:rsid w:val="1EDE3EF2"/>
    <w:rsid w:val="1EE0310B"/>
    <w:rsid w:val="1EE42941"/>
    <w:rsid w:val="1EE569DB"/>
    <w:rsid w:val="1EE77202"/>
    <w:rsid w:val="1EEB0260"/>
    <w:rsid w:val="1EED3C6E"/>
    <w:rsid w:val="1EF41206"/>
    <w:rsid w:val="1EF46900"/>
    <w:rsid w:val="1EF85A2D"/>
    <w:rsid w:val="1EFA2EA7"/>
    <w:rsid w:val="1EFB7A7C"/>
    <w:rsid w:val="1EFC2BBB"/>
    <w:rsid w:val="1EFD0343"/>
    <w:rsid w:val="1EFD1AB7"/>
    <w:rsid w:val="1F012DED"/>
    <w:rsid w:val="1F0175BA"/>
    <w:rsid w:val="1F042226"/>
    <w:rsid w:val="1F043A47"/>
    <w:rsid w:val="1F077318"/>
    <w:rsid w:val="1F0B22B1"/>
    <w:rsid w:val="1F1339D2"/>
    <w:rsid w:val="1F144B58"/>
    <w:rsid w:val="1F153A73"/>
    <w:rsid w:val="1F1D2AC5"/>
    <w:rsid w:val="1F1D7C21"/>
    <w:rsid w:val="1F2400AF"/>
    <w:rsid w:val="1F26695E"/>
    <w:rsid w:val="1F2E1447"/>
    <w:rsid w:val="1F3208B0"/>
    <w:rsid w:val="1F3245E3"/>
    <w:rsid w:val="1F345EA3"/>
    <w:rsid w:val="1F35463C"/>
    <w:rsid w:val="1F367FAD"/>
    <w:rsid w:val="1F3962E2"/>
    <w:rsid w:val="1F3B6355"/>
    <w:rsid w:val="1F3C4592"/>
    <w:rsid w:val="1F3F24AB"/>
    <w:rsid w:val="1F3F345E"/>
    <w:rsid w:val="1F43168A"/>
    <w:rsid w:val="1F456186"/>
    <w:rsid w:val="1F461886"/>
    <w:rsid w:val="1F471795"/>
    <w:rsid w:val="1F4A0F03"/>
    <w:rsid w:val="1F4E4583"/>
    <w:rsid w:val="1F5027DE"/>
    <w:rsid w:val="1F516B15"/>
    <w:rsid w:val="1F52708D"/>
    <w:rsid w:val="1F53653A"/>
    <w:rsid w:val="1F56734B"/>
    <w:rsid w:val="1F5C00A5"/>
    <w:rsid w:val="1F5E5EA2"/>
    <w:rsid w:val="1F5E67DD"/>
    <w:rsid w:val="1F6D4D4E"/>
    <w:rsid w:val="1F712F6F"/>
    <w:rsid w:val="1F74403C"/>
    <w:rsid w:val="1F7A7CF7"/>
    <w:rsid w:val="1F7E6743"/>
    <w:rsid w:val="1F807307"/>
    <w:rsid w:val="1F815122"/>
    <w:rsid w:val="1F8508C2"/>
    <w:rsid w:val="1F882200"/>
    <w:rsid w:val="1F9176FD"/>
    <w:rsid w:val="1F92648B"/>
    <w:rsid w:val="1F934D71"/>
    <w:rsid w:val="1F943D13"/>
    <w:rsid w:val="1F963C91"/>
    <w:rsid w:val="1F964D05"/>
    <w:rsid w:val="1F9866B0"/>
    <w:rsid w:val="1F991DD0"/>
    <w:rsid w:val="1F995C20"/>
    <w:rsid w:val="1FA27AF9"/>
    <w:rsid w:val="1FAA1F6D"/>
    <w:rsid w:val="1FAD3F87"/>
    <w:rsid w:val="1FB00186"/>
    <w:rsid w:val="1FB1273D"/>
    <w:rsid w:val="1FB155E5"/>
    <w:rsid w:val="1FB53884"/>
    <w:rsid w:val="1FB57B5F"/>
    <w:rsid w:val="1FB61DB6"/>
    <w:rsid w:val="1FB7464A"/>
    <w:rsid w:val="1FB92BA8"/>
    <w:rsid w:val="1FBB4EC5"/>
    <w:rsid w:val="1FC01B15"/>
    <w:rsid w:val="1FC15378"/>
    <w:rsid w:val="1FC26185"/>
    <w:rsid w:val="1FC67132"/>
    <w:rsid w:val="1FC8389F"/>
    <w:rsid w:val="1FDC4945"/>
    <w:rsid w:val="1FDE786A"/>
    <w:rsid w:val="1FDF3327"/>
    <w:rsid w:val="1FE11FDD"/>
    <w:rsid w:val="1FE21BCD"/>
    <w:rsid w:val="1FE245DC"/>
    <w:rsid w:val="1FE357E3"/>
    <w:rsid w:val="1FE47C0C"/>
    <w:rsid w:val="1FE85B47"/>
    <w:rsid w:val="1FE95F3D"/>
    <w:rsid w:val="1FEB7435"/>
    <w:rsid w:val="1FEC0312"/>
    <w:rsid w:val="1FEC3E00"/>
    <w:rsid w:val="1FEF4DA1"/>
    <w:rsid w:val="1FF7195E"/>
    <w:rsid w:val="1FF90344"/>
    <w:rsid w:val="2000527E"/>
    <w:rsid w:val="20006B62"/>
    <w:rsid w:val="20007546"/>
    <w:rsid w:val="2001108A"/>
    <w:rsid w:val="200120DB"/>
    <w:rsid w:val="200146A1"/>
    <w:rsid w:val="200205C7"/>
    <w:rsid w:val="2004717A"/>
    <w:rsid w:val="2007660D"/>
    <w:rsid w:val="20084D06"/>
    <w:rsid w:val="200E5FB7"/>
    <w:rsid w:val="200E77AC"/>
    <w:rsid w:val="20121850"/>
    <w:rsid w:val="20143EB1"/>
    <w:rsid w:val="20176E91"/>
    <w:rsid w:val="201900EE"/>
    <w:rsid w:val="2019623E"/>
    <w:rsid w:val="201B35DA"/>
    <w:rsid w:val="201B51F2"/>
    <w:rsid w:val="20234D27"/>
    <w:rsid w:val="20290090"/>
    <w:rsid w:val="20291CA5"/>
    <w:rsid w:val="202C681B"/>
    <w:rsid w:val="202C7A51"/>
    <w:rsid w:val="202D1239"/>
    <w:rsid w:val="202D1E67"/>
    <w:rsid w:val="20317571"/>
    <w:rsid w:val="203339D2"/>
    <w:rsid w:val="20346B07"/>
    <w:rsid w:val="20351E68"/>
    <w:rsid w:val="203660D9"/>
    <w:rsid w:val="203A0985"/>
    <w:rsid w:val="203D3EF7"/>
    <w:rsid w:val="20402EE1"/>
    <w:rsid w:val="20440593"/>
    <w:rsid w:val="2045054B"/>
    <w:rsid w:val="2047792D"/>
    <w:rsid w:val="2049740F"/>
    <w:rsid w:val="204B070F"/>
    <w:rsid w:val="204C2EA7"/>
    <w:rsid w:val="204E5ACC"/>
    <w:rsid w:val="20513167"/>
    <w:rsid w:val="205B7B0F"/>
    <w:rsid w:val="205C3D20"/>
    <w:rsid w:val="20634573"/>
    <w:rsid w:val="20645F10"/>
    <w:rsid w:val="2067235C"/>
    <w:rsid w:val="206954DC"/>
    <w:rsid w:val="206E1551"/>
    <w:rsid w:val="207373FF"/>
    <w:rsid w:val="20826EB6"/>
    <w:rsid w:val="20827B59"/>
    <w:rsid w:val="208613C7"/>
    <w:rsid w:val="20862690"/>
    <w:rsid w:val="20902730"/>
    <w:rsid w:val="20913A6A"/>
    <w:rsid w:val="20914115"/>
    <w:rsid w:val="2098629F"/>
    <w:rsid w:val="209911CF"/>
    <w:rsid w:val="209A33B0"/>
    <w:rsid w:val="209D70C3"/>
    <w:rsid w:val="209E66B7"/>
    <w:rsid w:val="20A16A30"/>
    <w:rsid w:val="20A25D2E"/>
    <w:rsid w:val="20A53326"/>
    <w:rsid w:val="20A73C37"/>
    <w:rsid w:val="20AB7F54"/>
    <w:rsid w:val="20AD0523"/>
    <w:rsid w:val="20B322F6"/>
    <w:rsid w:val="20B91A27"/>
    <w:rsid w:val="20BC649C"/>
    <w:rsid w:val="20BF2D7B"/>
    <w:rsid w:val="20C052FC"/>
    <w:rsid w:val="20C118E6"/>
    <w:rsid w:val="20C14EC9"/>
    <w:rsid w:val="20C6324C"/>
    <w:rsid w:val="20C64028"/>
    <w:rsid w:val="20C9765E"/>
    <w:rsid w:val="20CA0E48"/>
    <w:rsid w:val="20D24A5F"/>
    <w:rsid w:val="20D5058C"/>
    <w:rsid w:val="20D74366"/>
    <w:rsid w:val="20D86C29"/>
    <w:rsid w:val="20DB784F"/>
    <w:rsid w:val="20DD6258"/>
    <w:rsid w:val="20E07AC3"/>
    <w:rsid w:val="20E16295"/>
    <w:rsid w:val="20E85BCD"/>
    <w:rsid w:val="20E85E40"/>
    <w:rsid w:val="20EA3B72"/>
    <w:rsid w:val="20F16A4B"/>
    <w:rsid w:val="20F64C5B"/>
    <w:rsid w:val="20F95A4A"/>
    <w:rsid w:val="20FA5A3D"/>
    <w:rsid w:val="20FC48EC"/>
    <w:rsid w:val="20FC6055"/>
    <w:rsid w:val="210252CE"/>
    <w:rsid w:val="210743F4"/>
    <w:rsid w:val="210F0445"/>
    <w:rsid w:val="21116429"/>
    <w:rsid w:val="21156D98"/>
    <w:rsid w:val="2119776C"/>
    <w:rsid w:val="211C353C"/>
    <w:rsid w:val="211E6327"/>
    <w:rsid w:val="21221DF1"/>
    <w:rsid w:val="2124393F"/>
    <w:rsid w:val="212617D1"/>
    <w:rsid w:val="212747D6"/>
    <w:rsid w:val="212800F5"/>
    <w:rsid w:val="212A547C"/>
    <w:rsid w:val="212C0367"/>
    <w:rsid w:val="212C0462"/>
    <w:rsid w:val="212D7880"/>
    <w:rsid w:val="2130347A"/>
    <w:rsid w:val="21332949"/>
    <w:rsid w:val="21355D46"/>
    <w:rsid w:val="21370287"/>
    <w:rsid w:val="21403F6A"/>
    <w:rsid w:val="21456EDE"/>
    <w:rsid w:val="21467E60"/>
    <w:rsid w:val="214F2CC6"/>
    <w:rsid w:val="21502EF0"/>
    <w:rsid w:val="21504D21"/>
    <w:rsid w:val="215154DC"/>
    <w:rsid w:val="2151680A"/>
    <w:rsid w:val="21533734"/>
    <w:rsid w:val="21582E05"/>
    <w:rsid w:val="215C70C1"/>
    <w:rsid w:val="21624218"/>
    <w:rsid w:val="21714401"/>
    <w:rsid w:val="21735153"/>
    <w:rsid w:val="21787AB8"/>
    <w:rsid w:val="217913C2"/>
    <w:rsid w:val="217D645B"/>
    <w:rsid w:val="21800A74"/>
    <w:rsid w:val="21802C65"/>
    <w:rsid w:val="21817CF9"/>
    <w:rsid w:val="218341B1"/>
    <w:rsid w:val="21860EC0"/>
    <w:rsid w:val="2186136E"/>
    <w:rsid w:val="218D0276"/>
    <w:rsid w:val="21917ECB"/>
    <w:rsid w:val="21925659"/>
    <w:rsid w:val="21962418"/>
    <w:rsid w:val="2196546D"/>
    <w:rsid w:val="219B662B"/>
    <w:rsid w:val="219B6DF3"/>
    <w:rsid w:val="219D1499"/>
    <w:rsid w:val="219D3DAE"/>
    <w:rsid w:val="219E2B8F"/>
    <w:rsid w:val="219E6EEB"/>
    <w:rsid w:val="21A028A6"/>
    <w:rsid w:val="21A4004E"/>
    <w:rsid w:val="21A900E1"/>
    <w:rsid w:val="21AA5E18"/>
    <w:rsid w:val="21AB5F9D"/>
    <w:rsid w:val="21AC415C"/>
    <w:rsid w:val="21B45E9E"/>
    <w:rsid w:val="21B71285"/>
    <w:rsid w:val="21B76CC5"/>
    <w:rsid w:val="21BB5203"/>
    <w:rsid w:val="21C24CF8"/>
    <w:rsid w:val="21C42DD8"/>
    <w:rsid w:val="21C51F81"/>
    <w:rsid w:val="21D34BE2"/>
    <w:rsid w:val="21D35FE0"/>
    <w:rsid w:val="21D4338A"/>
    <w:rsid w:val="21D441CD"/>
    <w:rsid w:val="21D4505C"/>
    <w:rsid w:val="21D73D89"/>
    <w:rsid w:val="21D747FD"/>
    <w:rsid w:val="21DF67E2"/>
    <w:rsid w:val="21E84F29"/>
    <w:rsid w:val="21EA024B"/>
    <w:rsid w:val="21F14811"/>
    <w:rsid w:val="21F665C5"/>
    <w:rsid w:val="21FA2571"/>
    <w:rsid w:val="21FD6216"/>
    <w:rsid w:val="21FE1958"/>
    <w:rsid w:val="22004CCA"/>
    <w:rsid w:val="22064A5B"/>
    <w:rsid w:val="220A4AB7"/>
    <w:rsid w:val="220B7456"/>
    <w:rsid w:val="220B784F"/>
    <w:rsid w:val="221134D4"/>
    <w:rsid w:val="22124F87"/>
    <w:rsid w:val="22137D22"/>
    <w:rsid w:val="22141C27"/>
    <w:rsid w:val="221B79B2"/>
    <w:rsid w:val="221C1037"/>
    <w:rsid w:val="221C2243"/>
    <w:rsid w:val="22244719"/>
    <w:rsid w:val="2227412C"/>
    <w:rsid w:val="222E03FF"/>
    <w:rsid w:val="22325F9F"/>
    <w:rsid w:val="22371419"/>
    <w:rsid w:val="223D627A"/>
    <w:rsid w:val="224535DD"/>
    <w:rsid w:val="224849FC"/>
    <w:rsid w:val="22536EA6"/>
    <w:rsid w:val="225A10C7"/>
    <w:rsid w:val="225A3884"/>
    <w:rsid w:val="225F4BFA"/>
    <w:rsid w:val="22625294"/>
    <w:rsid w:val="226535F3"/>
    <w:rsid w:val="226657A0"/>
    <w:rsid w:val="22691774"/>
    <w:rsid w:val="226A4080"/>
    <w:rsid w:val="226C693D"/>
    <w:rsid w:val="226D7EEC"/>
    <w:rsid w:val="226E744C"/>
    <w:rsid w:val="226F3444"/>
    <w:rsid w:val="227105BC"/>
    <w:rsid w:val="227916D1"/>
    <w:rsid w:val="227B3DA7"/>
    <w:rsid w:val="2280289B"/>
    <w:rsid w:val="22812BE9"/>
    <w:rsid w:val="22841638"/>
    <w:rsid w:val="228A56CB"/>
    <w:rsid w:val="228D4D3E"/>
    <w:rsid w:val="22915A11"/>
    <w:rsid w:val="22984940"/>
    <w:rsid w:val="229D1860"/>
    <w:rsid w:val="229F5A9F"/>
    <w:rsid w:val="22A05EFC"/>
    <w:rsid w:val="22A163F2"/>
    <w:rsid w:val="22A269E8"/>
    <w:rsid w:val="22A65453"/>
    <w:rsid w:val="22A7112F"/>
    <w:rsid w:val="22A73B2B"/>
    <w:rsid w:val="22AD5E95"/>
    <w:rsid w:val="22AF2885"/>
    <w:rsid w:val="22AF2FCE"/>
    <w:rsid w:val="22B314AB"/>
    <w:rsid w:val="22B66373"/>
    <w:rsid w:val="22B8045B"/>
    <w:rsid w:val="22BD6B41"/>
    <w:rsid w:val="22BF7956"/>
    <w:rsid w:val="22C31366"/>
    <w:rsid w:val="22C60AC0"/>
    <w:rsid w:val="22C8070E"/>
    <w:rsid w:val="22CA4523"/>
    <w:rsid w:val="22CF7B56"/>
    <w:rsid w:val="22D179E5"/>
    <w:rsid w:val="22D261A7"/>
    <w:rsid w:val="22D655B6"/>
    <w:rsid w:val="22D74DE3"/>
    <w:rsid w:val="22DE0D9E"/>
    <w:rsid w:val="22DE14DC"/>
    <w:rsid w:val="22E22D15"/>
    <w:rsid w:val="22E26190"/>
    <w:rsid w:val="22ED6B42"/>
    <w:rsid w:val="22EF3533"/>
    <w:rsid w:val="22F131B5"/>
    <w:rsid w:val="22F50142"/>
    <w:rsid w:val="22F63CCE"/>
    <w:rsid w:val="22FC3C28"/>
    <w:rsid w:val="23040DC2"/>
    <w:rsid w:val="2306737B"/>
    <w:rsid w:val="23084A29"/>
    <w:rsid w:val="230B4186"/>
    <w:rsid w:val="23110D9F"/>
    <w:rsid w:val="2312027A"/>
    <w:rsid w:val="2313683B"/>
    <w:rsid w:val="23176170"/>
    <w:rsid w:val="231E1D81"/>
    <w:rsid w:val="23251277"/>
    <w:rsid w:val="232C4B68"/>
    <w:rsid w:val="232E375F"/>
    <w:rsid w:val="232E38F4"/>
    <w:rsid w:val="233048C3"/>
    <w:rsid w:val="2333732B"/>
    <w:rsid w:val="23382399"/>
    <w:rsid w:val="233B3E79"/>
    <w:rsid w:val="233F418D"/>
    <w:rsid w:val="234565BB"/>
    <w:rsid w:val="2346699B"/>
    <w:rsid w:val="23496456"/>
    <w:rsid w:val="234C5554"/>
    <w:rsid w:val="235008FF"/>
    <w:rsid w:val="235163A7"/>
    <w:rsid w:val="2357717A"/>
    <w:rsid w:val="23584A68"/>
    <w:rsid w:val="23587584"/>
    <w:rsid w:val="235F77A3"/>
    <w:rsid w:val="23710722"/>
    <w:rsid w:val="237347EB"/>
    <w:rsid w:val="2378012A"/>
    <w:rsid w:val="23790F2E"/>
    <w:rsid w:val="2379538F"/>
    <w:rsid w:val="23804538"/>
    <w:rsid w:val="23816FA3"/>
    <w:rsid w:val="238B5FE6"/>
    <w:rsid w:val="238E1BB7"/>
    <w:rsid w:val="238E3F3A"/>
    <w:rsid w:val="23900D5D"/>
    <w:rsid w:val="23924559"/>
    <w:rsid w:val="2394190C"/>
    <w:rsid w:val="23967774"/>
    <w:rsid w:val="239720B5"/>
    <w:rsid w:val="239A6E0A"/>
    <w:rsid w:val="239B5B15"/>
    <w:rsid w:val="239D0B54"/>
    <w:rsid w:val="23AA42C3"/>
    <w:rsid w:val="23AD2332"/>
    <w:rsid w:val="23B124C6"/>
    <w:rsid w:val="23B5383A"/>
    <w:rsid w:val="23B63E1F"/>
    <w:rsid w:val="23B80B57"/>
    <w:rsid w:val="23BE66C1"/>
    <w:rsid w:val="23C4505F"/>
    <w:rsid w:val="23C56A97"/>
    <w:rsid w:val="23C82241"/>
    <w:rsid w:val="23CA1F76"/>
    <w:rsid w:val="23CC5929"/>
    <w:rsid w:val="23CE0DAF"/>
    <w:rsid w:val="23CE30B3"/>
    <w:rsid w:val="23D47F35"/>
    <w:rsid w:val="23D529AA"/>
    <w:rsid w:val="23DC76DD"/>
    <w:rsid w:val="23DD54FE"/>
    <w:rsid w:val="23E53872"/>
    <w:rsid w:val="23E64D40"/>
    <w:rsid w:val="23E71906"/>
    <w:rsid w:val="23E71C52"/>
    <w:rsid w:val="23E751DC"/>
    <w:rsid w:val="23E85E72"/>
    <w:rsid w:val="23E95063"/>
    <w:rsid w:val="23EC6081"/>
    <w:rsid w:val="23F12FAF"/>
    <w:rsid w:val="23F951CD"/>
    <w:rsid w:val="23FA0466"/>
    <w:rsid w:val="23FB7101"/>
    <w:rsid w:val="23FC721C"/>
    <w:rsid w:val="24010AD8"/>
    <w:rsid w:val="24072DD7"/>
    <w:rsid w:val="240E7ED1"/>
    <w:rsid w:val="241059F8"/>
    <w:rsid w:val="24106A01"/>
    <w:rsid w:val="241624FB"/>
    <w:rsid w:val="241A68D7"/>
    <w:rsid w:val="241B753A"/>
    <w:rsid w:val="24254E30"/>
    <w:rsid w:val="2426183F"/>
    <w:rsid w:val="242743E1"/>
    <w:rsid w:val="242817F0"/>
    <w:rsid w:val="242B2A49"/>
    <w:rsid w:val="243147B4"/>
    <w:rsid w:val="24333F5C"/>
    <w:rsid w:val="243358F8"/>
    <w:rsid w:val="243A363E"/>
    <w:rsid w:val="243B4314"/>
    <w:rsid w:val="243B5886"/>
    <w:rsid w:val="2445662F"/>
    <w:rsid w:val="244755DB"/>
    <w:rsid w:val="244832E7"/>
    <w:rsid w:val="244C68E6"/>
    <w:rsid w:val="24517B3B"/>
    <w:rsid w:val="2452024C"/>
    <w:rsid w:val="24523BCF"/>
    <w:rsid w:val="245B10C8"/>
    <w:rsid w:val="245C455C"/>
    <w:rsid w:val="245D3D67"/>
    <w:rsid w:val="245E2B49"/>
    <w:rsid w:val="24624A67"/>
    <w:rsid w:val="246626C2"/>
    <w:rsid w:val="24694980"/>
    <w:rsid w:val="246D67A8"/>
    <w:rsid w:val="246E1E22"/>
    <w:rsid w:val="246F1715"/>
    <w:rsid w:val="247028BD"/>
    <w:rsid w:val="24712B78"/>
    <w:rsid w:val="24733EF4"/>
    <w:rsid w:val="24737AF2"/>
    <w:rsid w:val="24743B81"/>
    <w:rsid w:val="247503D4"/>
    <w:rsid w:val="247C3AD3"/>
    <w:rsid w:val="247D3AB7"/>
    <w:rsid w:val="24826259"/>
    <w:rsid w:val="248E69D7"/>
    <w:rsid w:val="24933D05"/>
    <w:rsid w:val="24951A7B"/>
    <w:rsid w:val="24992860"/>
    <w:rsid w:val="24996ADB"/>
    <w:rsid w:val="249F17AE"/>
    <w:rsid w:val="24A402F9"/>
    <w:rsid w:val="24A939D0"/>
    <w:rsid w:val="24AB12DA"/>
    <w:rsid w:val="24AB7006"/>
    <w:rsid w:val="24AE1AF4"/>
    <w:rsid w:val="24AF058C"/>
    <w:rsid w:val="24B25B45"/>
    <w:rsid w:val="24B35CA4"/>
    <w:rsid w:val="24BE40AA"/>
    <w:rsid w:val="24BE5D9B"/>
    <w:rsid w:val="24BF5F1B"/>
    <w:rsid w:val="24C23F5E"/>
    <w:rsid w:val="24C27E11"/>
    <w:rsid w:val="24CD5F7C"/>
    <w:rsid w:val="24CE64E1"/>
    <w:rsid w:val="24CF69CC"/>
    <w:rsid w:val="24D11126"/>
    <w:rsid w:val="24D234F1"/>
    <w:rsid w:val="24D37C53"/>
    <w:rsid w:val="24D75E4C"/>
    <w:rsid w:val="24D90B6D"/>
    <w:rsid w:val="24DE07E4"/>
    <w:rsid w:val="24E6428E"/>
    <w:rsid w:val="24E652A8"/>
    <w:rsid w:val="24EA1093"/>
    <w:rsid w:val="24ED1120"/>
    <w:rsid w:val="24ED557A"/>
    <w:rsid w:val="24F12947"/>
    <w:rsid w:val="24F62077"/>
    <w:rsid w:val="24F70794"/>
    <w:rsid w:val="24FB4D24"/>
    <w:rsid w:val="250138BF"/>
    <w:rsid w:val="250370C1"/>
    <w:rsid w:val="250B2D20"/>
    <w:rsid w:val="250C61DE"/>
    <w:rsid w:val="250D1CB0"/>
    <w:rsid w:val="250F097B"/>
    <w:rsid w:val="25140368"/>
    <w:rsid w:val="25166D32"/>
    <w:rsid w:val="25187BA9"/>
    <w:rsid w:val="251C11CC"/>
    <w:rsid w:val="251C1F36"/>
    <w:rsid w:val="251C340E"/>
    <w:rsid w:val="251E4873"/>
    <w:rsid w:val="252957B2"/>
    <w:rsid w:val="252C772F"/>
    <w:rsid w:val="252D5591"/>
    <w:rsid w:val="253D255D"/>
    <w:rsid w:val="25442579"/>
    <w:rsid w:val="254D5BB3"/>
    <w:rsid w:val="254D7F8D"/>
    <w:rsid w:val="2551091C"/>
    <w:rsid w:val="25515FFC"/>
    <w:rsid w:val="255753B7"/>
    <w:rsid w:val="2557693F"/>
    <w:rsid w:val="255B003D"/>
    <w:rsid w:val="255B3CF3"/>
    <w:rsid w:val="255C226D"/>
    <w:rsid w:val="255E53E6"/>
    <w:rsid w:val="256133C1"/>
    <w:rsid w:val="25630512"/>
    <w:rsid w:val="25686C09"/>
    <w:rsid w:val="25695753"/>
    <w:rsid w:val="256C3061"/>
    <w:rsid w:val="256F14F6"/>
    <w:rsid w:val="25716395"/>
    <w:rsid w:val="2572501F"/>
    <w:rsid w:val="25727145"/>
    <w:rsid w:val="25803DED"/>
    <w:rsid w:val="25833990"/>
    <w:rsid w:val="25856401"/>
    <w:rsid w:val="258D34E8"/>
    <w:rsid w:val="258F72C4"/>
    <w:rsid w:val="259E5F0E"/>
    <w:rsid w:val="25A218FE"/>
    <w:rsid w:val="25A300A0"/>
    <w:rsid w:val="25A461F0"/>
    <w:rsid w:val="25A57A5F"/>
    <w:rsid w:val="25A73030"/>
    <w:rsid w:val="25B44BAC"/>
    <w:rsid w:val="25B72AEB"/>
    <w:rsid w:val="25C239FF"/>
    <w:rsid w:val="25C71EA4"/>
    <w:rsid w:val="25CF07D8"/>
    <w:rsid w:val="25CF798F"/>
    <w:rsid w:val="25D04116"/>
    <w:rsid w:val="25D07B91"/>
    <w:rsid w:val="25D55C92"/>
    <w:rsid w:val="25D80C67"/>
    <w:rsid w:val="25DA460A"/>
    <w:rsid w:val="25DB422E"/>
    <w:rsid w:val="25DF2C4C"/>
    <w:rsid w:val="25E06E6F"/>
    <w:rsid w:val="25E14665"/>
    <w:rsid w:val="25E322EC"/>
    <w:rsid w:val="25E33FF9"/>
    <w:rsid w:val="25E843C8"/>
    <w:rsid w:val="25EA4A9F"/>
    <w:rsid w:val="25EE68C1"/>
    <w:rsid w:val="25F02E56"/>
    <w:rsid w:val="25F13524"/>
    <w:rsid w:val="25F6730E"/>
    <w:rsid w:val="25F94C2B"/>
    <w:rsid w:val="25FB0B84"/>
    <w:rsid w:val="25FD5400"/>
    <w:rsid w:val="26006307"/>
    <w:rsid w:val="260137FD"/>
    <w:rsid w:val="26031ACC"/>
    <w:rsid w:val="26044E35"/>
    <w:rsid w:val="2607111C"/>
    <w:rsid w:val="26091351"/>
    <w:rsid w:val="26096EC8"/>
    <w:rsid w:val="260C5BA6"/>
    <w:rsid w:val="261736C6"/>
    <w:rsid w:val="261951A1"/>
    <w:rsid w:val="261A6CF2"/>
    <w:rsid w:val="261C5135"/>
    <w:rsid w:val="261F26C6"/>
    <w:rsid w:val="26202DF6"/>
    <w:rsid w:val="26232D8B"/>
    <w:rsid w:val="262463DD"/>
    <w:rsid w:val="262700B5"/>
    <w:rsid w:val="262A609D"/>
    <w:rsid w:val="262F1141"/>
    <w:rsid w:val="26310BE5"/>
    <w:rsid w:val="263A0DBE"/>
    <w:rsid w:val="263B4A4E"/>
    <w:rsid w:val="263E4B57"/>
    <w:rsid w:val="263F4B93"/>
    <w:rsid w:val="26440748"/>
    <w:rsid w:val="264D1D76"/>
    <w:rsid w:val="26531070"/>
    <w:rsid w:val="26544561"/>
    <w:rsid w:val="2657696A"/>
    <w:rsid w:val="2659384F"/>
    <w:rsid w:val="265A30D3"/>
    <w:rsid w:val="265A6752"/>
    <w:rsid w:val="265D67A8"/>
    <w:rsid w:val="26642549"/>
    <w:rsid w:val="2667375F"/>
    <w:rsid w:val="266B1412"/>
    <w:rsid w:val="266F50E4"/>
    <w:rsid w:val="26753EA8"/>
    <w:rsid w:val="26754E25"/>
    <w:rsid w:val="268332CB"/>
    <w:rsid w:val="26840FE0"/>
    <w:rsid w:val="268476DD"/>
    <w:rsid w:val="268662DE"/>
    <w:rsid w:val="2686630A"/>
    <w:rsid w:val="26867BD4"/>
    <w:rsid w:val="268709E2"/>
    <w:rsid w:val="26875F44"/>
    <w:rsid w:val="268C2DF5"/>
    <w:rsid w:val="268F3549"/>
    <w:rsid w:val="2690660D"/>
    <w:rsid w:val="269370DA"/>
    <w:rsid w:val="26A22311"/>
    <w:rsid w:val="26A46A39"/>
    <w:rsid w:val="26A52AB4"/>
    <w:rsid w:val="26AA133A"/>
    <w:rsid w:val="26AA630D"/>
    <w:rsid w:val="26AB7C62"/>
    <w:rsid w:val="26B304AC"/>
    <w:rsid w:val="26B34B30"/>
    <w:rsid w:val="26B40CEC"/>
    <w:rsid w:val="26B71ECF"/>
    <w:rsid w:val="26B82883"/>
    <w:rsid w:val="26C038CE"/>
    <w:rsid w:val="26C153C6"/>
    <w:rsid w:val="26C34DCC"/>
    <w:rsid w:val="26C44F11"/>
    <w:rsid w:val="26CA2CFC"/>
    <w:rsid w:val="26CA640F"/>
    <w:rsid w:val="26D35733"/>
    <w:rsid w:val="26D57CE6"/>
    <w:rsid w:val="26DA3BC2"/>
    <w:rsid w:val="26DD4F29"/>
    <w:rsid w:val="26DE738E"/>
    <w:rsid w:val="26E07BC0"/>
    <w:rsid w:val="26E1656B"/>
    <w:rsid w:val="26E328B1"/>
    <w:rsid w:val="26E36D32"/>
    <w:rsid w:val="26E562ED"/>
    <w:rsid w:val="26EB2981"/>
    <w:rsid w:val="26EC7984"/>
    <w:rsid w:val="26F03B52"/>
    <w:rsid w:val="26F16599"/>
    <w:rsid w:val="26F23539"/>
    <w:rsid w:val="26FD4DE0"/>
    <w:rsid w:val="270A419E"/>
    <w:rsid w:val="270B2B7D"/>
    <w:rsid w:val="270D73B1"/>
    <w:rsid w:val="27111881"/>
    <w:rsid w:val="27141817"/>
    <w:rsid w:val="27145525"/>
    <w:rsid w:val="271537E6"/>
    <w:rsid w:val="271D68C2"/>
    <w:rsid w:val="271D7E3E"/>
    <w:rsid w:val="271F6D11"/>
    <w:rsid w:val="27207FB4"/>
    <w:rsid w:val="27230133"/>
    <w:rsid w:val="27232F6F"/>
    <w:rsid w:val="272339AE"/>
    <w:rsid w:val="27265688"/>
    <w:rsid w:val="272660F4"/>
    <w:rsid w:val="27330648"/>
    <w:rsid w:val="27352688"/>
    <w:rsid w:val="273670AC"/>
    <w:rsid w:val="273B56E1"/>
    <w:rsid w:val="273B6B9C"/>
    <w:rsid w:val="273F624B"/>
    <w:rsid w:val="27470A00"/>
    <w:rsid w:val="2749774B"/>
    <w:rsid w:val="274B53F5"/>
    <w:rsid w:val="274C767A"/>
    <w:rsid w:val="274D24D9"/>
    <w:rsid w:val="27520D7E"/>
    <w:rsid w:val="275264BC"/>
    <w:rsid w:val="27543852"/>
    <w:rsid w:val="27563A64"/>
    <w:rsid w:val="27575A35"/>
    <w:rsid w:val="27580BE4"/>
    <w:rsid w:val="27585B90"/>
    <w:rsid w:val="275955D5"/>
    <w:rsid w:val="275B14FA"/>
    <w:rsid w:val="276051B1"/>
    <w:rsid w:val="27610312"/>
    <w:rsid w:val="27622A3B"/>
    <w:rsid w:val="27623A54"/>
    <w:rsid w:val="27630A10"/>
    <w:rsid w:val="27632FC3"/>
    <w:rsid w:val="27673F6A"/>
    <w:rsid w:val="276B78D7"/>
    <w:rsid w:val="277061FD"/>
    <w:rsid w:val="27730EB0"/>
    <w:rsid w:val="277C5E00"/>
    <w:rsid w:val="277F4B73"/>
    <w:rsid w:val="278360F5"/>
    <w:rsid w:val="278B7007"/>
    <w:rsid w:val="278E10E6"/>
    <w:rsid w:val="278E4601"/>
    <w:rsid w:val="278E6364"/>
    <w:rsid w:val="27971361"/>
    <w:rsid w:val="279926CD"/>
    <w:rsid w:val="279C2ED0"/>
    <w:rsid w:val="279F5034"/>
    <w:rsid w:val="27A04C51"/>
    <w:rsid w:val="27A05D73"/>
    <w:rsid w:val="27A325CD"/>
    <w:rsid w:val="27A62359"/>
    <w:rsid w:val="27A77917"/>
    <w:rsid w:val="27AD15A2"/>
    <w:rsid w:val="27AD6906"/>
    <w:rsid w:val="27AF2809"/>
    <w:rsid w:val="27B23F20"/>
    <w:rsid w:val="27B3259B"/>
    <w:rsid w:val="27B57D92"/>
    <w:rsid w:val="27B721D0"/>
    <w:rsid w:val="27B7686B"/>
    <w:rsid w:val="27BA2412"/>
    <w:rsid w:val="27BB4582"/>
    <w:rsid w:val="27C23E6C"/>
    <w:rsid w:val="27C87837"/>
    <w:rsid w:val="27C9111B"/>
    <w:rsid w:val="27CD39F4"/>
    <w:rsid w:val="27CE38CB"/>
    <w:rsid w:val="27D574FD"/>
    <w:rsid w:val="27D711E3"/>
    <w:rsid w:val="27D758AC"/>
    <w:rsid w:val="27DC7196"/>
    <w:rsid w:val="27E340FD"/>
    <w:rsid w:val="27E76A82"/>
    <w:rsid w:val="27E82EA5"/>
    <w:rsid w:val="27E833B5"/>
    <w:rsid w:val="27EC2887"/>
    <w:rsid w:val="27ED57B4"/>
    <w:rsid w:val="27F04D40"/>
    <w:rsid w:val="27F12B82"/>
    <w:rsid w:val="27F36439"/>
    <w:rsid w:val="27F572BE"/>
    <w:rsid w:val="27FC37D1"/>
    <w:rsid w:val="27FE1D11"/>
    <w:rsid w:val="2801210E"/>
    <w:rsid w:val="2804563F"/>
    <w:rsid w:val="28092072"/>
    <w:rsid w:val="28167C3A"/>
    <w:rsid w:val="28167F01"/>
    <w:rsid w:val="281B7A90"/>
    <w:rsid w:val="281C3F4A"/>
    <w:rsid w:val="28213976"/>
    <w:rsid w:val="282265E1"/>
    <w:rsid w:val="282439E4"/>
    <w:rsid w:val="28297A85"/>
    <w:rsid w:val="282C766C"/>
    <w:rsid w:val="282F51A8"/>
    <w:rsid w:val="28301B12"/>
    <w:rsid w:val="2830351E"/>
    <w:rsid w:val="28361786"/>
    <w:rsid w:val="28376C21"/>
    <w:rsid w:val="2837724B"/>
    <w:rsid w:val="28383FC0"/>
    <w:rsid w:val="283D2E4F"/>
    <w:rsid w:val="283E1E92"/>
    <w:rsid w:val="284204C5"/>
    <w:rsid w:val="28493E36"/>
    <w:rsid w:val="284C3648"/>
    <w:rsid w:val="284E49E6"/>
    <w:rsid w:val="284F564E"/>
    <w:rsid w:val="28503590"/>
    <w:rsid w:val="28504E06"/>
    <w:rsid w:val="28522D25"/>
    <w:rsid w:val="28575414"/>
    <w:rsid w:val="285D4C4F"/>
    <w:rsid w:val="286626D6"/>
    <w:rsid w:val="286636B2"/>
    <w:rsid w:val="286736D5"/>
    <w:rsid w:val="286E2EF8"/>
    <w:rsid w:val="28741FE6"/>
    <w:rsid w:val="28754146"/>
    <w:rsid w:val="2876012C"/>
    <w:rsid w:val="28784922"/>
    <w:rsid w:val="287D57E6"/>
    <w:rsid w:val="28864743"/>
    <w:rsid w:val="2886613B"/>
    <w:rsid w:val="288B0888"/>
    <w:rsid w:val="288E1149"/>
    <w:rsid w:val="288F580D"/>
    <w:rsid w:val="28930247"/>
    <w:rsid w:val="28933117"/>
    <w:rsid w:val="28942DE6"/>
    <w:rsid w:val="289818A9"/>
    <w:rsid w:val="289A4325"/>
    <w:rsid w:val="289A78BF"/>
    <w:rsid w:val="289B3E66"/>
    <w:rsid w:val="289B4577"/>
    <w:rsid w:val="289B78CE"/>
    <w:rsid w:val="289D76A9"/>
    <w:rsid w:val="28A37852"/>
    <w:rsid w:val="28A52202"/>
    <w:rsid w:val="28A7234D"/>
    <w:rsid w:val="28AA5F06"/>
    <w:rsid w:val="28B17C8C"/>
    <w:rsid w:val="28B61255"/>
    <w:rsid w:val="28B7636C"/>
    <w:rsid w:val="28BA5E06"/>
    <w:rsid w:val="28C45E4D"/>
    <w:rsid w:val="28C6151B"/>
    <w:rsid w:val="28C846DC"/>
    <w:rsid w:val="28CA68B9"/>
    <w:rsid w:val="28CF3060"/>
    <w:rsid w:val="28D21D6D"/>
    <w:rsid w:val="28D33A96"/>
    <w:rsid w:val="28D749C3"/>
    <w:rsid w:val="28DA56F0"/>
    <w:rsid w:val="28DB42FC"/>
    <w:rsid w:val="28DB4E88"/>
    <w:rsid w:val="28DE48AD"/>
    <w:rsid w:val="28EE3D4B"/>
    <w:rsid w:val="28F42F94"/>
    <w:rsid w:val="28F73C0E"/>
    <w:rsid w:val="28FB45A9"/>
    <w:rsid w:val="28FD429D"/>
    <w:rsid w:val="2900333F"/>
    <w:rsid w:val="290058DD"/>
    <w:rsid w:val="290517B6"/>
    <w:rsid w:val="2906193A"/>
    <w:rsid w:val="29067096"/>
    <w:rsid w:val="290966B1"/>
    <w:rsid w:val="290C233E"/>
    <w:rsid w:val="290C7460"/>
    <w:rsid w:val="29114E6F"/>
    <w:rsid w:val="29151405"/>
    <w:rsid w:val="291A7EB4"/>
    <w:rsid w:val="291D308A"/>
    <w:rsid w:val="291E5DAB"/>
    <w:rsid w:val="2921684C"/>
    <w:rsid w:val="2923204E"/>
    <w:rsid w:val="292437FB"/>
    <w:rsid w:val="292B1FBA"/>
    <w:rsid w:val="292F5DB3"/>
    <w:rsid w:val="29300419"/>
    <w:rsid w:val="29367873"/>
    <w:rsid w:val="293B509C"/>
    <w:rsid w:val="293B52E9"/>
    <w:rsid w:val="293C655C"/>
    <w:rsid w:val="294057F3"/>
    <w:rsid w:val="29416F7E"/>
    <w:rsid w:val="29431E1D"/>
    <w:rsid w:val="29431F9F"/>
    <w:rsid w:val="29467F45"/>
    <w:rsid w:val="294A1A16"/>
    <w:rsid w:val="2955035E"/>
    <w:rsid w:val="29567CF5"/>
    <w:rsid w:val="29590D7E"/>
    <w:rsid w:val="295C22A6"/>
    <w:rsid w:val="295D444A"/>
    <w:rsid w:val="295E728C"/>
    <w:rsid w:val="29643221"/>
    <w:rsid w:val="296546C1"/>
    <w:rsid w:val="29662673"/>
    <w:rsid w:val="29663361"/>
    <w:rsid w:val="296714DF"/>
    <w:rsid w:val="29691CC9"/>
    <w:rsid w:val="296B3178"/>
    <w:rsid w:val="296E6236"/>
    <w:rsid w:val="296F00C8"/>
    <w:rsid w:val="296F48C6"/>
    <w:rsid w:val="296F7FE7"/>
    <w:rsid w:val="29713B4D"/>
    <w:rsid w:val="297325FD"/>
    <w:rsid w:val="2979601B"/>
    <w:rsid w:val="297E3C94"/>
    <w:rsid w:val="2982638C"/>
    <w:rsid w:val="29834869"/>
    <w:rsid w:val="29851A03"/>
    <w:rsid w:val="299112CA"/>
    <w:rsid w:val="29924C72"/>
    <w:rsid w:val="29926DB5"/>
    <w:rsid w:val="29927D96"/>
    <w:rsid w:val="299425A2"/>
    <w:rsid w:val="29956141"/>
    <w:rsid w:val="299873D0"/>
    <w:rsid w:val="299A3C6E"/>
    <w:rsid w:val="299A5FE7"/>
    <w:rsid w:val="299F5184"/>
    <w:rsid w:val="29A06CDB"/>
    <w:rsid w:val="29AC7381"/>
    <w:rsid w:val="29AE4A45"/>
    <w:rsid w:val="29B02F9F"/>
    <w:rsid w:val="29B07043"/>
    <w:rsid w:val="29B73FCD"/>
    <w:rsid w:val="29BA0E9A"/>
    <w:rsid w:val="29BC170F"/>
    <w:rsid w:val="29BD09A1"/>
    <w:rsid w:val="29BD3428"/>
    <w:rsid w:val="29C36A4C"/>
    <w:rsid w:val="29CB18EF"/>
    <w:rsid w:val="29CE5191"/>
    <w:rsid w:val="29CF217A"/>
    <w:rsid w:val="29D36F98"/>
    <w:rsid w:val="29D43327"/>
    <w:rsid w:val="29D838FB"/>
    <w:rsid w:val="29D90990"/>
    <w:rsid w:val="29D943F8"/>
    <w:rsid w:val="29DA2FC1"/>
    <w:rsid w:val="29DB50D3"/>
    <w:rsid w:val="29E256AC"/>
    <w:rsid w:val="29E729F1"/>
    <w:rsid w:val="29E87A20"/>
    <w:rsid w:val="29E965EB"/>
    <w:rsid w:val="29ED7152"/>
    <w:rsid w:val="29F26D0E"/>
    <w:rsid w:val="29F96AD7"/>
    <w:rsid w:val="29FC1CD8"/>
    <w:rsid w:val="2A0021F2"/>
    <w:rsid w:val="2A012714"/>
    <w:rsid w:val="2A045CE5"/>
    <w:rsid w:val="2A062B02"/>
    <w:rsid w:val="2A0632FC"/>
    <w:rsid w:val="2A0A4D45"/>
    <w:rsid w:val="2A0C02DA"/>
    <w:rsid w:val="2A112B2B"/>
    <w:rsid w:val="2A132621"/>
    <w:rsid w:val="2A19032A"/>
    <w:rsid w:val="2A191F89"/>
    <w:rsid w:val="2A1B2C9F"/>
    <w:rsid w:val="2A2014D0"/>
    <w:rsid w:val="2A2B19CD"/>
    <w:rsid w:val="2A2B238F"/>
    <w:rsid w:val="2A2C454A"/>
    <w:rsid w:val="2A2D7BD8"/>
    <w:rsid w:val="2A2F275A"/>
    <w:rsid w:val="2A2F322A"/>
    <w:rsid w:val="2A2F6D10"/>
    <w:rsid w:val="2A385FF7"/>
    <w:rsid w:val="2A3A106B"/>
    <w:rsid w:val="2A3A5145"/>
    <w:rsid w:val="2A405ED3"/>
    <w:rsid w:val="2A4309DF"/>
    <w:rsid w:val="2A447A2F"/>
    <w:rsid w:val="2A454F2D"/>
    <w:rsid w:val="2A455547"/>
    <w:rsid w:val="2A466295"/>
    <w:rsid w:val="2A470AF5"/>
    <w:rsid w:val="2A48616A"/>
    <w:rsid w:val="2A4A233A"/>
    <w:rsid w:val="2A4D47D0"/>
    <w:rsid w:val="2A4D674C"/>
    <w:rsid w:val="2A561DC5"/>
    <w:rsid w:val="2A563528"/>
    <w:rsid w:val="2A567683"/>
    <w:rsid w:val="2A5B607B"/>
    <w:rsid w:val="2A5E4ACC"/>
    <w:rsid w:val="2A61280C"/>
    <w:rsid w:val="2A613C1F"/>
    <w:rsid w:val="2A66224D"/>
    <w:rsid w:val="2A690624"/>
    <w:rsid w:val="2A694505"/>
    <w:rsid w:val="2A6B5126"/>
    <w:rsid w:val="2A6D64B1"/>
    <w:rsid w:val="2A6D7A02"/>
    <w:rsid w:val="2A713A65"/>
    <w:rsid w:val="2A7312B9"/>
    <w:rsid w:val="2A773990"/>
    <w:rsid w:val="2A7B5E2E"/>
    <w:rsid w:val="2A7D6643"/>
    <w:rsid w:val="2A834172"/>
    <w:rsid w:val="2A842BEA"/>
    <w:rsid w:val="2A8B1DC9"/>
    <w:rsid w:val="2A8F65A2"/>
    <w:rsid w:val="2A926634"/>
    <w:rsid w:val="2A932085"/>
    <w:rsid w:val="2A94044A"/>
    <w:rsid w:val="2A947A86"/>
    <w:rsid w:val="2A9721AE"/>
    <w:rsid w:val="2A9A1F30"/>
    <w:rsid w:val="2A9A3758"/>
    <w:rsid w:val="2A9E71C0"/>
    <w:rsid w:val="2AA10EBF"/>
    <w:rsid w:val="2AA25BD1"/>
    <w:rsid w:val="2AA60585"/>
    <w:rsid w:val="2AA739F3"/>
    <w:rsid w:val="2AA73C8E"/>
    <w:rsid w:val="2AAA58BB"/>
    <w:rsid w:val="2AAA5B5C"/>
    <w:rsid w:val="2AAA675A"/>
    <w:rsid w:val="2AB035FA"/>
    <w:rsid w:val="2AB2060E"/>
    <w:rsid w:val="2AB7706D"/>
    <w:rsid w:val="2ABA36EB"/>
    <w:rsid w:val="2ABC62AB"/>
    <w:rsid w:val="2ABD1866"/>
    <w:rsid w:val="2ABE7681"/>
    <w:rsid w:val="2ABF3ADA"/>
    <w:rsid w:val="2AC46EAA"/>
    <w:rsid w:val="2AC52F24"/>
    <w:rsid w:val="2ACB15C2"/>
    <w:rsid w:val="2ACE4708"/>
    <w:rsid w:val="2AD1392F"/>
    <w:rsid w:val="2AD23C97"/>
    <w:rsid w:val="2AD7705D"/>
    <w:rsid w:val="2ADA66CC"/>
    <w:rsid w:val="2ADC2E02"/>
    <w:rsid w:val="2AE57FED"/>
    <w:rsid w:val="2AE703C0"/>
    <w:rsid w:val="2AEA66E0"/>
    <w:rsid w:val="2AEB1F2F"/>
    <w:rsid w:val="2AEC7610"/>
    <w:rsid w:val="2AF14F80"/>
    <w:rsid w:val="2AF52BF8"/>
    <w:rsid w:val="2AF557A6"/>
    <w:rsid w:val="2AF94A53"/>
    <w:rsid w:val="2AFD0049"/>
    <w:rsid w:val="2AFE41E9"/>
    <w:rsid w:val="2B010A66"/>
    <w:rsid w:val="2B017621"/>
    <w:rsid w:val="2B035C8D"/>
    <w:rsid w:val="2B0849E3"/>
    <w:rsid w:val="2B0A6294"/>
    <w:rsid w:val="2B0D7BB8"/>
    <w:rsid w:val="2B10661D"/>
    <w:rsid w:val="2B113741"/>
    <w:rsid w:val="2B183716"/>
    <w:rsid w:val="2B1B3AF6"/>
    <w:rsid w:val="2B1E2300"/>
    <w:rsid w:val="2B22054A"/>
    <w:rsid w:val="2B285982"/>
    <w:rsid w:val="2B2915C0"/>
    <w:rsid w:val="2B2D4354"/>
    <w:rsid w:val="2B2E7B7B"/>
    <w:rsid w:val="2B305E31"/>
    <w:rsid w:val="2B3B47B2"/>
    <w:rsid w:val="2B3C4E23"/>
    <w:rsid w:val="2B402871"/>
    <w:rsid w:val="2B455761"/>
    <w:rsid w:val="2B457BF8"/>
    <w:rsid w:val="2B475678"/>
    <w:rsid w:val="2B4903A2"/>
    <w:rsid w:val="2B4951E0"/>
    <w:rsid w:val="2B4D52DA"/>
    <w:rsid w:val="2B4F705F"/>
    <w:rsid w:val="2B542588"/>
    <w:rsid w:val="2B56191A"/>
    <w:rsid w:val="2B574D0A"/>
    <w:rsid w:val="2B62489B"/>
    <w:rsid w:val="2B6A546A"/>
    <w:rsid w:val="2B6C7576"/>
    <w:rsid w:val="2B6F45B9"/>
    <w:rsid w:val="2B7037D3"/>
    <w:rsid w:val="2B7236C8"/>
    <w:rsid w:val="2B746141"/>
    <w:rsid w:val="2B78150A"/>
    <w:rsid w:val="2B7B7F1C"/>
    <w:rsid w:val="2B80538C"/>
    <w:rsid w:val="2B884D40"/>
    <w:rsid w:val="2B8870F9"/>
    <w:rsid w:val="2B8C7A86"/>
    <w:rsid w:val="2B8E2B54"/>
    <w:rsid w:val="2B8E305D"/>
    <w:rsid w:val="2B8E5B1E"/>
    <w:rsid w:val="2B905646"/>
    <w:rsid w:val="2B916982"/>
    <w:rsid w:val="2B950004"/>
    <w:rsid w:val="2B955365"/>
    <w:rsid w:val="2B971022"/>
    <w:rsid w:val="2B9901B7"/>
    <w:rsid w:val="2BA37F7A"/>
    <w:rsid w:val="2BA57F2C"/>
    <w:rsid w:val="2BA604FA"/>
    <w:rsid w:val="2BB114BB"/>
    <w:rsid w:val="2BB62F23"/>
    <w:rsid w:val="2BB6493A"/>
    <w:rsid w:val="2BBB4FF3"/>
    <w:rsid w:val="2BBD4533"/>
    <w:rsid w:val="2BC86F7D"/>
    <w:rsid w:val="2BCB709F"/>
    <w:rsid w:val="2BCD63BC"/>
    <w:rsid w:val="2BCF7B59"/>
    <w:rsid w:val="2BD27ED7"/>
    <w:rsid w:val="2BD44019"/>
    <w:rsid w:val="2BD93ADD"/>
    <w:rsid w:val="2BDE423C"/>
    <w:rsid w:val="2BE511BE"/>
    <w:rsid w:val="2BE65745"/>
    <w:rsid w:val="2BEA6F99"/>
    <w:rsid w:val="2BEC2B5B"/>
    <w:rsid w:val="2BEF564B"/>
    <w:rsid w:val="2BF76933"/>
    <w:rsid w:val="2BF91E81"/>
    <w:rsid w:val="2BF939E0"/>
    <w:rsid w:val="2BFB2452"/>
    <w:rsid w:val="2BFC2575"/>
    <w:rsid w:val="2BFD0B5F"/>
    <w:rsid w:val="2BFE5385"/>
    <w:rsid w:val="2C0104D8"/>
    <w:rsid w:val="2C023602"/>
    <w:rsid w:val="2C025EDA"/>
    <w:rsid w:val="2C040100"/>
    <w:rsid w:val="2C097530"/>
    <w:rsid w:val="2C114DA6"/>
    <w:rsid w:val="2C160870"/>
    <w:rsid w:val="2C183C06"/>
    <w:rsid w:val="2C187581"/>
    <w:rsid w:val="2C1A0C23"/>
    <w:rsid w:val="2C1F2795"/>
    <w:rsid w:val="2C22011E"/>
    <w:rsid w:val="2C244DE4"/>
    <w:rsid w:val="2C2771B5"/>
    <w:rsid w:val="2C30167E"/>
    <w:rsid w:val="2C360A80"/>
    <w:rsid w:val="2C3C1AE2"/>
    <w:rsid w:val="2C3C43D2"/>
    <w:rsid w:val="2C3D5164"/>
    <w:rsid w:val="2C473C23"/>
    <w:rsid w:val="2C4F79E4"/>
    <w:rsid w:val="2C5034CA"/>
    <w:rsid w:val="2C541A2E"/>
    <w:rsid w:val="2C5575BD"/>
    <w:rsid w:val="2C596F29"/>
    <w:rsid w:val="2C5D1BE7"/>
    <w:rsid w:val="2C5E7BCE"/>
    <w:rsid w:val="2C630766"/>
    <w:rsid w:val="2C6465D7"/>
    <w:rsid w:val="2C6652CC"/>
    <w:rsid w:val="2C692381"/>
    <w:rsid w:val="2C6B0619"/>
    <w:rsid w:val="2C6B5F8C"/>
    <w:rsid w:val="2C6F2059"/>
    <w:rsid w:val="2C712DBB"/>
    <w:rsid w:val="2C754607"/>
    <w:rsid w:val="2C7719C5"/>
    <w:rsid w:val="2C7E2895"/>
    <w:rsid w:val="2C8427D6"/>
    <w:rsid w:val="2C86465E"/>
    <w:rsid w:val="2C8F3022"/>
    <w:rsid w:val="2C9258AF"/>
    <w:rsid w:val="2C9A683C"/>
    <w:rsid w:val="2C9E37B4"/>
    <w:rsid w:val="2CA46F92"/>
    <w:rsid w:val="2CA97A14"/>
    <w:rsid w:val="2CAD446D"/>
    <w:rsid w:val="2CB9789B"/>
    <w:rsid w:val="2CBB0E04"/>
    <w:rsid w:val="2CBE4367"/>
    <w:rsid w:val="2CC53513"/>
    <w:rsid w:val="2CC87084"/>
    <w:rsid w:val="2CCC008B"/>
    <w:rsid w:val="2CD0422B"/>
    <w:rsid w:val="2CD77653"/>
    <w:rsid w:val="2CD868D6"/>
    <w:rsid w:val="2CDA20CD"/>
    <w:rsid w:val="2CDA7B12"/>
    <w:rsid w:val="2CDF79AC"/>
    <w:rsid w:val="2CE233BC"/>
    <w:rsid w:val="2CE312DF"/>
    <w:rsid w:val="2CE321A3"/>
    <w:rsid w:val="2CE34324"/>
    <w:rsid w:val="2CE82730"/>
    <w:rsid w:val="2CE90075"/>
    <w:rsid w:val="2CF36109"/>
    <w:rsid w:val="2CF61B51"/>
    <w:rsid w:val="2CF81885"/>
    <w:rsid w:val="2CF83B0C"/>
    <w:rsid w:val="2CF94F11"/>
    <w:rsid w:val="2CFC1D99"/>
    <w:rsid w:val="2D005074"/>
    <w:rsid w:val="2D035A17"/>
    <w:rsid w:val="2D060A87"/>
    <w:rsid w:val="2D0A14EA"/>
    <w:rsid w:val="2D0B4C73"/>
    <w:rsid w:val="2D0C0E6F"/>
    <w:rsid w:val="2D0D4E4B"/>
    <w:rsid w:val="2D0D78C7"/>
    <w:rsid w:val="2D1D4F12"/>
    <w:rsid w:val="2D2877C1"/>
    <w:rsid w:val="2D2D0BB9"/>
    <w:rsid w:val="2D2F09FF"/>
    <w:rsid w:val="2D342758"/>
    <w:rsid w:val="2D377B01"/>
    <w:rsid w:val="2D385AD2"/>
    <w:rsid w:val="2D411E03"/>
    <w:rsid w:val="2D4435F4"/>
    <w:rsid w:val="2D450B08"/>
    <w:rsid w:val="2D48313F"/>
    <w:rsid w:val="2D4A6B70"/>
    <w:rsid w:val="2D4D5B3E"/>
    <w:rsid w:val="2D4F08FF"/>
    <w:rsid w:val="2D4F514F"/>
    <w:rsid w:val="2D5034E4"/>
    <w:rsid w:val="2D506F34"/>
    <w:rsid w:val="2D532B95"/>
    <w:rsid w:val="2D555ACE"/>
    <w:rsid w:val="2D582629"/>
    <w:rsid w:val="2D5A1F7A"/>
    <w:rsid w:val="2D5E3495"/>
    <w:rsid w:val="2D6042E8"/>
    <w:rsid w:val="2D63169C"/>
    <w:rsid w:val="2D636CC9"/>
    <w:rsid w:val="2D6419BF"/>
    <w:rsid w:val="2D66099B"/>
    <w:rsid w:val="2D672779"/>
    <w:rsid w:val="2D6E0BE4"/>
    <w:rsid w:val="2D701DBA"/>
    <w:rsid w:val="2D7231F6"/>
    <w:rsid w:val="2D732682"/>
    <w:rsid w:val="2D74125C"/>
    <w:rsid w:val="2D787C68"/>
    <w:rsid w:val="2D7E423B"/>
    <w:rsid w:val="2D806DFF"/>
    <w:rsid w:val="2D8459E5"/>
    <w:rsid w:val="2D8C47DF"/>
    <w:rsid w:val="2D8F7E39"/>
    <w:rsid w:val="2D974624"/>
    <w:rsid w:val="2D9961D2"/>
    <w:rsid w:val="2D996F0C"/>
    <w:rsid w:val="2D9A104F"/>
    <w:rsid w:val="2D9A10CC"/>
    <w:rsid w:val="2D9C7355"/>
    <w:rsid w:val="2D9F3B6D"/>
    <w:rsid w:val="2DA04C4B"/>
    <w:rsid w:val="2DA71E88"/>
    <w:rsid w:val="2DAA52AB"/>
    <w:rsid w:val="2DAD6F32"/>
    <w:rsid w:val="2DB06A4B"/>
    <w:rsid w:val="2DB615AC"/>
    <w:rsid w:val="2DB9613E"/>
    <w:rsid w:val="2DBB2AC3"/>
    <w:rsid w:val="2DBF39D6"/>
    <w:rsid w:val="2DC72D28"/>
    <w:rsid w:val="2DC81AA6"/>
    <w:rsid w:val="2DC900C5"/>
    <w:rsid w:val="2DCE63CE"/>
    <w:rsid w:val="2DD40B0E"/>
    <w:rsid w:val="2DDC1595"/>
    <w:rsid w:val="2DDE3035"/>
    <w:rsid w:val="2DE96796"/>
    <w:rsid w:val="2DEA75EA"/>
    <w:rsid w:val="2DEC2324"/>
    <w:rsid w:val="2DEF59CE"/>
    <w:rsid w:val="2DF221CE"/>
    <w:rsid w:val="2DFC1140"/>
    <w:rsid w:val="2E0037B4"/>
    <w:rsid w:val="2E026D28"/>
    <w:rsid w:val="2E050A76"/>
    <w:rsid w:val="2E063D36"/>
    <w:rsid w:val="2E0A2AC5"/>
    <w:rsid w:val="2E0A761C"/>
    <w:rsid w:val="2E0E1CBD"/>
    <w:rsid w:val="2E0E2245"/>
    <w:rsid w:val="2E117A1C"/>
    <w:rsid w:val="2E140DD3"/>
    <w:rsid w:val="2E146B1F"/>
    <w:rsid w:val="2E1570D5"/>
    <w:rsid w:val="2E1E1D7C"/>
    <w:rsid w:val="2E20119F"/>
    <w:rsid w:val="2E22588A"/>
    <w:rsid w:val="2E270881"/>
    <w:rsid w:val="2E324067"/>
    <w:rsid w:val="2E334A71"/>
    <w:rsid w:val="2E381777"/>
    <w:rsid w:val="2E3848B1"/>
    <w:rsid w:val="2E385FB2"/>
    <w:rsid w:val="2E3A1AD3"/>
    <w:rsid w:val="2E3C33C7"/>
    <w:rsid w:val="2E3D1966"/>
    <w:rsid w:val="2E3D59AF"/>
    <w:rsid w:val="2E3E1737"/>
    <w:rsid w:val="2E402DEC"/>
    <w:rsid w:val="2E411AC7"/>
    <w:rsid w:val="2E4425AB"/>
    <w:rsid w:val="2E454EF1"/>
    <w:rsid w:val="2E520C74"/>
    <w:rsid w:val="2E542738"/>
    <w:rsid w:val="2E574406"/>
    <w:rsid w:val="2E57513D"/>
    <w:rsid w:val="2E587876"/>
    <w:rsid w:val="2E590019"/>
    <w:rsid w:val="2E5F6096"/>
    <w:rsid w:val="2E6108FA"/>
    <w:rsid w:val="2E653B36"/>
    <w:rsid w:val="2E717874"/>
    <w:rsid w:val="2E72008B"/>
    <w:rsid w:val="2E720576"/>
    <w:rsid w:val="2E753626"/>
    <w:rsid w:val="2E7612D1"/>
    <w:rsid w:val="2E764B5D"/>
    <w:rsid w:val="2E7941AE"/>
    <w:rsid w:val="2E7A6BFB"/>
    <w:rsid w:val="2E7E1D02"/>
    <w:rsid w:val="2E7E274D"/>
    <w:rsid w:val="2E83303D"/>
    <w:rsid w:val="2E83372C"/>
    <w:rsid w:val="2E83795B"/>
    <w:rsid w:val="2E850E56"/>
    <w:rsid w:val="2E8A1A2C"/>
    <w:rsid w:val="2E8C3582"/>
    <w:rsid w:val="2E8D0587"/>
    <w:rsid w:val="2E973A96"/>
    <w:rsid w:val="2E983194"/>
    <w:rsid w:val="2E9C7133"/>
    <w:rsid w:val="2EA65768"/>
    <w:rsid w:val="2EAB425D"/>
    <w:rsid w:val="2EAB7B9E"/>
    <w:rsid w:val="2EAC3A73"/>
    <w:rsid w:val="2EAE5EA6"/>
    <w:rsid w:val="2EB36412"/>
    <w:rsid w:val="2EB37919"/>
    <w:rsid w:val="2EB50B33"/>
    <w:rsid w:val="2EB50F11"/>
    <w:rsid w:val="2EB613DB"/>
    <w:rsid w:val="2EBA3CFB"/>
    <w:rsid w:val="2EBA6F40"/>
    <w:rsid w:val="2EBC15DA"/>
    <w:rsid w:val="2EBD2D1D"/>
    <w:rsid w:val="2EC77D91"/>
    <w:rsid w:val="2EC93940"/>
    <w:rsid w:val="2ECA7A0B"/>
    <w:rsid w:val="2ECB637C"/>
    <w:rsid w:val="2ECB7483"/>
    <w:rsid w:val="2ECF4891"/>
    <w:rsid w:val="2ED3590C"/>
    <w:rsid w:val="2ED54529"/>
    <w:rsid w:val="2ED74A24"/>
    <w:rsid w:val="2EDF29AF"/>
    <w:rsid w:val="2EE13C50"/>
    <w:rsid w:val="2EE33249"/>
    <w:rsid w:val="2EEB199D"/>
    <w:rsid w:val="2EF03639"/>
    <w:rsid w:val="2EF67564"/>
    <w:rsid w:val="2F010CAC"/>
    <w:rsid w:val="2F017933"/>
    <w:rsid w:val="2F020C7B"/>
    <w:rsid w:val="2F0334F1"/>
    <w:rsid w:val="2F060CF4"/>
    <w:rsid w:val="2F0B1A2A"/>
    <w:rsid w:val="2F160BD6"/>
    <w:rsid w:val="2F1743BE"/>
    <w:rsid w:val="2F1C0D0B"/>
    <w:rsid w:val="2F1D2E1F"/>
    <w:rsid w:val="2F25777D"/>
    <w:rsid w:val="2F285CC5"/>
    <w:rsid w:val="2F2C3920"/>
    <w:rsid w:val="2F2E5749"/>
    <w:rsid w:val="2F336A1B"/>
    <w:rsid w:val="2F37073A"/>
    <w:rsid w:val="2F384455"/>
    <w:rsid w:val="2F394CAA"/>
    <w:rsid w:val="2F3B080D"/>
    <w:rsid w:val="2F4079EE"/>
    <w:rsid w:val="2F420CB7"/>
    <w:rsid w:val="2F424430"/>
    <w:rsid w:val="2F452360"/>
    <w:rsid w:val="2F46641B"/>
    <w:rsid w:val="2F4721C7"/>
    <w:rsid w:val="2F475E16"/>
    <w:rsid w:val="2F47747B"/>
    <w:rsid w:val="2F4A69FD"/>
    <w:rsid w:val="2F4C4A3D"/>
    <w:rsid w:val="2F505213"/>
    <w:rsid w:val="2F5217DA"/>
    <w:rsid w:val="2F5407C4"/>
    <w:rsid w:val="2F575F5B"/>
    <w:rsid w:val="2F5D08D2"/>
    <w:rsid w:val="2F5D1CE0"/>
    <w:rsid w:val="2F5E3A24"/>
    <w:rsid w:val="2F681CE1"/>
    <w:rsid w:val="2F6952BB"/>
    <w:rsid w:val="2F6A04CE"/>
    <w:rsid w:val="2F720ED2"/>
    <w:rsid w:val="2F740E9D"/>
    <w:rsid w:val="2F746D16"/>
    <w:rsid w:val="2F7767A5"/>
    <w:rsid w:val="2F7838E2"/>
    <w:rsid w:val="2F794E9E"/>
    <w:rsid w:val="2F7C4A03"/>
    <w:rsid w:val="2F82248F"/>
    <w:rsid w:val="2F8670B1"/>
    <w:rsid w:val="2F870DF9"/>
    <w:rsid w:val="2F8A06C8"/>
    <w:rsid w:val="2F9731F7"/>
    <w:rsid w:val="2F9F3E67"/>
    <w:rsid w:val="2FA06F6A"/>
    <w:rsid w:val="2FA07200"/>
    <w:rsid w:val="2FA33D38"/>
    <w:rsid w:val="2FA710AF"/>
    <w:rsid w:val="2FA818F5"/>
    <w:rsid w:val="2FA86D9F"/>
    <w:rsid w:val="2FB01FCB"/>
    <w:rsid w:val="2FB45E2A"/>
    <w:rsid w:val="2FB56FC9"/>
    <w:rsid w:val="2FB93E77"/>
    <w:rsid w:val="2FBB13DF"/>
    <w:rsid w:val="2FBD3FB0"/>
    <w:rsid w:val="2FBE61E7"/>
    <w:rsid w:val="2FBF0048"/>
    <w:rsid w:val="2FC211B6"/>
    <w:rsid w:val="2FC626C5"/>
    <w:rsid w:val="2FC74E81"/>
    <w:rsid w:val="2FC811E9"/>
    <w:rsid w:val="2FCC216A"/>
    <w:rsid w:val="2FCD67FF"/>
    <w:rsid w:val="2FD16FAC"/>
    <w:rsid w:val="2FD253E3"/>
    <w:rsid w:val="2FD26941"/>
    <w:rsid w:val="2FDE6CA5"/>
    <w:rsid w:val="2FE16904"/>
    <w:rsid w:val="2FE4035D"/>
    <w:rsid w:val="2FED3560"/>
    <w:rsid w:val="2FEE6DEE"/>
    <w:rsid w:val="2FF30D8D"/>
    <w:rsid w:val="2FF47456"/>
    <w:rsid w:val="2FF534E2"/>
    <w:rsid w:val="30022AF6"/>
    <w:rsid w:val="30022ED3"/>
    <w:rsid w:val="30050718"/>
    <w:rsid w:val="30066F40"/>
    <w:rsid w:val="30077B67"/>
    <w:rsid w:val="300C1E55"/>
    <w:rsid w:val="300D4F49"/>
    <w:rsid w:val="3010580B"/>
    <w:rsid w:val="301070BA"/>
    <w:rsid w:val="30110DE2"/>
    <w:rsid w:val="30173359"/>
    <w:rsid w:val="301A2DB1"/>
    <w:rsid w:val="301A3300"/>
    <w:rsid w:val="301A4E3C"/>
    <w:rsid w:val="301C23CE"/>
    <w:rsid w:val="30233BE2"/>
    <w:rsid w:val="30285910"/>
    <w:rsid w:val="302A2A32"/>
    <w:rsid w:val="30315990"/>
    <w:rsid w:val="30337B13"/>
    <w:rsid w:val="303D4D49"/>
    <w:rsid w:val="303D7C46"/>
    <w:rsid w:val="303E241A"/>
    <w:rsid w:val="303E7F9B"/>
    <w:rsid w:val="304035FC"/>
    <w:rsid w:val="30446049"/>
    <w:rsid w:val="30463424"/>
    <w:rsid w:val="30481FB9"/>
    <w:rsid w:val="30484D80"/>
    <w:rsid w:val="304B4049"/>
    <w:rsid w:val="30506C3C"/>
    <w:rsid w:val="30514CA9"/>
    <w:rsid w:val="305356D7"/>
    <w:rsid w:val="3054209C"/>
    <w:rsid w:val="305444E1"/>
    <w:rsid w:val="305861FB"/>
    <w:rsid w:val="30587E0D"/>
    <w:rsid w:val="305A23D0"/>
    <w:rsid w:val="305B6E40"/>
    <w:rsid w:val="305C0AB2"/>
    <w:rsid w:val="305E17D2"/>
    <w:rsid w:val="305F4097"/>
    <w:rsid w:val="30606097"/>
    <w:rsid w:val="30664BFE"/>
    <w:rsid w:val="30677656"/>
    <w:rsid w:val="30683CA7"/>
    <w:rsid w:val="30690C9D"/>
    <w:rsid w:val="3069599E"/>
    <w:rsid w:val="306F5E88"/>
    <w:rsid w:val="30734E36"/>
    <w:rsid w:val="30756524"/>
    <w:rsid w:val="30781982"/>
    <w:rsid w:val="30781C44"/>
    <w:rsid w:val="307B0919"/>
    <w:rsid w:val="307E7DD5"/>
    <w:rsid w:val="308902D5"/>
    <w:rsid w:val="308A0F16"/>
    <w:rsid w:val="308B7417"/>
    <w:rsid w:val="308F1E0D"/>
    <w:rsid w:val="30914A2E"/>
    <w:rsid w:val="309573F3"/>
    <w:rsid w:val="3099427A"/>
    <w:rsid w:val="309C0797"/>
    <w:rsid w:val="309E2CD1"/>
    <w:rsid w:val="30A40179"/>
    <w:rsid w:val="30A734F4"/>
    <w:rsid w:val="30AA437A"/>
    <w:rsid w:val="30AC27B0"/>
    <w:rsid w:val="30AD428E"/>
    <w:rsid w:val="30B21FFA"/>
    <w:rsid w:val="30B663B9"/>
    <w:rsid w:val="30BF0A91"/>
    <w:rsid w:val="30C60B8A"/>
    <w:rsid w:val="30CC3E1E"/>
    <w:rsid w:val="30CC7623"/>
    <w:rsid w:val="30CE4065"/>
    <w:rsid w:val="30CF0A0E"/>
    <w:rsid w:val="30CF4EB4"/>
    <w:rsid w:val="30CF5608"/>
    <w:rsid w:val="30D147CC"/>
    <w:rsid w:val="30D55A87"/>
    <w:rsid w:val="30D91B02"/>
    <w:rsid w:val="30DD5C6E"/>
    <w:rsid w:val="30E5015A"/>
    <w:rsid w:val="30E77500"/>
    <w:rsid w:val="30E9134F"/>
    <w:rsid w:val="30ED4231"/>
    <w:rsid w:val="30EE162F"/>
    <w:rsid w:val="30F00C24"/>
    <w:rsid w:val="30F91D8D"/>
    <w:rsid w:val="30FA3662"/>
    <w:rsid w:val="30FB6F7D"/>
    <w:rsid w:val="30FC114A"/>
    <w:rsid w:val="30FD0051"/>
    <w:rsid w:val="30FD5C31"/>
    <w:rsid w:val="30FF6F94"/>
    <w:rsid w:val="310023D0"/>
    <w:rsid w:val="3106671F"/>
    <w:rsid w:val="310773CB"/>
    <w:rsid w:val="310B087C"/>
    <w:rsid w:val="31151063"/>
    <w:rsid w:val="3116727D"/>
    <w:rsid w:val="31177763"/>
    <w:rsid w:val="311A771E"/>
    <w:rsid w:val="31201DC6"/>
    <w:rsid w:val="31267FB1"/>
    <w:rsid w:val="31273458"/>
    <w:rsid w:val="31285260"/>
    <w:rsid w:val="312B3889"/>
    <w:rsid w:val="312D4CA0"/>
    <w:rsid w:val="312D5A6D"/>
    <w:rsid w:val="312E00A7"/>
    <w:rsid w:val="312F13BE"/>
    <w:rsid w:val="313C3D1B"/>
    <w:rsid w:val="31441AD9"/>
    <w:rsid w:val="31453AB8"/>
    <w:rsid w:val="3148664B"/>
    <w:rsid w:val="314964DB"/>
    <w:rsid w:val="314C1564"/>
    <w:rsid w:val="314C59EF"/>
    <w:rsid w:val="314E591B"/>
    <w:rsid w:val="31513ACF"/>
    <w:rsid w:val="315219D5"/>
    <w:rsid w:val="3153105D"/>
    <w:rsid w:val="31560F25"/>
    <w:rsid w:val="31565C01"/>
    <w:rsid w:val="31591EF0"/>
    <w:rsid w:val="3159415A"/>
    <w:rsid w:val="315A742A"/>
    <w:rsid w:val="315B7ED3"/>
    <w:rsid w:val="31631C43"/>
    <w:rsid w:val="31664E1E"/>
    <w:rsid w:val="316C202A"/>
    <w:rsid w:val="31727015"/>
    <w:rsid w:val="317551AC"/>
    <w:rsid w:val="317727BE"/>
    <w:rsid w:val="31777FD5"/>
    <w:rsid w:val="317B4C91"/>
    <w:rsid w:val="317D69FD"/>
    <w:rsid w:val="317F5ADB"/>
    <w:rsid w:val="31801913"/>
    <w:rsid w:val="31810B59"/>
    <w:rsid w:val="31815F8E"/>
    <w:rsid w:val="318168CA"/>
    <w:rsid w:val="3187566E"/>
    <w:rsid w:val="318D7B27"/>
    <w:rsid w:val="318E0626"/>
    <w:rsid w:val="31925FB6"/>
    <w:rsid w:val="3193097B"/>
    <w:rsid w:val="3193107B"/>
    <w:rsid w:val="319B6BB5"/>
    <w:rsid w:val="319E594E"/>
    <w:rsid w:val="31A73858"/>
    <w:rsid w:val="31A752D4"/>
    <w:rsid w:val="31A960C7"/>
    <w:rsid w:val="31AF57BC"/>
    <w:rsid w:val="31B0085C"/>
    <w:rsid w:val="31B42409"/>
    <w:rsid w:val="31B64FD4"/>
    <w:rsid w:val="31B774BA"/>
    <w:rsid w:val="31BA7739"/>
    <w:rsid w:val="31BC2C34"/>
    <w:rsid w:val="31C1497E"/>
    <w:rsid w:val="31C43312"/>
    <w:rsid w:val="31C443EE"/>
    <w:rsid w:val="31C70088"/>
    <w:rsid w:val="31CD6353"/>
    <w:rsid w:val="31D0183B"/>
    <w:rsid w:val="31D11B5C"/>
    <w:rsid w:val="31D84993"/>
    <w:rsid w:val="31DA66F2"/>
    <w:rsid w:val="31E25F5F"/>
    <w:rsid w:val="31E33837"/>
    <w:rsid w:val="31E36F74"/>
    <w:rsid w:val="31E53487"/>
    <w:rsid w:val="31E656FF"/>
    <w:rsid w:val="31E74FF7"/>
    <w:rsid w:val="31E7586A"/>
    <w:rsid w:val="31E7630A"/>
    <w:rsid w:val="31E80D7C"/>
    <w:rsid w:val="31EB1CB0"/>
    <w:rsid w:val="31F80671"/>
    <w:rsid w:val="31FB5A69"/>
    <w:rsid w:val="31FE03FD"/>
    <w:rsid w:val="320077EF"/>
    <w:rsid w:val="32040ADF"/>
    <w:rsid w:val="32071DDA"/>
    <w:rsid w:val="32081826"/>
    <w:rsid w:val="320947A5"/>
    <w:rsid w:val="32095C64"/>
    <w:rsid w:val="320D1762"/>
    <w:rsid w:val="321475D5"/>
    <w:rsid w:val="32180BF8"/>
    <w:rsid w:val="32224478"/>
    <w:rsid w:val="32285520"/>
    <w:rsid w:val="322A0C6E"/>
    <w:rsid w:val="322D0591"/>
    <w:rsid w:val="322E1EA4"/>
    <w:rsid w:val="323274A3"/>
    <w:rsid w:val="32391A24"/>
    <w:rsid w:val="323B3F05"/>
    <w:rsid w:val="323C2398"/>
    <w:rsid w:val="323C6FA6"/>
    <w:rsid w:val="324337B7"/>
    <w:rsid w:val="32437790"/>
    <w:rsid w:val="324802EF"/>
    <w:rsid w:val="32487F79"/>
    <w:rsid w:val="324A3423"/>
    <w:rsid w:val="324B1698"/>
    <w:rsid w:val="324C56D0"/>
    <w:rsid w:val="325640D5"/>
    <w:rsid w:val="32582712"/>
    <w:rsid w:val="32592681"/>
    <w:rsid w:val="325C007E"/>
    <w:rsid w:val="325D1BD3"/>
    <w:rsid w:val="32625ED2"/>
    <w:rsid w:val="32650590"/>
    <w:rsid w:val="326E491B"/>
    <w:rsid w:val="32723863"/>
    <w:rsid w:val="32781609"/>
    <w:rsid w:val="327B4C02"/>
    <w:rsid w:val="327C05C0"/>
    <w:rsid w:val="327C6832"/>
    <w:rsid w:val="327E43F0"/>
    <w:rsid w:val="327E54FC"/>
    <w:rsid w:val="32825FF9"/>
    <w:rsid w:val="328907C7"/>
    <w:rsid w:val="328A4650"/>
    <w:rsid w:val="328C29A2"/>
    <w:rsid w:val="328C5A9C"/>
    <w:rsid w:val="328D25B1"/>
    <w:rsid w:val="328D4887"/>
    <w:rsid w:val="328E4A87"/>
    <w:rsid w:val="328F1411"/>
    <w:rsid w:val="32972A4E"/>
    <w:rsid w:val="32976876"/>
    <w:rsid w:val="3298196D"/>
    <w:rsid w:val="329B72A9"/>
    <w:rsid w:val="329E262D"/>
    <w:rsid w:val="32A010EE"/>
    <w:rsid w:val="32A338B2"/>
    <w:rsid w:val="32A42499"/>
    <w:rsid w:val="32A74FA3"/>
    <w:rsid w:val="32A80D8C"/>
    <w:rsid w:val="32B06058"/>
    <w:rsid w:val="32BC3F72"/>
    <w:rsid w:val="32BF3E77"/>
    <w:rsid w:val="32C2719B"/>
    <w:rsid w:val="32C319D8"/>
    <w:rsid w:val="32C6722C"/>
    <w:rsid w:val="32C9621E"/>
    <w:rsid w:val="32CA1522"/>
    <w:rsid w:val="32CC1476"/>
    <w:rsid w:val="32CE0414"/>
    <w:rsid w:val="32D03AF1"/>
    <w:rsid w:val="32D13F65"/>
    <w:rsid w:val="32D81006"/>
    <w:rsid w:val="32D86C01"/>
    <w:rsid w:val="32DD3743"/>
    <w:rsid w:val="32DD7471"/>
    <w:rsid w:val="32E12CEE"/>
    <w:rsid w:val="32E82ED4"/>
    <w:rsid w:val="32EC1C78"/>
    <w:rsid w:val="32EE587B"/>
    <w:rsid w:val="32F119F7"/>
    <w:rsid w:val="32F378A9"/>
    <w:rsid w:val="32FB7461"/>
    <w:rsid w:val="32FC7A84"/>
    <w:rsid w:val="32FE5F77"/>
    <w:rsid w:val="32FF5128"/>
    <w:rsid w:val="330315FD"/>
    <w:rsid w:val="3307374B"/>
    <w:rsid w:val="330752A2"/>
    <w:rsid w:val="330D1148"/>
    <w:rsid w:val="330E7A54"/>
    <w:rsid w:val="33136C1F"/>
    <w:rsid w:val="33160EBA"/>
    <w:rsid w:val="3319600E"/>
    <w:rsid w:val="331F76EE"/>
    <w:rsid w:val="3321256B"/>
    <w:rsid w:val="33212CDB"/>
    <w:rsid w:val="33214DE1"/>
    <w:rsid w:val="3322326C"/>
    <w:rsid w:val="33254F19"/>
    <w:rsid w:val="332760FB"/>
    <w:rsid w:val="33276B38"/>
    <w:rsid w:val="332E1B2E"/>
    <w:rsid w:val="332E42A7"/>
    <w:rsid w:val="33301C02"/>
    <w:rsid w:val="33301E33"/>
    <w:rsid w:val="33326DB8"/>
    <w:rsid w:val="33350205"/>
    <w:rsid w:val="33370B5F"/>
    <w:rsid w:val="3337332A"/>
    <w:rsid w:val="3340425B"/>
    <w:rsid w:val="3342352E"/>
    <w:rsid w:val="33456FBB"/>
    <w:rsid w:val="334710FD"/>
    <w:rsid w:val="33482301"/>
    <w:rsid w:val="334A185F"/>
    <w:rsid w:val="334A2C18"/>
    <w:rsid w:val="334F4DF2"/>
    <w:rsid w:val="33511481"/>
    <w:rsid w:val="335440B8"/>
    <w:rsid w:val="33602DF3"/>
    <w:rsid w:val="33615490"/>
    <w:rsid w:val="336328FB"/>
    <w:rsid w:val="336678C7"/>
    <w:rsid w:val="3367660A"/>
    <w:rsid w:val="336E626D"/>
    <w:rsid w:val="33757DF2"/>
    <w:rsid w:val="33770A11"/>
    <w:rsid w:val="337B0E24"/>
    <w:rsid w:val="337D2FC8"/>
    <w:rsid w:val="337E646E"/>
    <w:rsid w:val="337E662A"/>
    <w:rsid w:val="33825414"/>
    <w:rsid w:val="33840A6F"/>
    <w:rsid w:val="338502B5"/>
    <w:rsid w:val="33893352"/>
    <w:rsid w:val="338955C8"/>
    <w:rsid w:val="338D69D1"/>
    <w:rsid w:val="339040BA"/>
    <w:rsid w:val="3393152C"/>
    <w:rsid w:val="3395388D"/>
    <w:rsid w:val="339729D8"/>
    <w:rsid w:val="33973079"/>
    <w:rsid w:val="33995C95"/>
    <w:rsid w:val="339F6124"/>
    <w:rsid w:val="339F7DEB"/>
    <w:rsid w:val="33A04C4B"/>
    <w:rsid w:val="33A505A4"/>
    <w:rsid w:val="33A54791"/>
    <w:rsid w:val="33A6628E"/>
    <w:rsid w:val="33A935A0"/>
    <w:rsid w:val="33B25D61"/>
    <w:rsid w:val="33B26A7D"/>
    <w:rsid w:val="33B33E4E"/>
    <w:rsid w:val="33B42116"/>
    <w:rsid w:val="33B62658"/>
    <w:rsid w:val="33B90174"/>
    <w:rsid w:val="33C22E33"/>
    <w:rsid w:val="33C802AB"/>
    <w:rsid w:val="33C96887"/>
    <w:rsid w:val="33CA1312"/>
    <w:rsid w:val="33CF3136"/>
    <w:rsid w:val="33D01A2C"/>
    <w:rsid w:val="33D04E2D"/>
    <w:rsid w:val="33D27D52"/>
    <w:rsid w:val="33D4208D"/>
    <w:rsid w:val="33D94384"/>
    <w:rsid w:val="33DB0AAD"/>
    <w:rsid w:val="33DC1F15"/>
    <w:rsid w:val="33DD5528"/>
    <w:rsid w:val="33E04449"/>
    <w:rsid w:val="33E505BB"/>
    <w:rsid w:val="33E5338D"/>
    <w:rsid w:val="33E57E96"/>
    <w:rsid w:val="33E642D0"/>
    <w:rsid w:val="33E76131"/>
    <w:rsid w:val="33E826CD"/>
    <w:rsid w:val="33E83093"/>
    <w:rsid w:val="33EB0C1D"/>
    <w:rsid w:val="33EF61D1"/>
    <w:rsid w:val="33F00D0E"/>
    <w:rsid w:val="33F14A1C"/>
    <w:rsid w:val="33F31CFB"/>
    <w:rsid w:val="33FA5224"/>
    <w:rsid w:val="33FC774A"/>
    <w:rsid w:val="33FE62C6"/>
    <w:rsid w:val="340115C9"/>
    <w:rsid w:val="34045D23"/>
    <w:rsid w:val="34055632"/>
    <w:rsid w:val="340946E0"/>
    <w:rsid w:val="340C30F9"/>
    <w:rsid w:val="340C5531"/>
    <w:rsid w:val="340E0D4C"/>
    <w:rsid w:val="340E26F8"/>
    <w:rsid w:val="341152C8"/>
    <w:rsid w:val="34123E20"/>
    <w:rsid w:val="34145169"/>
    <w:rsid w:val="34145859"/>
    <w:rsid w:val="3418459E"/>
    <w:rsid w:val="341D4065"/>
    <w:rsid w:val="341F2C9E"/>
    <w:rsid w:val="3420738B"/>
    <w:rsid w:val="342860F7"/>
    <w:rsid w:val="34297CD9"/>
    <w:rsid w:val="3430330D"/>
    <w:rsid w:val="343117A7"/>
    <w:rsid w:val="343351E7"/>
    <w:rsid w:val="343A291A"/>
    <w:rsid w:val="343C0E4C"/>
    <w:rsid w:val="343D0231"/>
    <w:rsid w:val="34433C9B"/>
    <w:rsid w:val="34482A65"/>
    <w:rsid w:val="344A05E0"/>
    <w:rsid w:val="344F1F8F"/>
    <w:rsid w:val="34523A06"/>
    <w:rsid w:val="3454790D"/>
    <w:rsid w:val="345D744B"/>
    <w:rsid w:val="346023CE"/>
    <w:rsid w:val="34667B4C"/>
    <w:rsid w:val="34697325"/>
    <w:rsid w:val="346D5C81"/>
    <w:rsid w:val="346D7D17"/>
    <w:rsid w:val="347032D5"/>
    <w:rsid w:val="347C2BA9"/>
    <w:rsid w:val="348022E1"/>
    <w:rsid w:val="34816E9B"/>
    <w:rsid w:val="348716C8"/>
    <w:rsid w:val="34875101"/>
    <w:rsid w:val="34892015"/>
    <w:rsid w:val="348E7846"/>
    <w:rsid w:val="34914F40"/>
    <w:rsid w:val="349165A1"/>
    <w:rsid w:val="349233A6"/>
    <w:rsid w:val="3493708A"/>
    <w:rsid w:val="349614AB"/>
    <w:rsid w:val="34964C68"/>
    <w:rsid w:val="349654BB"/>
    <w:rsid w:val="34981B56"/>
    <w:rsid w:val="349B15FF"/>
    <w:rsid w:val="34A04029"/>
    <w:rsid w:val="34A044E2"/>
    <w:rsid w:val="34A62CA5"/>
    <w:rsid w:val="34AC52BB"/>
    <w:rsid w:val="34AD185A"/>
    <w:rsid w:val="34C4041E"/>
    <w:rsid w:val="34CC08A0"/>
    <w:rsid w:val="34CE08C3"/>
    <w:rsid w:val="34CE486D"/>
    <w:rsid w:val="34D17D5E"/>
    <w:rsid w:val="34D350BC"/>
    <w:rsid w:val="34DD133E"/>
    <w:rsid w:val="34DE33C1"/>
    <w:rsid w:val="34E00D83"/>
    <w:rsid w:val="34E20952"/>
    <w:rsid w:val="34E412BE"/>
    <w:rsid w:val="34E51F5E"/>
    <w:rsid w:val="34E81910"/>
    <w:rsid w:val="34EA3C56"/>
    <w:rsid w:val="34F03ADA"/>
    <w:rsid w:val="34F1058C"/>
    <w:rsid w:val="34F2046B"/>
    <w:rsid w:val="34F54B6F"/>
    <w:rsid w:val="34F71FC4"/>
    <w:rsid w:val="34F87E4B"/>
    <w:rsid w:val="35010F06"/>
    <w:rsid w:val="350119CE"/>
    <w:rsid w:val="35056479"/>
    <w:rsid w:val="35062EA5"/>
    <w:rsid w:val="350927AA"/>
    <w:rsid w:val="350B5A46"/>
    <w:rsid w:val="350C3C3D"/>
    <w:rsid w:val="350F528E"/>
    <w:rsid w:val="35156B35"/>
    <w:rsid w:val="3516380D"/>
    <w:rsid w:val="35163B54"/>
    <w:rsid w:val="351A3AD6"/>
    <w:rsid w:val="35222482"/>
    <w:rsid w:val="352738D1"/>
    <w:rsid w:val="3527438A"/>
    <w:rsid w:val="352E07CD"/>
    <w:rsid w:val="352E61B0"/>
    <w:rsid w:val="3531019F"/>
    <w:rsid w:val="35390BFD"/>
    <w:rsid w:val="35393871"/>
    <w:rsid w:val="353D24A8"/>
    <w:rsid w:val="353F48B0"/>
    <w:rsid w:val="35451479"/>
    <w:rsid w:val="354629C4"/>
    <w:rsid w:val="35474F8B"/>
    <w:rsid w:val="35475D75"/>
    <w:rsid w:val="3548620B"/>
    <w:rsid w:val="354A65C7"/>
    <w:rsid w:val="35504F71"/>
    <w:rsid w:val="355340F6"/>
    <w:rsid w:val="355657AF"/>
    <w:rsid w:val="35590A6A"/>
    <w:rsid w:val="355B574A"/>
    <w:rsid w:val="355D639D"/>
    <w:rsid w:val="35600738"/>
    <w:rsid w:val="356415AD"/>
    <w:rsid w:val="35643D92"/>
    <w:rsid w:val="35667915"/>
    <w:rsid w:val="35695509"/>
    <w:rsid w:val="35697046"/>
    <w:rsid w:val="356A5010"/>
    <w:rsid w:val="356C6AA3"/>
    <w:rsid w:val="356D185C"/>
    <w:rsid w:val="357007D3"/>
    <w:rsid w:val="35722B74"/>
    <w:rsid w:val="35744C8F"/>
    <w:rsid w:val="35760F76"/>
    <w:rsid w:val="357D2FA9"/>
    <w:rsid w:val="357E21C4"/>
    <w:rsid w:val="358528D3"/>
    <w:rsid w:val="358673BC"/>
    <w:rsid w:val="35875D65"/>
    <w:rsid w:val="3588040F"/>
    <w:rsid w:val="358B7A10"/>
    <w:rsid w:val="358E3B95"/>
    <w:rsid w:val="358F7501"/>
    <w:rsid w:val="35902240"/>
    <w:rsid w:val="35912A27"/>
    <w:rsid w:val="359209E3"/>
    <w:rsid w:val="35941353"/>
    <w:rsid w:val="359415FF"/>
    <w:rsid w:val="35942CAC"/>
    <w:rsid w:val="3598023C"/>
    <w:rsid w:val="35990DF6"/>
    <w:rsid w:val="359A4AAF"/>
    <w:rsid w:val="359F65B6"/>
    <w:rsid w:val="35A30AD6"/>
    <w:rsid w:val="35A32B0A"/>
    <w:rsid w:val="35A52EBE"/>
    <w:rsid w:val="35A66665"/>
    <w:rsid w:val="35A708DF"/>
    <w:rsid w:val="35A850A3"/>
    <w:rsid w:val="35A862B2"/>
    <w:rsid w:val="35AB1C72"/>
    <w:rsid w:val="35AB313F"/>
    <w:rsid w:val="35B40211"/>
    <w:rsid w:val="35B72FA2"/>
    <w:rsid w:val="35B83C0D"/>
    <w:rsid w:val="35BE0F1F"/>
    <w:rsid w:val="35BF77AB"/>
    <w:rsid w:val="35C24D17"/>
    <w:rsid w:val="35C62E14"/>
    <w:rsid w:val="35C91C9F"/>
    <w:rsid w:val="35C9258A"/>
    <w:rsid w:val="35CA128E"/>
    <w:rsid w:val="35D42A8C"/>
    <w:rsid w:val="35D715F2"/>
    <w:rsid w:val="35DE78AE"/>
    <w:rsid w:val="35DF7CC2"/>
    <w:rsid w:val="35E1554A"/>
    <w:rsid w:val="35E62C43"/>
    <w:rsid w:val="35E63587"/>
    <w:rsid w:val="35E67233"/>
    <w:rsid w:val="35EE2E26"/>
    <w:rsid w:val="35F0319C"/>
    <w:rsid w:val="35F25212"/>
    <w:rsid w:val="35F42277"/>
    <w:rsid w:val="36001752"/>
    <w:rsid w:val="36025334"/>
    <w:rsid w:val="360471DF"/>
    <w:rsid w:val="3606559A"/>
    <w:rsid w:val="3609472B"/>
    <w:rsid w:val="360C7231"/>
    <w:rsid w:val="360F51E8"/>
    <w:rsid w:val="36126DCE"/>
    <w:rsid w:val="36162C9C"/>
    <w:rsid w:val="36170F5C"/>
    <w:rsid w:val="36194392"/>
    <w:rsid w:val="3619717E"/>
    <w:rsid w:val="36207D0E"/>
    <w:rsid w:val="36211FEC"/>
    <w:rsid w:val="36226FCA"/>
    <w:rsid w:val="36241357"/>
    <w:rsid w:val="362D673E"/>
    <w:rsid w:val="36326838"/>
    <w:rsid w:val="363A32B4"/>
    <w:rsid w:val="363B38E4"/>
    <w:rsid w:val="36401EE5"/>
    <w:rsid w:val="36403490"/>
    <w:rsid w:val="364418E6"/>
    <w:rsid w:val="36477E73"/>
    <w:rsid w:val="364A4438"/>
    <w:rsid w:val="364B2495"/>
    <w:rsid w:val="3650199F"/>
    <w:rsid w:val="3652453B"/>
    <w:rsid w:val="365345EC"/>
    <w:rsid w:val="3655438F"/>
    <w:rsid w:val="36570685"/>
    <w:rsid w:val="365A27E7"/>
    <w:rsid w:val="366018A9"/>
    <w:rsid w:val="36637995"/>
    <w:rsid w:val="366726AA"/>
    <w:rsid w:val="366F3158"/>
    <w:rsid w:val="367120FF"/>
    <w:rsid w:val="367A1964"/>
    <w:rsid w:val="367B0D65"/>
    <w:rsid w:val="36831581"/>
    <w:rsid w:val="3684191A"/>
    <w:rsid w:val="36850134"/>
    <w:rsid w:val="368505F7"/>
    <w:rsid w:val="36853FCE"/>
    <w:rsid w:val="368644B0"/>
    <w:rsid w:val="3686506F"/>
    <w:rsid w:val="36894162"/>
    <w:rsid w:val="368A4697"/>
    <w:rsid w:val="368B4422"/>
    <w:rsid w:val="36910035"/>
    <w:rsid w:val="36915AD6"/>
    <w:rsid w:val="369262BE"/>
    <w:rsid w:val="369607AC"/>
    <w:rsid w:val="36982146"/>
    <w:rsid w:val="369B5EFB"/>
    <w:rsid w:val="369F50E2"/>
    <w:rsid w:val="36A03BF0"/>
    <w:rsid w:val="36AB0563"/>
    <w:rsid w:val="36AB4A13"/>
    <w:rsid w:val="36AE5152"/>
    <w:rsid w:val="36B37E6E"/>
    <w:rsid w:val="36B73EE2"/>
    <w:rsid w:val="36B96B90"/>
    <w:rsid w:val="36BB6F92"/>
    <w:rsid w:val="36BD5DAA"/>
    <w:rsid w:val="36C01FF6"/>
    <w:rsid w:val="36C15861"/>
    <w:rsid w:val="36C17EEE"/>
    <w:rsid w:val="36C51CBC"/>
    <w:rsid w:val="36C9059C"/>
    <w:rsid w:val="36C91B47"/>
    <w:rsid w:val="36D14130"/>
    <w:rsid w:val="36D15E63"/>
    <w:rsid w:val="36D24631"/>
    <w:rsid w:val="36D31366"/>
    <w:rsid w:val="36D32EE9"/>
    <w:rsid w:val="36D4358D"/>
    <w:rsid w:val="36DB51E2"/>
    <w:rsid w:val="36DB5AA2"/>
    <w:rsid w:val="36E4277B"/>
    <w:rsid w:val="36E954BD"/>
    <w:rsid w:val="36EB6821"/>
    <w:rsid w:val="36EE0585"/>
    <w:rsid w:val="36EE350F"/>
    <w:rsid w:val="36F74CFE"/>
    <w:rsid w:val="36F87DF1"/>
    <w:rsid w:val="36FA0446"/>
    <w:rsid w:val="370009BA"/>
    <w:rsid w:val="37001048"/>
    <w:rsid w:val="370229DF"/>
    <w:rsid w:val="37024FE0"/>
    <w:rsid w:val="37026C0D"/>
    <w:rsid w:val="37043134"/>
    <w:rsid w:val="3705304B"/>
    <w:rsid w:val="370A6684"/>
    <w:rsid w:val="370B4751"/>
    <w:rsid w:val="371744A7"/>
    <w:rsid w:val="3719409D"/>
    <w:rsid w:val="371E5EA5"/>
    <w:rsid w:val="372A0940"/>
    <w:rsid w:val="372C2048"/>
    <w:rsid w:val="372D40C5"/>
    <w:rsid w:val="372F2DC9"/>
    <w:rsid w:val="372F3A4B"/>
    <w:rsid w:val="37376D90"/>
    <w:rsid w:val="373A1B2C"/>
    <w:rsid w:val="373A5F73"/>
    <w:rsid w:val="373C2C31"/>
    <w:rsid w:val="37410B81"/>
    <w:rsid w:val="37414283"/>
    <w:rsid w:val="37417449"/>
    <w:rsid w:val="37426ABC"/>
    <w:rsid w:val="374362E9"/>
    <w:rsid w:val="37456AE5"/>
    <w:rsid w:val="374D269A"/>
    <w:rsid w:val="374D2D64"/>
    <w:rsid w:val="37523AE6"/>
    <w:rsid w:val="375423DF"/>
    <w:rsid w:val="375A60E0"/>
    <w:rsid w:val="375B1434"/>
    <w:rsid w:val="375F60DF"/>
    <w:rsid w:val="37602B7E"/>
    <w:rsid w:val="3766529D"/>
    <w:rsid w:val="376904DD"/>
    <w:rsid w:val="376978AE"/>
    <w:rsid w:val="376D58E0"/>
    <w:rsid w:val="376F3581"/>
    <w:rsid w:val="3777797C"/>
    <w:rsid w:val="37783E07"/>
    <w:rsid w:val="37796E30"/>
    <w:rsid w:val="377E023D"/>
    <w:rsid w:val="377E037C"/>
    <w:rsid w:val="37807551"/>
    <w:rsid w:val="378236C1"/>
    <w:rsid w:val="378400EB"/>
    <w:rsid w:val="378817DC"/>
    <w:rsid w:val="3789311A"/>
    <w:rsid w:val="37893265"/>
    <w:rsid w:val="378C393C"/>
    <w:rsid w:val="378F24A1"/>
    <w:rsid w:val="378F2F25"/>
    <w:rsid w:val="3791354B"/>
    <w:rsid w:val="379317E0"/>
    <w:rsid w:val="379373C7"/>
    <w:rsid w:val="37980794"/>
    <w:rsid w:val="379A1FB5"/>
    <w:rsid w:val="379D4619"/>
    <w:rsid w:val="37A61E5A"/>
    <w:rsid w:val="37A77885"/>
    <w:rsid w:val="37A8112E"/>
    <w:rsid w:val="37AE5ED4"/>
    <w:rsid w:val="37BB33AA"/>
    <w:rsid w:val="37BB5A90"/>
    <w:rsid w:val="37BF4F46"/>
    <w:rsid w:val="37C15132"/>
    <w:rsid w:val="37C30243"/>
    <w:rsid w:val="37C51947"/>
    <w:rsid w:val="37CD2D0C"/>
    <w:rsid w:val="37D37BB3"/>
    <w:rsid w:val="37D65761"/>
    <w:rsid w:val="37D76283"/>
    <w:rsid w:val="37D81127"/>
    <w:rsid w:val="37D8437D"/>
    <w:rsid w:val="37E14C62"/>
    <w:rsid w:val="37E92B1A"/>
    <w:rsid w:val="37F24C33"/>
    <w:rsid w:val="37F924D2"/>
    <w:rsid w:val="37FA6592"/>
    <w:rsid w:val="37FB1EDA"/>
    <w:rsid w:val="3801125D"/>
    <w:rsid w:val="38087077"/>
    <w:rsid w:val="380B06D2"/>
    <w:rsid w:val="380D4A75"/>
    <w:rsid w:val="381D76AE"/>
    <w:rsid w:val="381F5CFB"/>
    <w:rsid w:val="382870B4"/>
    <w:rsid w:val="382E73C7"/>
    <w:rsid w:val="38336B2D"/>
    <w:rsid w:val="3836391D"/>
    <w:rsid w:val="38397687"/>
    <w:rsid w:val="383C3B6A"/>
    <w:rsid w:val="383E3E78"/>
    <w:rsid w:val="38460297"/>
    <w:rsid w:val="38480783"/>
    <w:rsid w:val="384846C7"/>
    <w:rsid w:val="384849F1"/>
    <w:rsid w:val="3851684A"/>
    <w:rsid w:val="38557427"/>
    <w:rsid w:val="3858132A"/>
    <w:rsid w:val="385C22F7"/>
    <w:rsid w:val="385F7F0D"/>
    <w:rsid w:val="38636006"/>
    <w:rsid w:val="386551CC"/>
    <w:rsid w:val="386818D9"/>
    <w:rsid w:val="38685F47"/>
    <w:rsid w:val="386A49DD"/>
    <w:rsid w:val="386D1C23"/>
    <w:rsid w:val="38710C21"/>
    <w:rsid w:val="38765160"/>
    <w:rsid w:val="387874C8"/>
    <w:rsid w:val="387C1BBB"/>
    <w:rsid w:val="387D781C"/>
    <w:rsid w:val="387D7C01"/>
    <w:rsid w:val="387E09C4"/>
    <w:rsid w:val="387E6B6F"/>
    <w:rsid w:val="387F7CF0"/>
    <w:rsid w:val="3880662D"/>
    <w:rsid w:val="388145B1"/>
    <w:rsid w:val="388150DD"/>
    <w:rsid w:val="388A234F"/>
    <w:rsid w:val="38924862"/>
    <w:rsid w:val="3897033F"/>
    <w:rsid w:val="38973E18"/>
    <w:rsid w:val="3898708B"/>
    <w:rsid w:val="389C2463"/>
    <w:rsid w:val="389E45C3"/>
    <w:rsid w:val="38A324D1"/>
    <w:rsid w:val="38A71503"/>
    <w:rsid w:val="38A7777C"/>
    <w:rsid w:val="38AB65AE"/>
    <w:rsid w:val="38AB7AC0"/>
    <w:rsid w:val="38AC74C6"/>
    <w:rsid w:val="38B130B9"/>
    <w:rsid w:val="38B63AC2"/>
    <w:rsid w:val="38B84D90"/>
    <w:rsid w:val="38B933C9"/>
    <w:rsid w:val="38BD13FF"/>
    <w:rsid w:val="38BD2027"/>
    <w:rsid w:val="38BE01CE"/>
    <w:rsid w:val="38BF0EC9"/>
    <w:rsid w:val="38C26F8F"/>
    <w:rsid w:val="38D40993"/>
    <w:rsid w:val="38DA238F"/>
    <w:rsid w:val="38DD3965"/>
    <w:rsid w:val="38E04AF5"/>
    <w:rsid w:val="38E06B23"/>
    <w:rsid w:val="38E10083"/>
    <w:rsid w:val="38E75026"/>
    <w:rsid w:val="38E925DC"/>
    <w:rsid w:val="38EF4906"/>
    <w:rsid w:val="38EF71DB"/>
    <w:rsid w:val="38F010F1"/>
    <w:rsid w:val="38F029E2"/>
    <w:rsid w:val="38F13D2E"/>
    <w:rsid w:val="38F21861"/>
    <w:rsid w:val="38F256E4"/>
    <w:rsid w:val="38F55275"/>
    <w:rsid w:val="38F55CB4"/>
    <w:rsid w:val="38F80B6A"/>
    <w:rsid w:val="38F840C1"/>
    <w:rsid w:val="38FB6B25"/>
    <w:rsid w:val="390B65C9"/>
    <w:rsid w:val="390D7134"/>
    <w:rsid w:val="390E480B"/>
    <w:rsid w:val="3912092B"/>
    <w:rsid w:val="391542DB"/>
    <w:rsid w:val="3916585F"/>
    <w:rsid w:val="39174266"/>
    <w:rsid w:val="391875BB"/>
    <w:rsid w:val="391C183F"/>
    <w:rsid w:val="391D05A9"/>
    <w:rsid w:val="39227E96"/>
    <w:rsid w:val="39234C61"/>
    <w:rsid w:val="39263FA1"/>
    <w:rsid w:val="39281D17"/>
    <w:rsid w:val="39282EC5"/>
    <w:rsid w:val="392B65A5"/>
    <w:rsid w:val="39353720"/>
    <w:rsid w:val="39444508"/>
    <w:rsid w:val="394564B2"/>
    <w:rsid w:val="39467771"/>
    <w:rsid w:val="39472E01"/>
    <w:rsid w:val="394A615B"/>
    <w:rsid w:val="394C67DC"/>
    <w:rsid w:val="395001DF"/>
    <w:rsid w:val="39501378"/>
    <w:rsid w:val="3959569C"/>
    <w:rsid w:val="395F334E"/>
    <w:rsid w:val="3962620A"/>
    <w:rsid w:val="3965159F"/>
    <w:rsid w:val="39663C6E"/>
    <w:rsid w:val="396C3DB7"/>
    <w:rsid w:val="396D1567"/>
    <w:rsid w:val="396D1DB1"/>
    <w:rsid w:val="397548D3"/>
    <w:rsid w:val="39757D43"/>
    <w:rsid w:val="398872BE"/>
    <w:rsid w:val="398A1527"/>
    <w:rsid w:val="398A2FCE"/>
    <w:rsid w:val="398A690F"/>
    <w:rsid w:val="398F0146"/>
    <w:rsid w:val="398F0C47"/>
    <w:rsid w:val="3991616A"/>
    <w:rsid w:val="39921E57"/>
    <w:rsid w:val="39943037"/>
    <w:rsid w:val="39962B28"/>
    <w:rsid w:val="399B10C2"/>
    <w:rsid w:val="399D3323"/>
    <w:rsid w:val="399E7844"/>
    <w:rsid w:val="39A0227C"/>
    <w:rsid w:val="39A42B72"/>
    <w:rsid w:val="39A56230"/>
    <w:rsid w:val="39A63656"/>
    <w:rsid w:val="39AB4F34"/>
    <w:rsid w:val="39AD709C"/>
    <w:rsid w:val="39AE3CF9"/>
    <w:rsid w:val="39B31A40"/>
    <w:rsid w:val="39B3631D"/>
    <w:rsid w:val="39B44D5A"/>
    <w:rsid w:val="39B8789A"/>
    <w:rsid w:val="39BC4912"/>
    <w:rsid w:val="39BE0EB5"/>
    <w:rsid w:val="39BE75F8"/>
    <w:rsid w:val="39CA68BD"/>
    <w:rsid w:val="39CC09C1"/>
    <w:rsid w:val="39CF665A"/>
    <w:rsid w:val="39CF7DA0"/>
    <w:rsid w:val="39D4480B"/>
    <w:rsid w:val="39D57BB7"/>
    <w:rsid w:val="39DC3358"/>
    <w:rsid w:val="39DC45AB"/>
    <w:rsid w:val="39DD03BF"/>
    <w:rsid w:val="39E70914"/>
    <w:rsid w:val="39E720D5"/>
    <w:rsid w:val="39EA332C"/>
    <w:rsid w:val="39EC3F72"/>
    <w:rsid w:val="39EF61E7"/>
    <w:rsid w:val="39EF79B8"/>
    <w:rsid w:val="39EF7E20"/>
    <w:rsid w:val="39FE1A61"/>
    <w:rsid w:val="39FE4487"/>
    <w:rsid w:val="39FF35DF"/>
    <w:rsid w:val="3A013AB0"/>
    <w:rsid w:val="3A070C3F"/>
    <w:rsid w:val="3A0C66DF"/>
    <w:rsid w:val="3A0D38CD"/>
    <w:rsid w:val="3A0E3871"/>
    <w:rsid w:val="3A0F5B82"/>
    <w:rsid w:val="3A132240"/>
    <w:rsid w:val="3A140091"/>
    <w:rsid w:val="3A1953FF"/>
    <w:rsid w:val="3A1E25E8"/>
    <w:rsid w:val="3A1F2D13"/>
    <w:rsid w:val="3A220D89"/>
    <w:rsid w:val="3A252301"/>
    <w:rsid w:val="3A257A0F"/>
    <w:rsid w:val="3A2811E3"/>
    <w:rsid w:val="3A287561"/>
    <w:rsid w:val="3A315238"/>
    <w:rsid w:val="3A333070"/>
    <w:rsid w:val="3A351067"/>
    <w:rsid w:val="3A38666C"/>
    <w:rsid w:val="3A3D7864"/>
    <w:rsid w:val="3A410F2B"/>
    <w:rsid w:val="3A4243FC"/>
    <w:rsid w:val="3A466A3A"/>
    <w:rsid w:val="3A4C216F"/>
    <w:rsid w:val="3A5A26BE"/>
    <w:rsid w:val="3A5D0ABB"/>
    <w:rsid w:val="3A5E13BE"/>
    <w:rsid w:val="3A601130"/>
    <w:rsid w:val="3A64206E"/>
    <w:rsid w:val="3A657340"/>
    <w:rsid w:val="3A663D8B"/>
    <w:rsid w:val="3A6B6E9E"/>
    <w:rsid w:val="3A6E4DAD"/>
    <w:rsid w:val="3A6F2953"/>
    <w:rsid w:val="3A724718"/>
    <w:rsid w:val="3A745341"/>
    <w:rsid w:val="3A765AC4"/>
    <w:rsid w:val="3A84323B"/>
    <w:rsid w:val="3A871F12"/>
    <w:rsid w:val="3A895E2F"/>
    <w:rsid w:val="3A900A91"/>
    <w:rsid w:val="3A914AF8"/>
    <w:rsid w:val="3A957114"/>
    <w:rsid w:val="3A964D24"/>
    <w:rsid w:val="3A9713C3"/>
    <w:rsid w:val="3A995D32"/>
    <w:rsid w:val="3A9B100D"/>
    <w:rsid w:val="3A9B7188"/>
    <w:rsid w:val="3AA00278"/>
    <w:rsid w:val="3AA2262A"/>
    <w:rsid w:val="3AAB598F"/>
    <w:rsid w:val="3AB474BD"/>
    <w:rsid w:val="3AB637A0"/>
    <w:rsid w:val="3AB67C3B"/>
    <w:rsid w:val="3AB7004D"/>
    <w:rsid w:val="3AB9328D"/>
    <w:rsid w:val="3ABC55BF"/>
    <w:rsid w:val="3ABE5072"/>
    <w:rsid w:val="3ABF3EA8"/>
    <w:rsid w:val="3AC07AA3"/>
    <w:rsid w:val="3AC17D80"/>
    <w:rsid w:val="3AC239F8"/>
    <w:rsid w:val="3AC30208"/>
    <w:rsid w:val="3AC854CE"/>
    <w:rsid w:val="3ACA2C52"/>
    <w:rsid w:val="3ACC1369"/>
    <w:rsid w:val="3ACC15B5"/>
    <w:rsid w:val="3AD03231"/>
    <w:rsid w:val="3AD168FB"/>
    <w:rsid w:val="3AD40B79"/>
    <w:rsid w:val="3AD96BBC"/>
    <w:rsid w:val="3ADA7AC2"/>
    <w:rsid w:val="3ADF17E2"/>
    <w:rsid w:val="3AE64D84"/>
    <w:rsid w:val="3AE82343"/>
    <w:rsid w:val="3AEA0631"/>
    <w:rsid w:val="3AEC16B5"/>
    <w:rsid w:val="3AF25B71"/>
    <w:rsid w:val="3AF42FFB"/>
    <w:rsid w:val="3AFA6992"/>
    <w:rsid w:val="3AFE3246"/>
    <w:rsid w:val="3B021CBF"/>
    <w:rsid w:val="3B027842"/>
    <w:rsid w:val="3B070996"/>
    <w:rsid w:val="3B072F9B"/>
    <w:rsid w:val="3B073DDB"/>
    <w:rsid w:val="3B0C4423"/>
    <w:rsid w:val="3B176C74"/>
    <w:rsid w:val="3B1A543D"/>
    <w:rsid w:val="3B1B5188"/>
    <w:rsid w:val="3B1E1D39"/>
    <w:rsid w:val="3B1F243A"/>
    <w:rsid w:val="3B1F41F7"/>
    <w:rsid w:val="3B2377B5"/>
    <w:rsid w:val="3B2461B7"/>
    <w:rsid w:val="3B3032A4"/>
    <w:rsid w:val="3B3339CA"/>
    <w:rsid w:val="3B3C2104"/>
    <w:rsid w:val="3B3D6F67"/>
    <w:rsid w:val="3B3E0922"/>
    <w:rsid w:val="3B3E1F32"/>
    <w:rsid w:val="3B3F2919"/>
    <w:rsid w:val="3B413353"/>
    <w:rsid w:val="3B474C85"/>
    <w:rsid w:val="3B4D356B"/>
    <w:rsid w:val="3B552399"/>
    <w:rsid w:val="3B563DA9"/>
    <w:rsid w:val="3B577681"/>
    <w:rsid w:val="3B5922BC"/>
    <w:rsid w:val="3B592B14"/>
    <w:rsid w:val="3B5F19EC"/>
    <w:rsid w:val="3B5F2736"/>
    <w:rsid w:val="3B644D6F"/>
    <w:rsid w:val="3B653B60"/>
    <w:rsid w:val="3B687599"/>
    <w:rsid w:val="3B7225FD"/>
    <w:rsid w:val="3B824942"/>
    <w:rsid w:val="3B836E46"/>
    <w:rsid w:val="3B8928EB"/>
    <w:rsid w:val="3B8B10EB"/>
    <w:rsid w:val="3B8D1B91"/>
    <w:rsid w:val="3B905C95"/>
    <w:rsid w:val="3B9307C6"/>
    <w:rsid w:val="3B951D28"/>
    <w:rsid w:val="3B954D4D"/>
    <w:rsid w:val="3B9A070E"/>
    <w:rsid w:val="3B9A4248"/>
    <w:rsid w:val="3B9B56EB"/>
    <w:rsid w:val="3B9C312A"/>
    <w:rsid w:val="3B9E21E9"/>
    <w:rsid w:val="3BA3450A"/>
    <w:rsid w:val="3BA4737B"/>
    <w:rsid w:val="3BA7078A"/>
    <w:rsid w:val="3BA7078D"/>
    <w:rsid w:val="3BA71BCC"/>
    <w:rsid w:val="3BA92718"/>
    <w:rsid w:val="3BA93DDD"/>
    <w:rsid w:val="3BAB3E99"/>
    <w:rsid w:val="3BAF0A7B"/>
    <w:rsid w:val="3BB023BE"/>
    <w:rsid w:val="3BB174C1"/>
    <w:rsid w:val="3BB3321C"/>
    <w:rsid w:val="3BB42DFC"/>
    <w:rsid w:val="3BB4736D"/>
    <w:rsid w:val="3BB63763"/>
    <w:rsid w:val="3BB82D49"/>
    <w:rsid w:val="3BBB0716"/>
    <w:rsid w:val="3BBB3FFA"/>
    <w:rsid w:val="3BBE3370"/>
    <w:rsid w:val="3BBF51ED"/>
    <w:rsid w:val="3BC17EE3"/>
    <w:rsid w:val="3BC360DD"/>
    <w:rsid w:val="3BC5715C"/>
    <w:rsid w:val="3BC777A2"/>
    <w:rsid w:val="3BC85346"/>
    <w:rsid w:val="3BCC015C"/>
    <w:rsid w:val="3BD553B9"/>
    <w:rsid w:val="3BD607C8"/>
    <w:rsid w:val="3BD76DA1"/>
    <w:rsid w:val="3BD81A50"/>
    <w:rsid w:val="3BD856D4"/>
    <w:rsid w:val="3BD901A6"/>
    <w:rsid w:val="3BDB0195"/>
    <w:rsid w:val="3BE07A23"/>
    <w:rsid w:val="3BE33B19"/>
    <w:rsid w:val="3BE658DE"/>
    <w:rsid w:val="3BE713B2"/>
    <w:rsid w:val="3BE74B54"/>
    <w:rsid w:val="3BEC07A7"/>
    <w:rsid w:val="3BEF165E"/>
    <w:rsid w:val="3BEF3F00"/>
    <w:rsid w:val="3BF65846"/>
    <w:rsid w:val="3BF9334E"/>
    <w:rsid w:val="3BFF52B8"/>
    <w:rsid w:val="3C067646"/>
    <w:rsid w:val="3C073714"/>
    <w:rsid w:val="3C0A4D16"/>
    <w:rsid w:val="3C0C75C8"/>
    <w:rsid w:val="3C0D5F4B"/>
    <w:rsid w:val="3C105D66"/>
    <w:rsid w:val="3C112F08"/>
    <w:rsid w:val="3C143996"/>
    <w:rsid w:val="3C185F2E"/>
    <w:rsid w:val="3C1D19E8"/>
    <w:rsid w:val="3C1E31EA"/>
    <w:rsid w:val="3C1F7906"/>
    <w:rsid w:val="3C2550A8"/>
    <w:rsid w:val="3C265C15"/>
    <w:rsid w:val="3C270755"/>
    <w:rsid w:val="3C275C28"/>
    <w:rsid w:val="3C282AC4"/>
    <w:rsid w:val="3C29790E"/>
    <w:rsid w:val="3C2F2BFB"/>
    <w:rsid w:val="3C32191D"/>
    <w:rsid w:val="3C33010B"/>
    <w:rsid w:val="3C355E39"/>
    <w:rsid w:val="3C37106F"/>
    <w:rsid w:val="3C3B23C6"/>
    <w:rsid w:val="3C444715"/>
    <w:rsid w:val="3C475B7B"/>
    <w:rsid w:val="3C476562"/>
    <w:rsid w:val="3C4C0937"/>
    <w:rsid w:val="3C4D3A04"/>
    <w:rsid w:val="3C4F3FAC"/>
    <w:rsid w:val="3C5214E1"/>
    <w:rsid w:val="3C532152"/>
    <w:rsid w:val="3C5354E2"/>
    <w:rsid w:val="3C5E6464"/>
    <w:rsid w:val="3C5E7B59"/>
    <w:rsid w:val="3C5F3562"/>
    <w:rsid w:val="3C63188B"/>
    <w:rsid w:val="3C633965"/>
    <w:rsid w:val="3C6416C6"/>
    <w:rsid w:val="3C675B71"/>
    <w:rsid w:val="3C6C1327"/>
    <w:rsid w:val="3C70200E"/>
    <w:rsid w:val="3C7130A8"/>
    <w:rsid w:val="3C7308EF"/>
    <w:rsid w:val="3C7A0A78"/>
    <w:rsid w:val="3C7E079B"/>
    <w:rsid w:val="3C7F491E"/>
    <w:rsid w:val="3C8972A1"/>
    <w:rsid w:val="3C8C20E2"/>
    <w:rsid w:val="3C8D0919"/>
    <w:rsid w:val="3C980474"/>
    <w:rsid w:val="3C9815F8"/>
    <w:rsid w:val="3C9E35F5"/>
    <w:rsid w:val="3CA215FC"/>
    <w:rsid w:val="3CA86813"/>
    <w:rsid w:val="3CA95A5D"/>
    <w:rsid w:val="3CB12230"/>
    <w:rsid w:val="3CB53FEF"/>
    <w:rsid w:val="3CBB52CB"/>
    <w:rsid w:val="3CC209AE"/>
    <w:rsid w:val="3CC674BA"/>
    <w:rsid w:val="3CC73046"/>
    <w:rsid w:val="3CCA560A"/>
    <w:rsid w:val="3CD20F88"/>
    <w:rsid w:val="3CD41BAB"/>
    <w:rsid w:val="3CD432EC"/>
    <w:rsid w:val="3CD733E4"/>
    <w:rsid w:val="3CDC3E17"/>
    <w:rsid w:val="3CDC7EA3"/>
    <w:rsid w:val="3CDD0AD7"/>
    <w:rsid w:val="3CDD2778"/>
    <w:rsid w:val="3CE05F1E"/>
    <w:rsid w:val="3CE154B4"/>
    <w:rsid w:val="3CE33863"/>
    <w:rsid w:val="3CE65FBC"/>
    <w:rsid w:val="3CE9344E"/>
    <w:rsid w:val="3CEF3D71"/>
    <w:rsid w:val="3CEF6BBD"/>
    <w:rsid w:val="3CF06556"/>
    <w:rsid w:val="3CF11389"/>
    <w:rsid w:val="3CF2611A"/>
    <w:rsid w:val="3CFB53AD"/>
    <w:rsid w:val="3CFD2706"/>
    <w:rsid w:val="3CFE18E2"/>
    <w:rsid w:val="3D0075B6"/>
    <w:rsid w:val="3D024ECE"/>
    <w:rsid w:val="3D0904A5"/>
    <w:rsid w:val="3D0A3B87"/>
    <w:rsid w:val="3D0A4290"/>
    <w:rsid w:val="3D1039D6"/>
    <w:rsid w:val="3D127F47"/>
    <w:rsid w:val="3D163594"/>
    <w:rsid w:val="3D1803F2"/>
    <w:rsid w:val="3D183F2B"/>
    <w:rsid w:val="3D1A41FD"/>
    <w:rsid w:val="3D1B2399"/>
    <w:rsid w:val="3D220A46"/>
    <w:rsid w:val="3D261514"/>
    <w:rsid w:val="3D275F17"/>
    <w:rsid w:val="3D281BDD"/>
    <w:rsid w:val="3D2A3CC2"/>
    <w:rsid w:val="3D373319"/>
    <w:rsid w:val="3D3A6E98"/>
    <w:rsid w:val="3D442AC3"/>
    <w:rsid w:val="3D442E06"/>
    <w:rsid w:val="3D445321"/>
    <w:rsid w:val="3D476079"/>
    <w:rsid w:val="3D523C6F"/>
    <w:rsid w:val="3D550CB4"/>
    <w:rsid w:val="3D597831"/>
    <w:rsid w:val="3D5B3A00"/>
    <w:rsid w:val="3D5F5915"/>
    <w:rsid w:val="3D6354F5"/>
    <w:rsid w:val="3D644209"/>
    <w:rsid w:val="3D6A0184"/>
    <w:rsid w:val="3D6D7C8C"/>
    <w:rsid w:val="3D6E5A2C"/>
    <w:rsid w:val="3D6F650A"/>
    <w:rsid w:val="3D744D11"/>
    <w:rsid w:val="3D75686F"/>
    <w:rsid w:val="3D757227"/>
    <w:rsid w:val="3D7630C1"/>
    <w:rsid w:val="3D7B545E"/>
    <w:rsid w:val="3D7C433C"/>
    <w:rsid w:val="3D7D0001"/>
    <w:rsid w:val="3D7F7F0D"/>
    <w:rsid w:val="3D8214AE"/>
    <w:rsid w:val="3D85355D"/>
    <w:rsid w:val="3D874275"/>
    <w:rsid w:val="3D880DFB"/>
    <w:rsid w:val="3D8879D0"/>
    <w:rsid w:val="3D8B21D4"/>
    <w:rsid w:val="3D8B741B"/>
    <w:rsid w:val="3D9144BE"/>
    <w:rsid w:val="3D953797"/>
    <w:rsid w:val="3D996096"/>
    <w:rsid w:val="3D9D302D"/>
    <w:rsid w:val="3DA0293A"/>
    <w:rsid w:val="3DA03E84"/>
    <w:rsid w:val="3DA07301"/>
    <w:rsid w:val="3DA7245E"/>
    <w:rsid w:val="3DAA6F16"/>
    <w:rsid w:val="3DAE52C6"/>
    <w:rsid w:val="3DB11EDE"/>
    <w:rsid w:val="3DB27154"/>
    <w:rsid w:val="3DB32692"/>
    <w:rsid w:val="3DBC7CC3"/>
    <w:rsid w:val="3DBF3FFF"/>
    <w:rsid w:val="3DC0146F"/>
    <w:rsid w:val="3DC20A7D"/>
    <w:rsid w:val="3DC3389B"/>
    <w:rsid w:val="3DCC1357"/>
    <w:rsid w:val="3DCE3CE2"/>
    <w:rsid w:val="3DD03F78"/>
    <w:rsid w:val="3DD04DA2"/>
    <w:rsid w:val="3DD15248"/>
    <w:rsid w:val="3DD15B89"/>
    <w:rsid w:val="3DD519B4"/>
    <w:rsid w:val="3DD60300"/>
    <w:rsid w:val="3DE1031D"/>
    <w:rsid w:val="3DE31314"/>
    <w:rsid w:val="3DE45A99"/>
    <w:rsid w:val="3DE62858"/>
    <w:rsid w:val="3DE81546"/>
    <w:rsid w:val="3DEA38D5"/>
    <w:rsid w:val="3DEC2EC3"/>
    <w:rsid w:val="3DEE392F"/>
    <w:rsid w:val="3DF04CD7"/>
    <w:rsid w:val="3DF15DAF"/>
    <w:rsid w:val="3DF212F6"/>
    <w:rsid w:val="3DF25CCE"/>
    <w:rsid w:val="3DF5629E"/>
    <w:rsid w:val="3DF83363"/>
    <w:rsid w:val="3DF9272C"/>
    <w:rsid w:val="3DFA596E"/>
    <w:rsid w:val="3DFC604E"/>
    <w:rsid w:val="3DFC7336"/>
    <w:rsid w:val="3E0606A5"/>
    <w:rsid w:val="3E0B3FA3"/>
    <w:rsid w:val="3E0C1C1E"/>
    <w:rsid w:val="3E0D6E48"/>
    <w:rsid w:val="3E0F6001"/>
    <w:rsid w:val="3E115425"/>
    <w:rsid w:val="3E1B37EA"/>
    <w:rsid w:val="3E2C07C8"/>
    <w:rsid w:val="3E2D5CB4"/>
    <w:rsid w:val="3E2F318B"/>
    <w:rsid w:val="3E344D21"/>
    <w:rsid w:val="3E3C4846"/>
    <w:rsid w:val="3E3D5D8C"/>
    <w:rsid w:val="3E3D7B51"/>
    <w:rsid w:val="3E460F58"/>
    <w:rsid w:val="3E462E33"/>
    <w:rsid w:val="3E4A68AA"/>
    <w:rsid w:val="3E4B6BFC"/>
    <w:rsid w:val="3E5014BB"/>
    <w:rsid w:val="3E515386"/>
    <w:rsid w:val="3E5253B9"/>
    <w:rsid w:val="3E554C9F"/>
    <w:rsid w:val="3E572A24"/>
    <w:rsid w:val="3E585293"/>
    <w:rsid w:val="3E5B0E70"/>
    <w:rsid w:val="3E5C147A"/>
    <w:rsid w:val="3E613B53"/>
    <w:rsid w:val="3E661ACF"/>
    <w:rsid w:val="3E667AF7"/>
    <w:rsid w:val="3E680FC5"/>
    <w:rsid w:val="3E692C3B"/>
    <w:rsid w:val="3E6A423E"/>
    <w:rsid w:val="3E6C6FEE"/>
    <w:rsid w:val="3E6F527C"/>
    <w:rsid w:val="3E701E8B"/>
    <w:rsid w:val="3E706CD5"/>
    <w:rsid w:val="3E716D10"/>
    <w:rsid w:val="3E736ACE"/>
    <w:rsid w:val="3E7803E5"/>
    <w:rsid w:val="3E7A00E0"/>
    <w:rsid w:val="3E7A157B"/>
    <w:rsid w:val="3E836DD5"/>
    <w:rsid w:val="3E8551DA"/>
    <w:rsid w:val="3E863557"/>
    <w:rsid w:val="3E864CDE"/>
    <w:rsid w:val="3E8819CF"/>
    <w:rsid w:val="3E934332"/>
    <w:rsid w:val="3E935DB9"/>
    <w:rsid w:val="3E9504DF"/>
    <w:rsid w:val="3E992C55"/>
    <w:rsid w:val="3E992D59"/>
    <w:rsid w:val="3E9C3A35"/>
    <w:rsid w:val="3E9C6D51"/>
    <w:rsid w:val="3E9E1BF3"/>
    <w:rsid w:val="3E9F773E"/>
    <w:rsid w:val="3EA009EA"/>
    <w:rsid w:val="3EA13F71"/>
    <w:rsid w:val="3EA2470E"/>
    <w:rsid w:val="3EA25B5E"/>
    <w:rsid w:val="3EA30E15"/>
    <w:rsid w:val="3EA71776"/>
    <w:rsid w:val="3EA71A33"/>
    <w:rsid w:val="3EAB62EC"/>
    <w:rsid w:val="3EAD1405"/>
    <w:rsid w:val="3EBA0867"/>
    <w:rsid w:val="3EBD616B"/>
    <w:rsid w:val="3EC2017B"/>
    <w:rsid w:val="3EC31E45"/>
    <w:rsid w:val="3EC373A3"/>
    <w:rsid w:val="3EC75397"/>
    <w:rsid w:val="3EC77D5C"/>
    <w:rsid w:val="3EC86C51"/>
    <w:rsid w:val="3ECB0E0C"/>
    <w:rsid w:val="3ECE3C80"/>
    <w:rsid w:val="3ECE50B5"/>
    <w:rsid w:val="3ECF36E7"/>
    <w:rsid w:val="3ECF7B58"/>
    <w:rsid w:val="3ED46A16"/>
    <w:rsid w:val="3ED8139F"/>
    <w:rsid w:val="3ED91FFE"/>
    <w:rsid w:val="3ED94336"/>
    <w:rsid w:val="3EDA3B9F"/>
    <w:rsid w:val="3EE06F5F"/>
    <w:rsid w:val="3EE36959"/>
    <w:rsid w:val="3EE4113A"/>
    <w:rsid w:val="3EE871B2"/>
    <w:rsid w:val="3EED76B7"/>
    <w:rsid w:val="3EEE2F36"/>
    <w:rsid w:val="3EEE6E52"/>
    <w:rsid w:val="3EEF2AF1"/>
    <w:rsid w:val="3EF3626B"/>
    <w:rsid w:val="3EFD499D"/>
    <w:rsid w:val="3EFD5862"/>
    <w:rsid w:val="3F023EED"/>
    <w:rsid w:val="3F0874AA"/>
    <w:rsid w:val="3F0A4B21"/>
    <w:rsid w:val="3F0D18CF"/>
    <w:rsid w:val="3F0D18DD"/>
    <w:rsid w:val="3F0F57D5"/>
    <w:rsid w:val="3F164ED7"/>
    <w:rsid w:val="3F167FAF"/>
    <w:rsid w:val="3F21430D"/>
    <w:rsid w:val="3F272C8D"/>
    <w:rsid w:val="3F291D1A"/>
    <w:rsid w:val="3F322051"/>
    <w:rsid w:val="3F357745"/>
    <w:rsid w:val="3F3921ED"/>
    <w:rsid w:val="3F3C6010"/>
    <w:rsid w:val="3F4103BD"/>
    <w:rsid w:val="3F45359C"/>
    <w:rsid w:val="3F453ADA"/>
    <w:rsid w:val="3F473B49"/>
    <w:rsid w:val="3F494FE9"/>
    <w:rsid w:val="3F4F68C0"/>
    <w:rsid w:val="3F5208CC"/>
    <w:rsid w:val="3F5950B3"/>
    <w:rsid w:val="3F5A6745"/>
    <w:rsid w:val="3F5B20FB"/>
    <w:rsid w:val="3F5C78CC"/>
    <w:rsid w:val="3F630CE2"/>
    <w:rsid w:val="3F6432EB"/>
    <w:rsid w:val="3F697011"/>
    <w:rsid w:val="3F6C2F72"/>
    <w:rsid w:val="3F6E302D"/>
    <w:rsid w:val="3F7463B4"/>
    <w:rsid w:val="3F77233E"/>
    <w:rsid w:val="3F7B2A66"/>
    <w:rsid w:val="3F7B5101"/>
    <w:rsid w:val="3F8015A7"/>
    <w:rsid w:val="3F84469C"/>
    <w:rsid w:val="3F8813D5"/>
    <w:rsid w:val="3F8971AD"/>
    <w:rsid w:val="3F8A7D6B"/>
    <w:rsid w:val="3F8B1B1C"/>
    <w:rsid w:val="3F8B68E7"/>
    <w:rsid w:val="3F8B70E4"/>
    <w:rsid w:val="3F8C2B42"/>
    <w:rsid w:val="3F92480A"/>
    <w:rsid w:val="3F951692"/>
    <w:rsid w:val="3F9665C1"/>
    <w:rsid w:val="3F974987"/>
    <w:rsid w:val="3F9B17E2"/>
    <w:rsid w:val="3F9B18C4"/>
    <w:rsid w:val="3F9B7280"/>
    <w:rsid w:val="3F9D1999"/>
    <w:rsid w:val="3F9E5349"/>
    <w:rsid w:val="3F9F4253"/>
    <w:rsid w:val="3FA05094"/>
    <w:rsid w:val="3FA4278A"/>
    <w:rsid w:val="3FB42687"/>
    <w:rsid w:val="3FBE61C4"/>
    <w:rsid w:val="3FBF20B9"/>
    <w:rsid w:val="3FC56BD1"/>
    <w:rsid w:val="3FC74A94"/>
    <w:rsid w:val="3FC8546B"/>
    <w:rsid w:val="3FCB617C"/>
    <w:rsid w:val="3FE146DB"/>
    <w:rsid w:val="3FE50AF4"/>
    <w:rsid w:val="3FE513D9"/>
    <w:rsid w:val="3FE56064"/>
    <w:rsid w:val="3FE70D7D"/>
    <w:rsid w:val="3FE80048"/>
    <w:rsid w:val="3FEC0144"/>
    <w:rsid w:val="3FEC2C88"/>
    <w:rsid w:val="3FF30F8D"/>
    <w:rsid w:val="3FF31F47"/>
    <w:rsid w:val="3FF71B32"/>
    <w:rsid w:val="3FFA42C4"/>
    <w:rsid w:val="3FFA4996"/>
    <w:rsid w:val="3FFC3C73"/>
    <w:rsid w:val="3FFE2F0D"/>
    <w:rsid w:val="3FFF02BA"/>
    <w:rsid w:val="4000728A"/>
    <w:rsid w:val="40011191"/>
    <w:rsid w:val="400B5321"/>
    <w:rsid w:val="401001BC"/>
    <w:rsid w:val="40171E31"/>
    <w:rsid w:val="401C112E"/>
    <w:rsid w:val="401C381B"/>
    <w:rsid w:val="40214189"/>
    <w:rsid w:val="4021437D"/>
    <w:rsid w:val="402255D3"/>
    <w:rsid w:val="40231DDB"/>
    <w:rsid w:val="40286C95"/>
    <w:rsid w:val="402B2CF1"/>
    <w:rsid w:val="403C0496"/>
    <w:rsid w:val="403D6B7A"/>
    <w:rsid w:val="40436FE9"/>
    <w:rsid w:val="40446C75"/>
    <w:rsid w:val="40457F53"/>
    <w:rsid w:val="40471BFD"/>
    <w:rsid w:val="404720B2"/>
    <w:rsid w:val="404C1371"/>
    <w:rsid w:val="404C2368"/>
    <w:rsid w:val="405028AF"/>
    <w:rsid w:val="40525E25"/>
    <w:rsid w:val="405378AF"/>
    <w:rsid w:val="405A10C6"/>
    <w:rsid w:val="405A3622"/>
    <w:rsid w:val="405B24BE"/>
    <w:rsid w:val="405B29C1"/>
    <w:rsid w:val="405C0FD9"/>
    <w:rsid w:val="40633BD2"/>
    <w:rsid w:val="40646F01"/>
    <w:rsid w:val="40695684"/>
    <w:rsid w:val="406E6E4D"/>
    <w:rsid w:val="406E7E40"/>
    <w:rsid w:val="40716D72"/>
    <w:rsid w:val="40745ED4"/>
    <w:rsid w:val="40770348"/>
    <w:rsid w:val="407800CC"/>
    <w:rsid w:val="407E1867"/>
    <w:rsid w:val="407E4DD2"/>
    <w:rsid w:val="408467ED"/>
    <w:rsid w:val="40887565"/>
    <w:rsid w:val="408A2317"/>
    <w:rsid w:val="408D1DBF"/>
    <w:rsid w:val="408E7984"/>
    <w:rsid w:val="40952806"/>
    <w:rsid w:val="409847C4"/>
    <w:rsid w:val="40A036E0"/>
    <w:rsid w:val="40AC386D"/>
    <w:rsid w:val="40B01EC9"/>
    <w:rsid w:val="40BC35E6"/>
    <w:rsid w:val="40C527E1"/>
    <w:rsid w:val="40C5400C"/>
    <w:rsid w:val="40CC6ED4"/>
    <w:rsid w:val="40CE42F1"/>
    <w:rsid w:val="40D35310"/>
    <w:rsid w:val="40D46C6A"/>
    <w:rsid w:val="40D53766"/>
    <w:rsid w:val="40D81416"/>
    <w:rsid w:val="40D9265A"/>
    <w:rsid w:val="40DD5D76"/>
    <w:rsid w:val="40EE46AC"/>
    <w:rsid w:val="40EE7793"/>
    <w:rsid w:val="40F6425F"/>
    <w:rsid w:val="40F86AE4"/>
    <w:rsid w:val="40FC2730"/>
    <w:rsid w:val="40FF212F"/>
    <w:rsid w:val="410018D0"/>
    <w:rsid w:val="410B1FB5"/>
    <w:rsid w:val="410C7C16"/>
    <w:rsid w:val="410F34E3"/>
    <w:rsid w:val="41111BC7"/>
    <w:rsid w:val="411375AC"/>
    <w:rsid w:val="411B386E"/>
    <w:rsid w:val="412B25A4"/>
    <w:rsid w:val="412D0104"/>
    <w:rsid w:val="412D5481"/>
    <w:rsid w:val="41312F29"/>
    <w:rsid w:val="413229A3"/>
    <w:rsid w:val="4136041C"/>
    <w:rsid w:val="41360788"/>
    <w:rsid w:val="41370FC8"/>
    <w:rsid w:val="41404D4B"/>
    <w:rsid w:val="41405168"/>
    <w:rsid w:val="41424AB7"/>
    <w:rsid w:val="414352AE"/>
    <w:rsid w:val="41451E83"/>
    <w:rsid w:val="414924B5"/>
    <w:rsid w:val="414943A5"/>
    <w:rsid w:val="414C0B95"/>
    <w:rsid w:val="41507F0C"/>
    <w:rsid w:val="41535966"/>
    <w:rsid w:val="415477D4"/>
    <w:rsid w:val="41561201"/>
    <w:rsid w:val="41562A1A"/>
    <w:rsid w:val="41586AC9"/>
    <w:rsid w:val="41586ED0"/>
    <w:rsid w:val="41592016"/>
    <w:rsid w:val="415D1C16"/>
    <w:rsid w:val="4163576E"/>
    <w:rsid w:val="4163639A"/>
    <w:rsid w:val="41657949"/>
    <w:rsid w:val="41657B12"/>
    <w:rsid w:val="4169033B"/>
    <w:rsid w:val="416B4BF3"/>
    <w:rsid w:val="416B527C"/>
    <w:rsid w:val="416D41C7"/>
    <w:rsid w:val="4173558E"/>
    <w:rsid w:val="41741A79"/>
    <w:rsid w:val="417610BA"/>
    <w:rsid w:val="417B4453"/>
    <w:rsid w:val="41804802"/>
    <w:rsid w:val="418306EF"/>
    <w:rsid w:val="41837B5F"/>
    <w:rsid w:val="4185518C"/>
    <w:rsid w:val="4186322B"/>
    <w:rsid w:val="418D692E"/>
    <w:rsid w:val="419469BD"/>
    <w:rsid w:val="419761F2"/>
    <w:rsid w:val="419915AA"/>
    <w:rsid w:val="419B4BA3"/>
    <w:rsid w:val="41A11219"/>
    <w:rsid w:val="41A334C2"/>
    <w:rsid w:val="41A75AEC"/>
    <w:rsid w:val="41AA77DD"/>
    <w:rsid w:val="41B93337"/>
    <w:rsid w:val="41BB4220"/>
    <w:rsid w:val="41BC1643"/>
    <w:rsid w:val="41BC53D7"/>
    <w:rsid w:val="41BD1EB9"/>
    <w:rsid w:val="41BD7D2C"/>
    <w:rsid w:val="41C10C9F"/>
    <w:rsid w:val="41C16A0E"/>
    <w:rsid w:val="41C21765"/>
    <w:rsid w:val="41C27417"/>
    <w:rsid w:val="41C51F72"/>
    <w:rsid w:val="41C91211"/>
    <w:rsid w:val="41CC13FC"/>
    <w:rsid w:val="41CE389F"/>
    <w:rsid w:val="41CF7B63"/>
    <w:rsid w:val="41D10F69"/>
    <w:rsid w:val="41D13016"/>
    <w:rsid w:val="41D34DA6"/>
    <w:rsid w:val="41DA1625"/>
    <w:rsid w:val="41E66C8A"/>
    <w:rsid w:val="41E73F9A"/>
    <w:rsid w:val="41E84D3C"/>
    <w:rsid w:val="41E974C9"/>
    <w:rsid w:val="41EA68AA"/>
    <w:rsid w:val="41EB2A7D"/>
    <w:rsid w:val="41EE5362"/>
    <w:rsid w:val="41F271D6"/>
    <w:rsid w:val="41F660F1"/>
    <w:rsid w:val="41F753D3"/>
    <w:rsid w:val="41FB3DD7"/>
    <w:rsid w:val="41FD0DB8"/>
    <w:rsid w:val="41FF6BE9"/>
    <w:rsid w:val="42077762"/>
    <w:rsid w:val="42080749"/>
    <w:rsid w:val="4208681F"/>
    <w:rsid w:val="42091DB5"/>
    <w:rsid w:val="420B7E99"/>
    <w:rsid w:val="420E7BB8"/>
    <w:rsid w:val="421057A0"/>
    <w:rsid w:val="42191BDC"/>
    <w:rsid w:val="421D24A9"/>
    <w:rsid w:val="421E395B"/>
    <w:rsid w:val="421F444C"/>
    <w:rsid w:val="422537CC"/>
    <w:rsid w:val="42287275"/>
    <w:rsid w:val="42291191"/>
    <w:rsid w:val="422C5C82"/>
    <w:rsid w:val="422C65A0"/>
    <w:rsid w:val="422D5628"/>
    <w:rsid w:val="42332E3A"/>
    <w:rsid w:val="42362885"/>
    <w:rsid w:val="423773F7"/>
    <w:rsid w:val="42383894"/>
    <w:rsid w:val="423B584A"/>
    <w:rsid w:val="423B6242"/>
    <w:rsid w:val="423D1A0E"/>
    <w:rsid w:val="42401747"/>
    <w:rsid w:val="42440494"/>
    <w:rsid w:val="424404DA"/>
    <w:rsid w:val="424871B0"/>
    <w:rsid w:val="424C0356"/>
    <w:rsid w:val="424E0E71"/>
    <w:rsid w:val="425069B7"/>
    <w:rsid w:val="42526CE8"/>
    <w:rsid w:val="425452E8"/>
    <w:rsid w:val="425F3BAD"/>
    <w:rsid w:val="425F50B9"/>
    <w:rsid w:val="426709D2"/>
    <w:rsid w:val="426934F0"/>
    <w:rsid w:val="426A5061"/>
    <w:rsid w:val="426B07D2"/>
    <w:rsid w:val="426D59AF"/>
    <w:rsid w:val="42704014"/>
    <w:rsid w:val="42712D5B"/>
    <w:rsid w:val="427C5DAD"/>
    <w:rsid w:val="428118E4"/>
    <w:rsid w:val="42832A64"/>
    <w:rsid w:val="42844F88"/>
    <w:rsid w:val="428606ED"/>
    <w:rsid w:val="42895D2D"/>
    <w:rsid w:val="428A1210"/>
    <w:rsid w:val="428B736D"/>
    <w:rsid w:val="428C4F8C"/>
    <w:rsid w:val="428E5B40"/>
    <w:rsid w:val="42903D8A"/>
    <w:rsid w:val="42971990"/>
    <w:rsid w:val="42992702"/>
    <w:rsid w:val="42A10D17"/>
    <w:rsid w:val="42A41E1A"/>
    <w:rsid w:val="42A472DA"/>
    <w:rsid w:val="42A611B0"/>
    <w:rsid w:val="42A70166"/>
    <w:rsid w:val="42A819C7"/>
    <w:rsid w:val="42A97472"/>
    <w:rsid w:val="42B25298"/>
    <w:rsid w:val="42B27326"/>
    <w:rsid w:val="42B96BA5"/>
    <w:rsid w:val="42BA3CD2"/>
    <w:rsid w:val="42C07A2A"/>
    <w:rsid w:val="42C77DE1"/>
    <w:rsid w:val="42CE4E74"/>
    <w:rsid w:val="42D072B1"/>
    <w:rsid w:val="42D621D4"/>
    <w:rsid w:val="42DE7AA7"/>
    <w:rsid w:val="42DF09FF"/>
    <w:rsid w:val="42DF36A5"/>
    <w:rsid w:val="42DF4D92"/>
    <w:rsid w:val="42E00A4C"/>
    <w:rsid w:val="42E45906"/>
    <w:rsid w:val="42EF29C6"/>
    <w:rsid w:val="42F56E54"/>
    <w:rsid w:val="42F8557E"/>
    <w:rsid w:val="42F85EE6"/>
    <w:rsid w:val="42FE0036"/>
    <w:rsid w:val="4300695F"/>
    <w:rsid w:val="430300AF"/>
    <w:rsid w:val="43041993"/>
    <w:rsid w:val="43083425"/>
    <w:rsid w:val="430B3302"/>
    <w:rsid w:val="4311191B"/>
    <w:rsid w:val="431130EA"/>
    <w:rsid w:val="43120A69"/>
    <w:rsid w:val="43121644"/>
    <w:rsid w:val="43132766"/>
    <w:rsid w:val="4313589F"/>
    <w:rsid w:val="431367F3"/>
    <w:rsid w:val="431602FB"/>
    <w:rsid w:val="431613C4"/>
    <w:rsid w:val="43196B1C"/>
    <w:rsid w:val="431D6F7C"/>
    <w:rsid w:val="431F6CED"/>
    <w:rsid w:val="43216BA8"/>
    <w:rsid w:val="4322050D"/>
    <w:rsid w:val="432342EF"/>
    <w:rsid w:val="43273967"/>
    <w:rsid w:val="43296FEE"/>
    <w:rsid w:val="432A7068"/>
    <w:rsid w:val="433713D8"/>
    <w:rsid w:val="433C2B0A"/>
    <w:rsid w:val="433E2547"/>
    <w:rsid w:val="43404A3B"/>
    <w:rsid w:val="43475E2B"/>
    <w:rsid w:val="4353429C"/>
    <w:rsid w:val="4353477A"/>
    <w:rsid w:val="43565588"/>
    <w:rsid w:val="43605175"/>
    <w:rsid w:val="4361587D"/>
    <w:rsid w:val="43667CC8"/>
    <w:rsid w:val="436E4F7B"/>
    <w:rsid w:val="43703F1C"/>
    <w:rsid w:val="43745AB2"/>
    <w:rsid w:val="43770B04"/>
    <w:rsid w:val="437745DB"/>
    <w:rsid w:val="43794B12"/>
    <w:rsid w:val="437E2CFF"/>
    <w:rsid w:val="437F166A"/>
    <w:rsid w:val="43831A69"/>
    <w:rsid w:val="43863113"/>
    <w:rsid w:val="43877822"/>
    <w:rsid w:val="43904487"/>
    <w:rsid w:val="43924A8D"/>
    <w:rsid w:val="43932CB1"/>
    <w:rsid w:val="439750A7"/>
    <w:rsid w:val="43994C9C"/>
    <w:rsid w:val="43995B28"/>
    <w:rsid w:val="439B29EB"/>
    <w:rsid w:val="439C771E"/>
    <w:rsid w:val="43A22025"/>
    <w:rsid w:val="43A565E2"/>
    <w:rsid w:val="43A76E75"/>
    <w:rsid w:val="43A77FED"/>
    <w:rsid w:val="43AB28E1"/>
    <w:rsid w:val="43AB2E6E"/>
    <w:rsid w:val="43AB746B"/>
    <w:rsid w:val="43AC3F80"/>
    <w:rsid w:val="43AD4664"/>
    <w:rsid w:val="43B1297D"/>
    <w:rsid w:val="43C14C68"/>
    <w:rsid w:val="43C21FB2"/>
    <w:rsid w:val="43C47B89"/>
    <w:rsid w:val="43C66C14"/>
    <w:rsid w:val="43CC2433"/>
    <w:rsid w:val="43CD7E55"/>
    <w:rsid w:val="43D40444"/>
    <w:rsid w:val="43D73EAA"/>
    <w:rsid w:val="43D919FB"/>
    <w:rsid w:val="43DC3633"/>
    <w:rsid w:val="43DD0BAE"/>
    <w:rsid w:val="43DD4C69"/>
    <w:rsid w:val="43DF6149"/>
    <w:rsid w:val="43E066A9"/>
    <w:rsid w:val="43E347E5"/>
    <w:rsid w:val="43E41E33"/>
    <w:rsid w:val="43E57907"/>
    <w:rsid w:val="43F06321"/>
    <w:rsid w:val="43F1503D"/>
    <w:rsid w:val="43F43C74"/>
    <w:rsid w:val="43F8786E"/>
    <w:rsid w:val="43F93BDF"/>
    <w:rsid w:val="43FD59F5"/>
    <w:rsid w:val="44015155"/>
    <w:rsid w:val="440155F7"/>
    <w:rsid w:val="440202C7"/>
    <w:rsid w:val="44081580"/>
    <w:rsid w:val="440B50C7"/>
    <w:rsid w:val="44213F81"/>
    <w:rsid w:val="44216E9A"/>
    <w:rsid w:val="44232DC7"/>
    <w:rsid w:val="44242DF1"/>
    <w:rsid w:val="442920A4"/>
    <w:rsid w:val="442C52ED"/>
    <w:rsid w:val="442F0EFD"/>
    <w:rsid w:val="442F1AE4"/>
    <w:rsid w:val="44305C6B"/>
    <w:rsid w:val="44307636"/>
    <w:rsid w:val="443361D8"/>
    <w:rsid w:val="44343B9D"/>
    <w:rsid w:val="44355C61"/>
    <w:rsid w:val="44385F26"/>
    <w:rsid w:val="443A620E"/>
    <w:rsid w:val="443D484E"/>
    <w:rsid w:val="44401E3D"/>
    <w:rsid w:val="44405EDB"/>
    <w:rsid w:val="44407ABD"/>
    <w:rsid w:val="44425C7D"/>
    <w:rsid w:val="44436ED0"/>
    <w:rsid w:val="444D4A51"/>
    <w:rsid w:val="44525407"/>
    <w:rsid w:val="44564548"/>
    <w:rsid w:val="44577966"/>
    <w:rsid w:val="44581470"/>
    <w:rsid w:val="44596FEA"/>
    <w:rsid w:val="445B6C40"/>
    <w:rsid w:val="445E615D"/>
    <w:rsid w:val="44641348"/>
    <w:rsid w:val="446803CD"/>
    <w:rsid w:val="44695183"/>
    <w:rsid w:val="446E233B"/>
    <w:rsid w:val="446F1E6A"/>
    <w:rsid w:val="44701B8F"/>
    <w:rsid w:val="447311F4"/>
    <w:rsid w:val="44792BE7"/>
    <w:rsid w:val="447938C7"/>
    <w:rsid w:val="447E106A"/>
    <w:rsid w:val="447F4128"/>
    <w:rsid w:val="448E4D7A"/>
    <w:rsid w:val="449C2CE7"/>
    <w:rsid w:val="44A05CEC"/>
    <w:rsid w:val="44A36F92"/>
    <w:rsid w:val="44AA2D03"/>
    <w:rsid w:val="44AB10E0"/>
    <w:rsid w:val="44AC58BC"/>
    <w:rsid w:val="44B07702"/>
    <w:rsid w:val="44B26AB3"/>
    <w:rsid w:val="44BA272E"/>
    <w:rsid w:val="44BA4685"/>
    <w:rsid w:val="44BF0717"/>
    <w:rsid w:val="44C75F7D"/>
    <w:rsid w:val="44CC6046"/>
    <w:rsid w:val="44CE127B"/>
    <w:rsid w:val="44CE4302"/>
    <w:rsid w:val="44D041E9"/>
    <w:rsid w:val="44D10BE8"/>
    <w:rsid w:val="44D23E7C"/>
    <w:rsid w:val="44D26306"/>
    <w:rsid w:val="44D71763"/>
    <w:rsid w:val="44DD478D"/>
    <w:rsid w:val="44E76766"/>
    <w:rsid w:val="44ED5855"/>
    <w:rsid w:val="44ED7647"/>
    <w:rsid w:val="44F57BB4"/>
    <w:rsid w:val="44F64B32"/>
    <w:rsid w:val="44FE1F7C"/>
    <w:rsid w:val="450147F1"/>
    <w:rsid w:val="450B277C"/>
    <w:rsid w:val="450B49FE"/>
    <w:rsid w:val="450C1FFC"/>
    <w:rsid w:val="450D0C52"/>
    <w:rsid w:val="450F6647"/>
    <w:rsid w:val="45131FC4"/>
    <w:rsid w:val="45136FC2"/>
    <w:rsid w:val="45175D5A"/>
    <w:rsid w:val="451E0424"/>
    <w:rsid w:val="45230CC1"/>
    <w:rsid w:val="452503CE"/>
    <w:rsid w:val="45253783"/>
    <w:rsid w:val="45277AD2"/>
    <w:rsid w:val="452A6996"/>
    <w:rsid w:val="452C2692"/>
    <w:rsid w:val="452C3681"/>
    <w:rsid w:val="452D669B"/>
    <w:rsid w:val="45316412"/>
    <w:rsid w:val="45323164"/>
    <w:rsid w:val="45344584"/>
    <w:rsid w:val="45344BD9"/>
    <w:rsid w:val="45353C76"/>
    <w:rsid w:val="45393743"/>
    <w:rsid w:val="453A668F"/>
    <w:rsid w:val="453B64A3"/>
    <w:rsid w:val="453C1F98"/>
    <w:rsid w:val="4540653D"/>
    <w:rsid w:val="4541277A"/>
    <w:rsid w:val="454646D3"/>
    <w:rsid w:val="454742C6"/>
    <w:rsid w:val="454C2C6C"/>
    <w:rsid w:val="45501946"/>
    <w:rsid w:val="455439E5"/>
    <w:rsid w:val="455554C2"/>
    <w:rsid w:val="455A5125"/>
    <w:rsid w:val="455B643A"/>
    <w:rsid w:val="455D4136"/>
    <w:rsid w:val="455E36CC"/>
    <w:rsid w:val="455F2FE7"/>
    <w:rsid w:val="45622670"/>
    <w:rsid w:val="456C0237"/>
    <w:rsid w:val="456C695E"/>
    <w:rsid w:val="45721429"/>
    <w:rsid w:val="45752F0C"/>
    <w:rsid w:val="457C263C"/>
    <w:rsid w:val="457D43E4"/>
    <w:rsid w:val="4585533A"/>
    <w:rsid w:val="45874DC7"/>
    <w:rsid w:val="458C0CB9"/>
    <w:rsid w:val="458D2613"/>
    <w:rsid w:val="4591458B"/>
    <w:rsid w:val="45944FEB"/>
    <w:rsid w:val="45957B72"/>
    <w:rsid w:val="45967924"/>
    <w:rsid w:val="45972300"/>
    <w:rsid w:val="459874A1"/>
    <w:rsid w:val="459A2AEA"/>
    <w:rsid w:val="459C6F06"/>
    <w:rsid w:val="459E6EBC"/>
    <w:rsid w:val="45A11512"/>
    <w:rsid w:val="45A15BE0"/>
    <w:rsid w:val="45A44753"/>
    <w:rsid w:val="45A459A3"/>
    <w:rsid w:val="45A71145"/>
    <w:rsid w:val="45A72C81"/>
    <w:rsid w:val="45A86DF4"/>
    <w:rsid w:val="45AE2939"/>
    <w:rsid w:val="45B46D6C"/>
    <w:rsid w:val="45BF597D"/>
    <w:rsid w:val="45BF68E7"/>
    <w:rsid w:val="45C910BD"/>
    <w:rsid w:val="45CB2864"/>
    <w:rsid w:val="45CB7F2B"/>
    <w:rsid w:val="45CD39FA"/>
    <w:rsid w:val="45D21E71"/>
    <w:rsid w:val="45D342F3"/>
    <w:rsid w:val="45D401CE"/>
    <w:rsid w:val="45D62228"/>
    <w:rsid w:val="45DC53BC"/>
    <w:rsid w:val="45DE73CF"/>
    <w:rsid w:val="45DF2FCD"/>
    <w:rsid w:val="45E24A45"/>
    <w:rsid w:val="45E26169"/>
    <w:rsid w:val="45E50225"/>
    <w:rsid w:val="45E776B6"/>
    <w:rsid w:val="45E776F6"/>
    <w:rsid w:val="45E77CE7"/>
    <w:rsid w:val="45E83F3B"/>
    <w:rsid w:val="45E93731"/>
    <w:rsid w:val="45EC3A2B"/>
    <w:rsid w:val="45EC3D2C"/>
    <w:rsid w:val="45EE3340"/>
    <w:rsid w:val="45F34DE0"/>
    <w:rsid w:val="45FE1C48"/>
    <w:rsid w:val="460078C1"/>
    <w:rsid w:val="4602566D"/>
    <w:rsid w:val="460328A8"/>
    <w:rsid w:val="46042096"/>
    <w:rsid w:val="460B2833"/>
    <w:rsid w:val="46180B3A"/>
    <w:rsid w:val="46185F97"/>
    <w:rsid w:val="461904F8"/>
    <w:rsid w:val="461E5281"/>
    <w:rsid w:val="46206565"/>
    <w:rsid w:val="4622511A"/>
    <w:rsid w:val="46230E9B"/>
    <w:rsid w:val="462522B5"/>
    <w:rsid w:val="462A16F9"/>
    <w:rsid w:val="462B11DD"/>
    <w:rsid w:val="46315493"/>
    <w:rsid w:val="463574B2"/>
    <w:rsid w:val="46397B42"/>
    <w:rsid w:val="463C732B"/>
    <w:rsid w:val="463D2981"/>
    <w:rsid w:val="463E5E64"/>
    <w:rsid w:val="46412D63"/>
    <w:rsid w:val="464815AD"/>
    <w:rsid w:val="464A668C"/>
    <w:rsid w:val="464D7AF9"/>
    <w:rsid w:val="465A75DC"/>
    <w:rsid w:val="465C0863"/>
    <w:rsid w:val="46600F01"/>
    <w:rsid w:val="46612515"/>
    <w:rsid w:val="466533EA"/>
    <w:rsid w:val="46653D92"/>
    <w:rsid w:val="466A3248"/>
    <w:rsid w:val="466A781A"/>
    <w:rsid w:val="466D34E9"/>
    <w:rsid w:val="466E0870"/>
    <w:rsid w:val="467034CC"/>
    <w:rsid w:val="467465A8"/>
    <w:rsid w:val="46755E24"/>
    <w:rsid w:val="46765BF3"/>
    <w:rsid w:val="467C3562"/>
    <w:rsid w:val="46830DFC"/>
    <w:rsid w:val="468863CD"/>
    <w:rsid w:val="468B2DAF"/>
    <w:rsid w:val="469053B5"/>
    <w:rsid w:val="46917A6D"/>
    <w:rsid w:val="46923454"/>
    <w:rsid w:val="46987301"/>
    <w:rsid w:val="469964C5"/>
    <w:rsid w:val="469F276B"/>
    <w:rsid w:val="46A2631B"/>
    <w:rsid w:val="46A81D90"/>
    <w:rsid w:val="46AD30B8"/>
    <w:rsid w:val="46AF0703"/>
    <w:rsid w:val="46AF1F10"/>
    <w:rsid w:val="46B14C15"/>
    <w:rsid w:val="46B450FF"/>
    <w:rsid w:val="46B53D71"/>
    <w:rsid w:val="46B61AAB"/>
    <w:rsid w:val="46BB15D6"/>
    <w:rsid w:val="46C41B3E"/>
    <w:rsid w:val="46D617FF"/>
    <w:rsid w:val="46D73F42"/>
    <w:rsid w:val="46DB0FB3"/>
    <w:rsid w:val="46EE3E72"/>
    <w:rsid w:val="46EF1A80"/>
    <w:rsid w:val="46F07896"/>
    <w:rsid w:val="46F86622"/>
    <w:rsid w:val="46FD3B85"/>
    <w:rsid w:val="46FF5946"/>
    <w:rsid w:val="46FF5A17"/>
    <w:rsid w:val="47077908"/>
    <w:rsid w:val="47095CEE"/>
    <w:rsid w:val="470C09BA"/>
    <w:rsid w:val="470C6281"/>
    <w:rsid w:val="47215159"/>
    <w:rsid w:val="4725712A"/>
    <w:rsid w:val="472F3E1D"/>
    <w:rsid w:val="47300265"/>
    <w:rsid w:val="473456AE"/>
    <w:rsid w:val="473568AA"/>
    <w:rsid w:val="47385825"/>
    <w:rsid w:val="473D7A73"/>
    <w:rsid w:val="473E425C"/>
    <w:rsid w:val="47476A6E"/>
    <w:rsid w:val="474D22A8"/>
    <w:rsid w:val="474F1145"/>
    <w:rsid w:val="475719B4"/>
    <w:rsid w:val="475A335D"/>
    <w:rsid w:val="475F440A"/>
    <w:rsid w:val="475F766C"/>
    <w:rsid w:val="47605EC2"/>
    <w:rsid w:val="47623DDB"/>
    <w:rsid w:val="47645210"/>
    <w:rsid w:val="47682284"/>
    <w:rsid w:val="47687D35"/>
    <w:rsid w:val="47692E8F"/>
    <w:rsid w:val="476B47E4"/>
    <w:rsid w:val="476C3571"/>
    <w:rsid w:val="47776454"/>
    <w:rsid w:val="47787CC2"/>
    <w:rsid w:val="477D77B2"/>
    <w:rsid w:val="477F31F8"/>
    <w:rsid w:val="477F3DFC"/>
    <w:rsid w:val="47804B48"/>
    <w:rsid w:val="478B4388"/>
    <w:rsid w:val="478D4807"/>
    <w:rsid w:val="478E0244"/>
    <w:rsid w:val="479D6541"/>
    <w:rsid w:val="47A71ED0"/>
    <w:rsid w:val="47A95F3A"/>
    <w:rsid w:val="47AC1461"/>
    <w:rsid w:val="47BC73D6"/>
    <w:rsid w:val="47C27700"/>
    <w:rsid w:val="47C4469D"/>
    <w:rsid w:val="47C96105"/>
    <w:rsid w:val="47CF11C9"/>
    <w:rsid w:val="47CF1F01"/>
    <w:rsid w:val="47D403DC"/>
    <w:rsid w:val="47D86BE9"/>
    <w:rsid w:val="47DD1ECC"/>
    <w:rsid w:val="47DD2D87"/>
    <w:rsid w:val="47E00434"/>
    <w:rsid w:val="47E457F9"/>
    <w:rsid w:val="47E821F5"/>
    <w:rsid w:val="47E85BA9"/>
    <w:rsid w:val="47E94B8B"/>
    <w:rsid w:val="47EC2E72"/>
    <w:rsid w:val="47EE691B"/>
    <w:rsid w:val="47F31D66"/>
    <w:rsid w:val="47F33C3C"/>
    <w:rsid w:val="47F75622"/>
    <w:rsid w:val="47F81EE8"/>
    <w:rsid w:val="47F95B2B"/>
    <w:rsid w:val="47FB1D55"/>
    <w:rsid w:val="47FD0506"/>
    <w:rsid w:val="47FD1EFC"/>
    <w:rsid w:val="48001ACD"/>
    <w:rsid w:val="48004FFA"/>
    <w:rsid w:val="48012B23"/>
    <w:rsid w:val="4802022D"/>
    <w:rsid w:val="4802570D"/>
    <w:rsid w:val="48026891"/>
    <w:rsid w:val="4804663B"/>
    <w:rsid w:val="480510B4"/>
    <w:rsid w:val="48085F4D"/>
    <w:rsid w:val="48090004"/>
    <w:rsid w:val="48134347"/>
    <w:rsid w:val="4815570A"/>
    <w:rsid w:val="48163502"/>
    <w:rsid w:val="48184A93"/>
    <w:rsid w:val="481D53D0"/>
    <w:rsid w:val="482020FE"/>
    <w:rsid w:val="482357AA"/>
    <w:rsid w:val="482C0D50"/>
    <w:rsid w:val="482E3CFD"/>
    <w:rsid w:val="48302B25"/>
    <w:rsid w:val="48374602"/>
    <w:rsid w:val="48441D02"/>
    <w:rsid w:val="48482A6F"/>
    <w:rsid w:val="484C3042"/>
    <w:rsid w:val="484E6398"/>
    <w:rsid w:val="48541AD5"/>
    <w:rsid w:val="48614AE3"/>
    <w:rsid w:val="48641277"/>
    <w:rsid w:val="486B7B5F"/>
    <w:rsid w:val="486C3ABB"/>
    <w:rsid w:val="486E697A"/>
    <w:rsid w:val="48780918"/>
    <w:rsid w:val="487A3C1A"/>
    <w:rsid w:val="488234B2"/>
    <w:rsid w:val="48826AF5"/>
    <w:rsid w:val="48834D0F"/>
    <w:rsid w:val="48843153"/>
    <w:rsid w:val="48861E09"/>
    <w:rsid w:val="48882F76"/>
    <w:rsid w:val="488877F0"/>
    <w:rsid w:val="488A3726"/>
    <w:rsid w:val="488A3847"/>
    <w:rsid w:val="48903168"/>
    <w:rsid w:val="48911AB9"/>
    <w:rsid w:val="48947C34"/>
    <w:rsid w:val="48956573"/>
    <w:rsid w:val="4896240C"/>
    <w:rsid w:val="489D3FF5"/>
    <w:rsid w:val="48A04D01"/>
    <w:rsid w:val="48A2569F"/>
    <w:rsid w:val="48A5767D"/>
    <w:rsid w:val="48A6563D"/>
    <w:rsid w:val="48A73D91"/>
    <w:rsid w:val="48A831D8"/>
    <w:rsid w:val="48A86BFA"/>
    <w:rsid w:val="48AA3341"/>
    <w:rsid w:val="48AE00B7"/>
    <w:rsid w:val="48AF3B6A"/>
    <w:rsid w:val="48B16564"/>
    <w:rsid w:val="48B44D96"/>
    <w:rsid w:val="48B6151D"/>
    <w:rsid w:val="48B82459"/>
    <w:rsid w:val="48BD0251"/>
    <w:rsid w:val="48BE3FDE"/>
    <w:rsid w:val="48BE63E9"/>
    <w:rsid w:val="48C0388E"/>
    <w:rsid w:val="48C20A74"/>
    <w:rsid w:val="48C664F4"/>
    <w:rsid w:val="48C7098C"/>
    <w:rsid w:val="48C7490D"/>
    <w:rsid w:val="48C91718"/>
    <w:rsid w:val="48D50922"/>
    <w:rsid w:val="48D66902"/>
    <w:rsid w:val="48DA2741"/>
    <w:rsid w:val="48DD3EF1"/>
    <w:rsid w:val="48DD7A6A"/>
    <w:rsid w:val="48DE36C1"/>
    <w:rsid w:val="48E2654C"/>
    <w:rsid w:val="48E27AF7"/>
    <w:rsid w:val="48E96000"/>
    <w:rsid w:val="48EC07AB"/>
    <w:rsid w:val="48EE345A"/>
    <w:rsid w:val="48EF7CB9"/>
    <w:rsid w:val="48F26F6E"/>
    <w:rsid w:val="48F41BA0"/>
    <w:rsid w:val="48F50362"/>
    <w:rsid w:val="48F56957"/>
    <w:rsid w:val="48F62AF8"/>
    <w:rsid w:val="48F82503"/>
    <w:rsid w:val="48FB2F10"/>
    <w:rsid w:val="49022125"/>
    <w:rsid w:val="49050CF8"/>
    <w:rsid w:val="490A1D6D"/>
    <w:rsid w:val="490F4397"/>
    <w:rsid w:val="49116989"/>
    <w:rsid w:val="49200DCB"/>
    <w:rsid w:val="49207A10"/>
    <w:rsid w:val="49220FD9"/>
    <w:rsid w:val="492436F9"/>
    <w:rsid w:val="49273883"/>
    <w:rsid w:val="492B5D9F"/>
    <w:rsid w:val="492D0493"/>
    <w:rsid w:val="49371482"/>
    <w:rsid w:val="493A1196"/>
    <w:rsid w:val="493C53DB"/>
    <w:rsid w:val="4940695A"/>
    <w:rsid w:val="4941358B"/>
    <w:rsid w:val="49421CCE"/>
    <w:rsid w:val="494332C5"/>
    <w:rsid w:val="494475FD"/>
    <w:rsid w:val="4947096B"/>
    <w:rsid w:val="494C43B4"/>
    <w:rsid w:val="495266B8"/>
    <w:rsid w:val="495508A9"/>
    <w:rsid w:val="49574B09"/>
    <w:rsid w:val="495C095C"/>
    <w:rsid w:val="49626775"/>
    <w:rsid w:val="496273B1"/>
    <w:rsid w:val="49631AB9"/>
    <w:rsid w:val="49637FCB"/>
    <w:rsid w:val="49647B34"/>
    <w:rsid w:val="49654672"/>
    <w:rsid w:val="4965467E"/>
    <w:rsid w:val="4967492F"/>
    <w:rsid w:val="4968638C"/>
    <w:rsid w:val="496909CB"/>
    <w:rsid w:val="49694710"/>
    <w:rsid w:val="49702FC6"/>
    <w:rsid w:val="4970530E"/>
    <w:rsid w:val="49785BA6"/>
    <w:rsid w:val="4978721A"/>
    <w:rsid w:val="497A7743"/>
    <w:rsid w:val="497A7BE7"/>
    <w:rsid w:val="4983563E"/>
    <w:rsid w:val="498563EA"/>
    <w:rsid w:val="4988106D"/>
    <w:rsid w:val="4988359A"/>
    <w:rsid w:val="49966E21"/>
    <w:rsid w:val="49971B38"/>
    <w:rsid w:val="499917D4"/>
    <w:rsid w:val="49A46FE1"/>
    <w:rsid w:val="49A5698B"/>
    <w:rsid w:val="49A63803"/>
    <w:rsid w:val="49A942B9"/>
    <w:rsid w:val="49B81F78"/>
    <w:rsid w:val="49BC2CC8"/>
    <w:rsid w:val="49BF52E4"/>
    <w:rsid w:val="49C30D0A"/>
    <w:rsid w:val="49C43388"/>
    <w:rsid w:val="49C55D74"/>
    <w:rsid w:val="49CD6672"/>
    <w:rsid w:val="49CF182F"/>
    <w:rsid w:val="49CF1B27"/>
    <w:rsid w:val="49D61053"/>
    <w:rsid w:val="49DA5F44"/>
    <w:rsid w:val="49DB488F"/>
    <w:rsid w:val="49DC3658"/>
    <w:rsid w:val="49E358FC"/>
    <w:rsid w:val="49E40FFE"/>
    <w:rsid w:val="49E70304"/>
    <w:rsid w:val="49EA16EB"/>
    <w:rsid w:val="49EF4712"/>
    <w:rsid w:val="49F3132E"/>
    <w:rsid w:val="49F31A48"/>
    <w:rsid w:val="49F55A12"/>
    <w:rsid w:val="49FA4476"/>
    <w:rsid w:val="49FE0B3A"/>
    <w:rsid w:val="4A0566AE"/>
    <w:rsid w:val="4A170692"/>
    <w:rsid w:val="4A1750DF"/>
    <w:rsid w:val="4A182C8C"/>
    <w:rsid w:val="4A2A34E1"/>
    <w:rsid w:val="4A2D5A47"/>
    <w:rsid w:val="4A3311AE"/>
    <w:rsid w:val="4A33340B"/>
    <w:rsid w:val="4A364014"/>
    <w:rsid w:val="4A45646B"/>
    <w:rsid w:val="4A463394"/>
    <w:rsid w:val="4A4732AC"/>
    <w:rsid w:val="4A48418A"/>
    <w:rsid w:val="4A48696B"/>
    <w:rsid w:val="4A4C6258"/>
    <w:rsid w:val="4A546CD2"/>
    <w:rsid w:val="4A577CD2"/>
    <w:rsid w:val="4A5E4A3A"/>
    <w:rsid w:val="4A615997"/>
    <w:rsid w:val="4A6B149E"/>
    <w:rsid w:val="4A6B78E4"/>
    <w:rsid w:val="4A7256C9"/>
    <w:rsid w:val="4A733309"/>
    <w:rsid w:val="4A7407F1"/>
    <w:rsid w:val="4A7446E0"/>
    <w:rsid w:val="4A7509E5"/>
    <w:rsid w:val="4A7C4A46"/>
    <w:rsid w:val="4A7C749A"/>
    <w:rsid w:val="4A8024BF"/>
    <w:rsid w:val="4A807557"/>
    <w:rsid w:val="4A8250E9"/>
    <w:rsid w:val="4A862E76"/>
    <w:rsid w:val="4A871CE5"/>
    <w:rsid w:val="4A8B5FF5"/>
    <w:rsid w:val="4A8C4097"/>
    <w:rsid w:val="4A8F7965"/>
    <w:rsid w:val="4A914363"/>
    <w:rsid w:val="4A944934"/>
    <w:rsid w:val="4A9B688A"/>
    <w:rsid w:val="4A9E7263"/>
    <w:rsid w:val="4AA02B33"/>
    <w:rsid w:val="4AA03C9B"/>
    <w:rsid w:val="4AA04DE4"/>
    <w:rsid w:val="4AA067D4"/>
    <w:rsid w:val="4AA25CD2"/>
    <w:rsid w:val="4AAB2FA9"/>
    <w:rsid w:val="4AAE12AF"/>
    <w:rsid w:val="4AAE34F6"/>
    <w:rsid w:val="4AB306DA"/>
    <w:rsid w:val="4AB649F2"/>
    <w:rsid w:val="4AB917AA"/>
    <w:rsid w:val="4ABC3A33"/>
    <w:rsid w:val="4AC32F89"/>
    <w:rsid w:val="4AC92150"/>
    <w:rsid w:val="4ACA0C6E"/>
    <w:rsid w:val="4ACD710F"/>
    <w:rsid w:val="4AD0626C"/>
    <w:rsid w:val="4AD12D7C"/>
    <w:rsid w:val="4AD24231"/>
    <w:rsid w:val="4AD265A5"/>
    <w:rsid w:val="4AD65197"/>
    <w:rsid w:val="4AD93329"/>
    <w:rsid w:val="4ADB778D"/>
    <w:rsid w:val="4AE25D7A"/>
    <w:rsid w:val="4AE600FA"/>
    <w:rsid w:val="4AE622EF"/>
    <w:rsid w:val="4AF0640E"/>
    <w:rsid w:val="4AF1514F"/>
    <w:rsid w:val="4AF4050E"/>
    <w:rsid w:val="4AF40B15"/>
    <w:rsid w:val="4AF62354"/>
    <w:rsid w:val="4AF64A04"/>
    <w:rsid w:val="4AF74ABE"/>
    <w:rsid w:val="4AFA4B5E"/>
    <w:rsid w:val="4AFC572A"/>
    <w:rsid w:val="4AFE7618"/>
    <w:rsid w:val="4B020360"/>
    <w:rsid w:val="4B056A36"/>
    <w:rsid w:val="4B096150"/>
    <w:rsid w:val="4B0B1DC7"/>
    <w:rsid w:val="4B0D5ED5"/>
    <w:rsid w:val="4B131133"/>
    <w:rsid w:val="4B135C2C"/>
    <w:rsid w:val="4B176A9E"/>
    <w:rsid w:val="4B1A5609"/>
    <w:rsid w:val="4B1C3550"/>
    <w:rsid w:val="4B1D10CC"/>
    <w:rsid w:val="4B2059DC"/>
    <w:rsid w:val="4B211AC4"/>
    <w:rsid w:val="4B2A3D79"/>
    <w:rsid w:val="4B2F2503"/>
    <w:rsid w:val="4B315866"/>
    <w:rsid w:val="4B3A48D4"/>
    <w:rsid w:val="4B3A67DF"/>
    <w:rsid w:val="4B3D40C0"/>
    <w:rsid w:val="4B4015DA"/>
    <w:rsid w:val="4B4105F4"/>
    <w:rsid w:val="4B422F59"/>
    <w:rsid w:val="4B4658A1"/>
    <w:rsid w:val="4B490DFA"/>
    <w:rsid w:val="4B4A63D3"/>
    <w:rsid w:val="4B4E15E9"/>
    <w:rsid w:val="4B512621"/>
    <w:rsid w:val="4B5150CB"/>
    <w:rsid w:val="4B532F4B"/>
    <w:rsid w:val="4B54775A"/>
    <w:rsid w:val="4B556E08"/>
    <w:rsid w:val="4B58269E"/>
    <w:rsid w:val="4B5958AE"/>
    <w:rsid w:val="4B5A44C4"/>
    <w:rsid w:val="4B5C666F"/>
    <w:rsid w:val="4B5E5FA0"/>
    <w:rsid w:val="4B61239D"/>
    <w:rsid w:val="4B693C17"/>
    <w:rsid w:val="4B69617F"/>
    <w:rsid w:val="4B6E20C4"/>
    <w:rsid w:val="4B702631"/>
    <w:rsid w:val="4B7B21CA"/>
    <w:rsid w:val="4B7C358A"/>
    <w:rsid w:val="4B816383"/>
    <w:rsid w:val="4B842C12"/>
    <w:rsid w:val="4B8646B5"/>
    <w:rsid w:val="4B881537"/>
    <w:rsid w:val="4B8860BF"/>
    <w:rsid w:val="4B8E152D"/>
    <w:rsid w:val="4B8F3510"/>
    <w:rsid w:val="4B910898"/>
    <w:rsid w:val="4B9F301E"/>
    <w:rsid w:val="4BA26790"/>
    <w:rsid w:val="4BA55B9F"/>
    <w:rsid w:val="4BA6062B"/>
    <w:rsid w:val="4BA7581C"/>
    <w:rsid w:val="4BA94312"/>
    <w:rsid w:val="4BAB0E9B"/>
    <w:rsid w:val="4BAC2C8B"/>
    <w:rsid w:val="4BB02ABE"/>
    <w:rsid w:val="4BB24C7D"/>
    <w:rsid w:val="4BB26594"/>
    <w:rsid w:val="4BB61D09"/>
    <w:rsid w:val="4BBA6FB4"/>
    <w:rsid w:val="4BC51F80"/>
    <w:rsid w:val="4BC70B5D"/>
    <w:rsid w:val="4BCA015E"/>
    <w:rsid w:val="4BCB53E5"/>
    <w:rsid w:val="4BCD7F0C"/>
    <w:rsid w:val="4BD0295D"/>
    <w:rsid w:val="4BD044D1"/>
    <w:rsid w:val="4BD21254"/>
    <w:rsid w:val="4BD9660E"/>
    <w:rsid w:val="4BDF56CE"/>
    <w:rsid w:val="4BE3251A"/>
    <w:rsid w:val="4BE6797C"/>
    <w:rsid w:val="4BEB47CD"/>
    <w:rsid w:val="4BEC366B"/>
    <w:rsid w:val="4BF2466E"/>
    <w:rsid w:val="4BF27409"/>
    <w:rsid w:val="4BF72E8D"/>
    <w:rsid w:val="4BF95A03"/>
    <w:rsid w:val="4C0370CA"/>
    <w:rsid w:val="4C047A3B"/>
    <w:rsid w:val="4C0624F7"/>
    <w:rsid w:val="4C063F1E"/>
    <w:rsid w:val="4C0823F6"/>
    <w:rsid w:val="4C0A7519"/>
    <w:rsid w:val="4C0D1AD0"/>
    <w:rsid w:val="4C0E47C6"/>
    <w:rsid w:val="4C1425E3"/>
    <w:rsid w:val="4C173713"/>
    <w:rsid w:val="4C174708"/>
    <w:rsid w:val="4C216589"/>
    <w:rsid w:val="4C25039D"/>
    <w:rsid w:val="4C284E56"/>
    <w:rsid w:val="4C2D08FA"/>
    <w:rsid w:val="4C313083"/>
    <w:rsid w:val="4C336E2B"/>
    <w:rsid w:val="4C35346E"/>
    <w:rsid w:val="4C373128"/>
    <w:rsid w:val="4C3957A3"/>
    <w:rsid w:val="4C3E313A"/>
    <w:rsid w:val="4C3E67D8"/>
    <w:rsid w:val="4C3F122E"/>
    <w:rsid w:val="4C4775F7"/>
    <w:rsid w:val="4C491702"/>
    <w:rsid w:val="4C4E47FD"/>
    <w:rsid w:val="4C4E782B"/>
    <w:rsid w:val="4C515D36"/>
    <w:rsid w:val="4C551950"/>
    <w:rsid w:val="4C5645F4"/>
    <w:rsid w:val="4C570BB8"/>
    <w:rsid w:val="4C57132B"/>
    <w:rsid w:val="4C5C034C"/>
    <w:rsid w:val="4C5C20F8"/>
    <w:rsid w:val="4C5E426E"/>
    <w:rsid w:val="4C68007A"/>
    <w:rsid w:val="4C706539"/>
    <w:rsid w:val="4C720B09"/>
    <w:rsid w:val="4C771B75"/>
    <w:rsid w:val="4C794DB3"/>
    <w:rsid w:val="4C800290"/>
    <w:rsid w:val="4C8070F0"/>
    <w:rsid w:val="4C8120DD"/>
    <w:rsid w:val="4C8121E6"/>
    <w:rsid w:val="4C8321E1"/>
    <w:rsid w:val="4C835229"/>
    <w:rsid w:val="4C8876A4"/>
    <w:rsid w:val="4C8E5E40"/>
    <w:rsid w:val="4C907484"/>
    <w:rsid w:val="4C910393"/>
    <w:rsid w:val="4C9B0EAF"/>
    <w:rsid w:val="4CA15D22"/>
    <w:rsid w:val="4CA16A3C"/>
    <w:rsid w:val="4CA2628D"/>
    <w:rsid w:val="4CA714FA"/>
    <w:rsid w:val="4CA8258C"/>
    <w:rsid w:val="4CAE17E1"/>
    <w:rsid w:val="4CAF4060"/>
    <w:rsid w:val="4CB077C0"/>
    <w:rsid w:val="4CB62970"/>
    <w:rsid w:val="4CB75DA4"/>
    <w:rsid w:val="4CBC73DE"/>
    <w:rsid w:val="4CC05F59"/>
    <w:rsid w:val="4CC11B20"/>
    <w:rsid w:val="4CC63BD6"/>
    <w:rsid w:val="4CC93612"/>
    <w:rsid w:val="4CCB76ED"/>
    <w:rsid w:val="4CD26E6A"/>
    <w:rsid w:val="4CDA1096"/>
    <w:rsid w:val="4CDB0016"/>
    <w:rsid w:val="4CDC63F3"/>
    <w:rsid w:val="4CE37884"/>
    <w:rsid w:val="4CE52F83"/>
    <w:rsid w:val="4CE616DC"/>
    <w:rsid w:val="4CEA1438"/>
    <w:rsid w:val="4CEB1BBD"/>
    <w:rsid w:val="4CF12A4E"/>
    <w:rsid w:val="4CF20187"/>
    <w:rsid w:val="4CF336D4"/>
    <w:rsid w:val="4CFC30D2"/>
    <w:rsid w:val="4D066720"/>
    <w:rsid w:val="4D12748B"/>
    <w:rsid w:val="4D1315D5"/>
    <w:rsid w:val="4D181C0B"/>
    <w:rsid w:val="4D1841AF"/>
    <w:rsid w:val="4D1A3A8E"/>
    <w:rsid w:val="4D1B3042"/>
    <w:rsid w:val="4D20648A"/>
    <w:rsid w:val="4D233936"/>
    <w:rsid w:val="4D2726E6"/>
    <w:rsid w:val="4D2A1656"/>
    <w:rsid w:val="4D3254C2"/>
    <w:rsid w:val="4D3303CF"/>
    <w:rsid w:val="4D394A55"/>
    <w:rsid w:val="4D3A3E8B"/>
    <w:rsid w:val="4D426D34"/>
    <w:rsid w:val="4D4514B9"/>
    <w:rsid w:val="4D452946"/>
    <w:rsid w:val="4D4573E8"/>
    <w:rsid w:val="4D467229"/>
    <w:rsid w:val="4D4876BB"/>
    <w:rsid w:val="4D4A5214"/>
    <w:rsid w:val="4D4B2916"/>
    <w:rsid w:val="4D504C2A"/>
    <w:rsid w:val="4D5632C6"/>
    <w:rsid w:val="4D592629"/>
    <w:rsid w:val="4D5B298C"/>
    <w:rsid w:val="4D5C01F5"/>
    <w:rsid w:val="4D5C4437"/>
    <w:rsid w:val="4D663035"/>
    <w:rsid w:val="4D681F07"/>
    <w:rsid w:val="4D6A1394"/>
    <w:rsid w:val="4D6B442F"/>
    <w:rsid w:val="4D6C1989"/>
    <w:rsid w:val="4D746873"/>
    <w:rsid w:val="4D77007F"/>
    <w:rsid w:val="4D7819F9"/>
    <w:rsid w:val="4D7A799F"/>
    <w:rsid w:val="4D7C6934"/>
    <w:rsid w:val="4D8048A3"/>
    <w:rsid w:val="4D820669"/>
    <w:rsid w:val="4D8A0B80"/>
    <w:rsid w:val="4D8A2A49"/>
    <w:rsid w:val="4D8C43DD"/>
    <w:rsid w:val="4D8D123B"/>
    <w:rsid w:val="4D8E3FB6"/>
    <w:rsid w:val="4D945770"/>
    <w:rsid w:val="4D956711"/>
    <w:rsid w:val="4D9A29D3"/>
    <w:rsid w:val="4DA017A5"/>
    <w:rsid w:val="4DA06152"/>
    <w:rsid w:val="4DA11886"/>
    <w:rsid w:val="4DA90188"/>
    <w:rsid w:val="4DA97930"/>
    <w:rsid w:val="4DB45A88"/>
    <w:rsid w:val="4DBA2C30"/>
    <w:rsid w:val="4DBD0445"/>
    <w:rsid w:val="4DBD08F4"/>
    <w:rsid w:val="4DC44C20"/>
    <w:rsid w:val="4DC633C2"/>
    <w:rsid w:val="4DC659BE"/>
    <w:rsid w:val="4DC752D0"/>
    <w:rsid w:val="4DC76C2A"/>
    <w:rsid w:val="4DCC29F2"/>
    <w:rsid w:val="4DCC7C37"/>
    <w:rsid w:val="4DCE0570"/>
    <w:rsid w:val="4DD03BA8"/>
    <w:rsid w:val="4DD224BD"/>
    <w:rsid w:val="4DD25FF2"/>
    <w:rsid w:val="4DD313B8"/>
    <w:rsid w:val="4DD35633"/>
    <w:rsid w:val="4DD81072"/>
    <w:rsid w:val="4DDA5694"/>
    <w:rsid w:val="4DE30E8F"/>
    <w:rsid w:val="4DE466F2"/>
    <w:rsid w:val="4DE850EF"/>
    <w:rsid w:val="4DED1E3F"/>
    <w:rsid w:val="4DEE2566"/>
    <w:rsid w:val="4DF041F1"/>
    <w:rsid w:val="4DFB2017"/>
    <w:rsid w:val="4DFE1074"/>
    <w:rsid w:val="4E035562"/>
    <w:rsid w:val="4E0379B8"/>
    <w:rsid w:val="4E0464EF"/>
    <w:rsid w:val="4E06042B"/>
    <w:rsid w:val="4E067438"/>
    <w:rsid w:val="4E110999"/>
    <w:rsid w:val="4E147C15"/>
    <w:rsid w:val="4E1D3C7F"/>
    <w:rsid w:val="4E1F1815"/>
    <w:rsid w:val="4E1F6017"/>
    <w:rsid w:val="4E2140F4"/>
    <w:rsid w:val="4E233762"/>
    <w:rsid w:val="4E2343CF"/>
    <w:rsid w:val="4E260606"/>
    <w:rsid w:val="4E2740EB"/>
    <w:rsid w:val="4E28084D"/>
    <w:rsid w:val="4E2A0D97"/>
    <w:rsid w:val="4E2C1398"/>
    <w:rsid w:val="4E302294"/>
    <w:rsid w:val="4E320B9F"/>
    <w:rsid w:val="4E3678E0"/>
    <w:rsid w:val="4E367C59"/>
    <w:rsid w:val="4E37629A"/>
    <w:rsid w:val="4E3E2946"/>
    <w:rsid w:val="4E495EF6"/>
    <w:rsid w:val="4E4C0274"/>
    <w:rsid w:val="4E4C125C"/>
    <w:rsid w:val="4E4F312A"/>
    <w:rsid w:val="4E505906"/>
    <w:rsid w:val="4E563DF5"/>
    <w:rsid w:val="4E616E66"/>
    <w:rsid w:val="4E625467"/>
    <w:rsid w:val="4E6605FE"/>
    <w:rsid w:val="4E662F4F"/>
    <w:rsid w:val="4E685C19"/>
    <w:rsid w:val="4E6D0B78"/>
    <w:rsid w:val="4E6F01C7"/>
    <w:rsid w:val="4E73568A"/>
    <w:rsid w:val="4E7444DB"/>
    <w:rsid w:val="4E7515A6"/>
    <w:rsid w:val="4E7A6246"/>
    <w:rsid w:val="4E7A6540"/>
    <w:rsid w:val="4E8A4E37"/>
    <w:rsid w:val="4E8B73A4"/>
    <w:rsid w:val="4E903ADA"/>
    <w:rsid w:val="4E933F65"/>
    <w:rsid w:val="4E941C49"/>
    <w:rsid w:val="4E976995"/>
    <w:rsid w:val="4E981D36"/>
    <w:rsid w:val="4E9863FB"/>
    <w:rsid w:val="4E9B19B8"/>
    <w:rsid w:val="4E9B65A9"/>
    <w:rsid w:val="4E9B7816"/>
    <w:rsid w:val="4E9C1E6D"/>
    <w:rsid w:val="4E9D42E1"/>
    <w:rsid w:val="4E9E7F53"/>
    <w:rsid w:val="4EA17796"/>
    <w:rsid w:val="4EA30A9A"/>
    <w:rsid w:val="4EA526C0"/>
    <w:rsid w:val="4EA778D4"/>
    <w:rsid w:val="4EAB0C80"/>
    <w:rsid w:val="4EAE511F"/>
    <w:rsid w:val="4EB0527F"/>
    <w:rsid w:val="4EB15FA6"/>
    <w:rsid w:val="4EB34E27"/>
    <w:rsid w:val="4EB515D8"/>
    <w:rsid w:val="4EB75BF0"/>
    <w:rsid w:val="4EBE6941"/>
    <w:rsid w:val="4EBE6D61"/>
    <w:rsid w:val="4EC34FB4"/>
    <w:rsid w:val="4EC80CE2"/>
    <w:rsid w:val="4ECA0019"/>
    <w:rsid w:val="4ECC131F"/>
    <w:rsid w:val="4ECF0131"/>
    <w:rsid w:val="4ED20572"/>
    <w:rsid w:val="4ED36CC5"/>
    <w:rsid w:val="4ED66852"/>
    <w:rsid w:val="4ED676FA"/>
    <w:rsid w:val="4EDD09B2"/>
    <w:rsid w:val="4EE004A2"/>
    <w:rsid w:val="4EE912AA"/>
    <w:rsid w:val="4EEC5C1E"/>
    <w:rsid w:val="4EF132B9"/>
    <w:rsid w:val="4EF81312"/>
    <w:rsid w:val="4EFE6FD0"/>
    <w:rsid w:val="4F087E0F"/>
    <w:rsid w:val="4F0A06B2"/>
    <w:rsid w:val="4F0A29C0"/>
    <w:rsid w:val="4F0D36AF"/>
    <w:rsid w:val="4F0D57C6"/>
    <w:rsid w:val="4F103019"/>
    <w:rsid w:val="4F1245DC"/>
    <w:rsid w:val="4F131705"/>
    <w:rsid w:val="4F183F19"/>
    <w:rsid w:val="4F1A4FC7"/>
    <w:rsid w:val="4F1C408D"/>
    <w:rsid w:val="4F1D186A"/>
    <w:rsid w:val="4F282365"/>
    <w:rsid w:val="4F30581E"/>
    <w:rsid w:val="4F33196F"/>
    <w:rsid w:val="4F356E4A"/>
    <w:rsid w:val="4F3914E9"/>
    <w:rsid w:val="4F3E657F"/>
    <w:rsid w:val="4F406691"/>
    <w:rsid w:val="4F4472C8"/>
    <w:rsid w:val="4F4C068F"/>
    <w:rsid w:val="4F4C535B"/>
    <w:rsid w:val="4F4F0363"/>
    <w:rsid w:val="4F4F29D1"/>
    <w:rsid w:val="4F510DF4"/>
    <w:rsid w:val="4F523BF4"/>
    <w:rsid w:val="4F524AC8"/>
    <w:rsid w:val="4F564490"/>
    <w:rsid w:val="4F564C5B"/>
    <w:rsid w:val="4F564ECC"/>
    <w:rsid w:val="4F5A43A8"/>
    <w:rsid w:val="4F5E3989"/>
    <w:rsid w:val="4F602642"/>
    <w:rsid w:val="4F63590E"/>
    <w:rsid w:val="4F696E91"/>
    <w:rsid w:val="4F6B30F2"/>
    <w:rsid w:val="4F6E3E93"/>
    <w:rsid w:val="4F6F6B26"/>
    <w:rsid w:val="4F717544"/>
    <w:rsid w:val="4F7544D3"/>
    <w:rsid w:val="4F755278"/>
    <w:rsid w:val="4F79785C"/>
    <w:rsid w:val="4F7B4353"/>
    <w:rsid w:val="4F7C6991"/>
    <w:rsid w:val="4F7F6BBD"/>
    <w:rsid w:val="4F8025D8"/>
    <w:rsid w:val="4F81312D"/>
    <w:rsid w:val="4F834578"/>
    <w:rsid w:val="4F853022"/>
    <w:rsid w:val="4F875539"/>
    <w:rsid w:val="4F8A66FF"/>
    <w:rsid w:val="4F8B02D3"/>
    <w:rsid w:val="4F8B0610"/>
    <w:rsid w:val="4F8C4624"/>
    <w:rsid w:val="4F8E0401"/>
    <w:rsid w:val="4F9A4C4D"/>
    <w:rsid w:val="4F9A62F1"/>
    <w:rsid w:val="4F9B6877"/>
    <w:rsid w:val="4F9E0D73"/>
    <w:rsid w:val="4F9E4B23"/>
    <w:rsid w:val="4FA55271"/>
    <w:rsid w:val="4FA84149"/>
    <w:rsid w:val="4FAF553E"/>
    <w:rsid w:val="4FB610D3"/>
    <w:rsid w:val="4FB9178C"/>
    <w:rsid w:val="4FB93DF2"/>
    <w:rsid w:val="4FBB2A84"/>
    <w:rsid w:val="4FC03DCA"/>
    <w:rsid w:val="4FC31D1A"/>
    <w:rsid w:val="4FC3558C"/>
    <w:rsid w:val="4FC916DE"/>
    <w:rsid w:val="4FCC197B"/>
    <w:rsid w:val="4FCE5824"/>
    <w:rsid w:val="4FD25E0C"/>
    <w:rsid w:val="4FD45FE4"/>
    <w:rsid w:val="4FF11B58"/>
    <w:rsid w:val="4FF41905"/>
    <w:rsid w:val="4FF50870"/>
    <w:rsid w:val="4FF66329"/>
    <w:rsid w:val="50007E67"/>
    <w:rsid w:val="50013294"/>
    <w:rsid w:val="50025FE7"/>
    <w:rsid w:val="50031D77"/>
    <w:rsid w:val="50045E86"/>
    <w:rsid w:val="500471D7"/>
    <w:rsid w:val="500B2A23"/>
    <w:rsid w:val="500F60FB"/>
    <w:rsid w:val="500F7244"/>
    <w:rsid w:val="50103A2E"/>
    <w:rsid w:val="50115C78"/>
    <w:rsid w:val="5011694C"/>
    <w:rsid w:val="5012413B"/>
    <w:rsid w:val="50133297"/>
    <w:rsid w:val="50147815"/>
    <w:rsid w:val="50163D16"/>
    <w:rsid w:val="50193CA0"/>
    <w:rsid w:val="501B0EEF"/>
    <w:rsid w:val="501E7A5E"/>
    <w:rsid w:val="50220AE3"/>
    <w:rsid w:val="502253B8"/>
    <w:rsid w:val="502A72C7"/>
    <w:rsid w:val="502B5150"/>
    <w:rsid w:val="502B566E"/>
    <w:rsid w:val="502D7091"/>
    <w:rsid w:val="502F0C29"/>
    <w:rsid w:val="5031331C"/>
    <w:rsid w:val="50313AB9"/>
    <w:rsid w:val="50363D3D"/>
    <w:rsid w:val="50371185"/>
    <w:rsid w:val="503876B9"/>
    <w:rsid w:val="50397B0C"/>
    <w:rsid w:val="503F26E5"/>
    <w:rsid w:val="504735F1"/>
    <w:rsid w:val="504759DA"/>
    <w:rsid w:val="50484A2B"/>
    <w:rsid w:val="504F19BA"/>
    <w:rsid w:val="505100A0"/>
    <w:rsid w:val="505306A5"/>
    <w:rsid w:val="505352D8"/>
    <w:rsid w:val="50595B37"/>
    <w:rsid w:val="505A1156"/>
    <w:rsid w:val="505B713A"/>
    <w:rsid w:val="505C7582"/>
    <w:rsid w:val="505F4F3F"/>
    <w:rsid w:val="506070BA"/>
    <w:rsid w:val="50672769"/>
    <w:rsid w:val="50691B86"/>
    <w:rsid w:val="506A1983"/>
    <w:rsid w:val="506C312B"/>
    <w:rsid w:val="507738E9"/>
    <w:rsid w:val="50787BA9"/>
    <w:rsid w:val="507B671C"/>
    <w:rsid w:val="507C7FA7"/>
    <w:rsid w:val="507D027B"/>
    <w:rsid w:val="5088161B"/>
    <w:rsid w:val="508A0518"/>
    <w:rsid w:val="508A4F70"/>
    <w:rsid w:val="508E6540"/>
    <w:rsid w:val="50942CF5"/>
    <w:rsid w:val="50965FB8"/>
    <w:rsid w:val="509E54C1"/>
    <w:rsid w:val="50A576CC"/>
    <w:rsid w:val="50A85F18"/>
    <w:rsid w:val="50AC2A59"/>
    <w:rsid w:val="50B105AB"/>
    <w:rsid w:val="50B26015"/>
    <w:rsid w:val="50B778DA"/>
    <w:rsid w:val="50B80945"/>
    <w:rsid w:val="50B94CDA"/>
    <w:rsid w:val="50BB2A75"/>
    <w:rsid w:val="50BD2332"/>
    <w:rsid w:val="50CB027C"/>
    <w:rsid w:val="50CC22CA"/>
    <w:rsid w:val="50CD045B"/>
    <w:rsid w:val="50CF7506"/>
    <w:rsid w:val="50D4339B"/>
    <w:rsid w:val="50D9379D"/>
    <w:rsid w:val="50DB26D2"/>
    <w:rsid w:val="50DC4797"/>
    <w:rsid w:val="50DD28EE"/>
    <w:rsid w:val="50E03B4D"/>
    <w:rsid w:val="50E57F92"/>
    <w:rsid w:val="50E67F9F"/>
    <w:rsid w:val="50E7654A"/>
    <w:rsid w:val="50E813D8"/>
    <w:rsid w:val="50EE3E2C"/>
    <w:rsid w:val="50EF5E06"/>
    <w:rsid w:val="50F1185A"/>
    <w:rsid w:val="50F445E8"/>
    <w:rsid w:val="50F86787"/>
    <w:rsid w:val="50F90C16"/>
    <w:rsid w:val="50FC4C09"/>
    <w:rsid w:val="50FF4F27"/>
    <w:rsid w:val="51010073"/>
    <w:rsid w:val="510249BE"/>
    <w:rsid w:val="51070723"/>
    <w:rsid w:val="510A120A"/>
    <w:rsid w:val="510C7B90"/>
    <w:rsid w:val="510E48AA"/>
    <w:rsid w:val="510F3FDA"/>
    <w:rsid w:val="51125972"/>
    <w:rsid w:val="511269DC"/>
    <w:rsid w:val="511322EF"/>
    <w:rsid w:val="51155D2E"/>
    <w:rsid w:val="51194728"/>
    <w:rsid w:val="511A37FD"/>
    <w:rsid w:val="511B709E"/>
    <w:rsid w:val="511C770D"/>
    <w:rsid w:val="51215947"/>
    <w:rsid w:val="51231555"/>
    <w:rsid w:val="512379E4"/>
    <w:rsid w:val="5129563D"/>
    <w:rsid w:val="51310136"/>
    <w:rsid w:val="51324122"/>
    <w:rsid w:val="51344CA6"/>
    <w:rsid w:val="513576CE"/>
    <w:rsid w:val="513900AB"/>
    <w:rsid w:val="513B2563"/>
    <w:rsid w:val="513B4328"/>
    <w:rsid w:val="513C4F94"/>
    <w:rsid w:val="513C5F8F"/>
    <w:rsid w:val="513E58F4"/>
    <w:rsid w:val="514111AB"/>
    <w:rsid w:val="51432317"/>
    <w:rsid w:val="51432827"/>
    <w:rsid w:val="51472977"/>
    <w:rsid w:val="514A3A9A"/>
    <w:rsid w:val="514D4548"/>
    <w:rsid w:val="51510DDF"/>
    <w:rsid w:val="5154608C"/>
    <w:rsid w:val="515B691C"/>
    <w:rsid w:val="515E4754"/>
    <w:rsid w:val="51603836"/>
    <w:rsid w:val="51620C42"/>
    <w:rsid w:val="516C013F"/>
    <w:rsid w:val="51741030"/>
    <w:rsid w:val="517433D1"/>
    <w:rsid w:val="51754AEF"/>
    <w:rsid w:val="51770C91"/>
    <w:rsid w:val="51791674"/>
    <w:rsid w:val="517D542F"/>
    <w:rsid w:val="51864622"/>
    <w:rsid w:val="51911C4A"/>
    <w:rsid w:val="51930797"/>
    <w:rsid w:val="51986232"/>
    <w:rsid w:val="519B49AB"/>
    <w:rsid w:val="519C69EF"/>
    <w:rsid w:val="519F6117"/>
    <w:rsid w:val="51A67A7B"/>
    <w:rsid w:val="51A9135D"/>
    <w:rsid w:val="51B004CA"/>
    <w:rsid w:val="51B12547"/>
    <w:rsid w:val="51B301CD"/>
    <w:rsid w:val="51B336E5"/>
    <w:rsid w:val="51B35876"/>
    <w:rsid w:val="51B5204C"/>
    <w:rsid w:val="51BD29D3"/>
    <w:rsid w:val="51BE4F0C"/>
    <w:rsid w:val="51BF59FB"/>
    <w:rsid w:val="51C121F1"/>
    <w:rsid w:val="51C82E16"/>
    <w:rsid w:val="51C834DF"/>
    <w:rsid w:val="51CB3391"/>
    <w:rsid w:val="51CC0494"/>
    <w:rsid w:val="51D318D0"/>
    <w:rsid w:val="51D32353"/>
    <w:rsid w:val="51D67D9D"/>
    <w:rsid w:val="51DA5745"/>
    <w:rsid w:val="51DE0004"/>
    <w:rsid w:val="51DF1584"/>
    <w:rsid w:val="51E33913"/>
    <w:rsid w:val="51EA12E3"/>
    <w:rsid w:val="51EE0815"/>
    <w:rsid w:val="51EE46D4"/>
    <w:rsid w:val="51F1470C"/>
    <w:rsid w:val="51FF1172"/>
    <w:rsid w:val="51FF131A"/>
    <w:rsid w:val="51FF24D8"/>
    <w:rsid w:val="52045253"/>
    <w:rsid w:val="52046130"/>
    <w:rsid w:val="520862DE"/>
    <w:rsid w:val="520B0D2A"/>
    <w:rsid w:val="52104A72"/>
    <w:rsid w:val="521279C3"/>
    <w:rsid w:val="52144FA2"/>
    <w:rsid w:val="52154F25"/>
    <w:rsid w:val="521E2F79"/>
    <w:rsid w:val="521E3876"/>
    <w:rsid w:val="5220196F"/>
    <w:rsid w:val="5222595D"/>
    <w:rsid w:val="522363BA"/>
    <w:rsid w:val="52251ED6"/>
    <w:rsid w:val="5229681C"/>
    <w:rsid w:val="522A24E9"/>
    <w:rsid w:val="5235134C"/>
    <w:rsid w:val="52366369"/>
    <w:rsid w:val="5237228B"/>
    <w:rsid w:val="52373945"/>
    <w:rsid w:val="52377BAF"/>
    <w:rsid w:val="52390F77"/>
    <w:rsid w:val="523947AD"/>
    <w:rsid w:val="523C5FC3"/>
    <w:rsid w:val="523E5799"/>
    <w:rsid w:val="523F30C9"/>
    <w:rsid w:val="52404855"/>
    <w:rsid w:val="524143B1"/>
    <w:rsid w:val="52463718"/>
    <w:rsid w:val="524705E5"/>
    <w:rsid w:val="52470CF6"/>
    <w:rsid w:val="52487410"/>
    <w:rsid w:val="524D3CC1"/>
    <w:rsid w:val="52501A6C"/>
    <w:rsid w:val="525058F9"/>
    <w:rsid w:val="525B51F3"/>
    <w:rsid w:val="525E5F9C"/>
    <w:rsid w:val="525F1040"/>
    <w:rsid w:val="52641DE0"/>
    <w:rsid w:val="52697D8C"/>
    <w:rsid w:val="526A17D0"/>
    <w:rsid w:val="52712310"/>
    <w:rsid w:val="52767A06"/>
    <w:rsid w:val="527761B6"/>
    <w:rsid w:val="527C6254"/>
    <w:rsid w:val="52830B6E"/>
    <w:rsid w:val="528A7C1D"/>
    <w:rsid w:val="528B3E34"/>
    <w:rsid w:val="5291489F"/>
    <w:rsid w:val="5292659C"/>
    <w:rsid w:val="52972C3B"/>
    <w:rsid w:val="52992A36"/>
    <w:rsid w:val="52A07890"/>
    <w:rsid w:val="52A54A46"/>
    <w:rsid w:val="52A84C54"/>
    <w:rsid w:val="52B1329C"/>
    <w:rsid w:val="52B30C65"/>
    <w:rsid w:val="52B7204E"/>
    <w:rsid w:val="52B77E6A"/>
    <w:rsid w:val="52B85C02"/>
    <w:rsid w:val="52BD6E70"/>
    <w:rsid w:val="52C25E0A"/>
    <w:rsid w:val="52C36155"/>
    <w:rsid w:val="52C4212F"/>
    <w:rsid w:val="52C70B56"/>
    <w:rsid w:val="52C8775E"/>
    <w:rsid w:val="52CA29FF"/>
    <w:rsid w:val="52CC65F6"/>
    <w:rsid w:val="52CC769D"/>
    <w:rsid w:val="52CD084A"/>
    <w:rsid w:val="52CE7701"/>
    <w:rsid w:val="52D21998"/>
    <w:rsid w:val="52D83B3C"/>
    <w:rsid w:val="52DB2866"/>
    <w:rsid w:val="52DB28FF"/>
    <w:rsid w:val="52DD0272"/>
    <w:rsid w:val="52DE40F7"/>
    <w:rsid w:val="52E02222"/>
    <w:rsid w:val="52E32CEE"/>
    <w:rsid w:val="52E8564A"/>
    <w:rsid w:val="52ED7C3E"/>
    <w:rsid w:val="52EE6DF2"/>
    <w:rsid w:val="53016796"/>
    <w:rsid w:val="53023724"/>
    <w:rsid w:val="530E041C"/>
    <w:rsid w:val="53141612"/>
    <w:rsid w:val="531769E0"/>
    <w:rsid w:val="53186EB6"/>
    <w:rsid w:val="53192278"/>
    <w:rsid w:val="531A1057"/>
    <w:rsid w:val="531A5E50"/>
    <w:rsid w:val="531B5950"/>
    <w:rsid w:val="531C00D4"/>
    <w:rsid w:val="531C2C20"/>
    <w:rsid w:val="531F1706"/>
    <w:rsid w:val="531F353E"/>
    <w:rsid w:val="53221747"/>
    <w:rsid w:val="5326010D"/>
    <w:rsid w:val="53265E85"/>
    <w:rsid w:val="532B269C"/>
    <w:rsid w:val="532D372F"/>
    <w:rsid w:val="532F7F7C"/>
    <w:rsid w:val="533D5CAF"/>
    <w:rsid w:val="533E729E"/>
    <w:rsid w:val="53466BED"/>
    <w:rsid w:val="534A5EA5"/>
    <w:rsid w:val="534B1263"/>
    <w:rsid w:val="534C3CD9"/>
    <w:rsid w:val="534F4459"/>
    <w:rsid w:val="53596603"/>
    <w:rsid w:val="535979CB"/>
    <w:rsid w:val="535B56EE"/>
    <w:rsid w:val="535F6596"/>
    <w:rsid w:val="5364162F"/>
    <w:rsid w:val="53655136"/>
    <w:rsid w:val="536664C9"/>
    <w:rsid w:val="53675C53"/>
    <w:rsid w:val="536B5230"/>
    <w:rsid w:val="53793DFF"/>
    <w:rsid w:val="537A2348"/>
    <w:rsid w:val="537D1510"/>
    <w:rsid w:val="538264F3"/>
    <w:rsid w:val="538278D6"/>
    <w:rsid w:val="5388202C"/>
    <w:rsid w:val="538B4CE0"/>
    <w:rsid w:val="53962F73"/>
    <w:rsid w:val="539832A1"/>
    <w:rsid w:val="539B1CE3"/>
    <w:rsid w:val="539D04CB"/>
    <w:rsid w:val="539E2B1D"/>
    <w:rsid w:val="53A215E5"/>
    <w:rsid w:val="53A55BDC"/>
    <w:rsid w:val="53AD6ECB"/>
    <w:rsid w:val="53AE289D"/>
    <w:rsid w:val="53B11D82"/>
    <w:rsid w:val="53B24486"/>
    <w:rsid w:val="53B73847"/>
    <w:rsid w:val="53BA2857"/>
    <w:rsid w:val="53BA37C9"/>
    <w:rsid w:val="53BA42F8"/>
    <w:rsid w:val="53BD07B5"/>
    <w:rsid w:val="53C460E5"/>
    <w:rsid w:val="53C72761"/>
    <w:rsid w:val="53C92B88"/>
    <w:rsid w:val="53CA256E"/>
    <w:rsid w:val="53CB3583"/>
    <w:rsid w:val="53CC03B0"/>
    <w:rsid w:val="53CD0591"/>
    <w:rsid w:val="53D326E0"/>
    <w:rsid w:val="53D44AD8"/>
    <w:rsid w:val="53D45212"/>
    <w:rsid w:val="53D56640"/>
    <w:rsid w:val="53D57E8A"/>
    <w:rsid w:val="53DC0001"/>
    <w:rsid w:val="53DD755B"/>
    <w:rsid w:val="53DF34AF"/>
    <w:rsid w:val="53E12494"/>
    <w:rsid w:val="53E24720"/>
    <w:rsid w:val="53E328C4"/>
    <w:rsid w:val="53E53330"/>
    <w:rsid w:val="53E55CE7"/>
    <w:rsid w:val="53E654E2"/>
    <w:rsid w:val="53EA7F44"/>
    <w:rsid w:val="53EC7FFD"/>
    <w:rsid w:val="53ED0F2F"/>
    <w:rsid w:val="53EE6C13"/>
    <w:rsid w:val="53F32E96"/>
    <w:rsid w:val="53F378A4"/>
    <w:rsid w:val="53F5335A"/>
    <w:rsid w:val="53F83FD3"/>
    <w:rsid w:val="53FA63BC"/>
    <w:rsid w:val="53FC6882"/>
    <w:rsid w:val="53FE2E37"/>
    <w:rsid w:val="54021D98"/>
    <w:rsid w:val="5402737F"/>
    <w:rsid w:val="540B2C78"/>
    <w:rsid w:val="540F5CFD"/>
    <w:rsid w:val="54123686"/>
    <w:rsid w:val="54217137"/>
    <w:rsid w:val="5426545C"/>
    <w:rsid w:val="542719A2"/>
    <w:rsid w:val="5428680D"/>
    <w:rsid w:val="542C3360"/>
    <w:rsid w:val="543F5E28"/>
    <w:rsid w:val="544607AB"/>
    <w:rsid w:val="544738DD"/>
    <w:rsid w:val="544931E6"/>
    <w:rsid w:val="544A588D"/>
    <w:rsid w:val="544C5FBC"/>
    <w:rsid w:val="544F1644"/>
    <w:rsid w:val="54557DAA"/>
    <w:rsid w:val="54567EFA"/>
    <w:rsid w:val="54594413"/>
    <w:rsid w:val="545E7B4F"/>
    <w:rsid w:val="54611CA4"/>
    <w:rsid w:val="546834F7"/>
    <w:rsid w:val="54737B67"/>
    <w:rsid w:val="547565DC"/>
    <w:rsid w:val="547E2152"/>
    <w:rsid w:val="548076FE"/>
    <w:rsid w:val="54817A35"/>
    <w:rsid w:val="54817FED"/>
    <w:rsid w:val="54850B7B"/>
    <w:rsid w:val="54855D3E"/>
    <w:rsid w:val="54873633"/>
    <w:rsid w:val="5488047B"/>
    <w:rsid w:val="548C77AF"/>
    <w:rsid w:val="548D050A"/>
    <w:rsid w:val="54930567"/>
    <w:rsid w:val="5495703C"/>
    <w:rsid w:val="54965F0C"/>
    <w:rsid w:val="549C14A2"/>
    <w:rsid w:val="549C3CFF"/>
    <w:rsid w:val="549D6616"/>
    <w:rsid w:val="54A07C70"/>
    <w:rsid w:val="54A23CA5"/>
    <w:rsid w:val="54A279C4"/>
    <w:rsid w:val="54A7357E"/>
    <w:rsid w:val="54AB08EF"/>
    <w:rsid w:val="54B578B6"/>
    <w:rsid w:val="54B75629"/>
    <w:rsid w:val="54C04196"/>
    <w:rsid w:val="54CD01B6"/>
    <w:rsid w:val="54CE7942"/>
    <w:rsid w:val="54D21891"/>
    <w:rsid w:val="54DA0170"/>
    <w:rsid w:val="54DB54AB"/>
    <w:rsid w:val="54DC0D1E"/>
    <w:rsid w:val="54DD4CB3"/>
    <w:rsid w:val="54DE738F"/>
    <w:rsid w:val="54E104F0"/>
    <w:rsid w:val="54E1330A"/>
    <w:rsid w:val="54E527B1"/>
    <w:rsid w:val="54EB1352"/>
    <w:rsid w:val="54EB1517"/>
    <w:rsid w:val="54F125C1"/>
    <w:rsid w:val="54F1706E"/>
    <w:rsid w:val="54F2632C"/>
    <w:rsid w:val="54F40D8D"/>
    <w:rsid w:val="54F529EF"/>
    <w:rsid w:val="54F77CF7"/>
    <w:rsid w:val="54FA04D0"/>
    <w:rsid w:val="54FF14A6"/>
    <w:rsid w:val="55023594"/>
    <w:rsid w:val="550451B4"/>
    <w:rsid w:val="55054CB0"/>
    <w:rsid w:val="55084E70"/>
    <w:rsid w:val="550B0F24"/>
    <w:rsid w:val="550F1E03"/>
    <w:rsid w:val="55102C01"/>
    <w:rsid w:val="551A5EBC"/>
    <w:rsid w:val="551B5676"/>
    <w:rsid w:val="551F206E"/>
    <w:rsid w:val="5520643F"/>
    <w:rsid w:val="55356B0A"/>
    <w:rsid w:val="553C6E5F"/>
    <w:rsid w:val="554A2F5E"/>
    <w:rsid w:val="554A4865"/>
    <w:rsid w:val="554E08F8"/>
    <w:rsid w:val="55550267"/>
    <w:rsid w:val="555558A5"/>
    <w:rsid w:val="555720A9"/>
    <w:rsid w:val="55576C33"/>
    <w:rsid w:val="55582D48"/>
    <w:rsid w:val="555B1E32"/>
    <w:rsid w:val="555C4D95"/>
    <w:rsid w:val="555F75B0"/>
    <w:rsid w:val="556126F5"/>
    <w:rsid w:val="556350A8"/>
    <w:rsid w:val="55660816"/>
    <w:rsid w:val="556764DD"/>
    <w:rsid w:val="55687EF2"/>
    <w:rsid w:val="55720EB0"/>
    <w:rsid w:val="557503CA"/>
    <w:rsid w:val="557A245D"/>
    <w:rsid w:val="55800B3C"/>
    <w:rsid w:val="5594743D"/>
    <w:rsid w:val="5596169E"/>
    <w:rsid w:val="5596306C"/>
    <w:rsid w:val="559876FC"/>
    <w:rsid w:val="559B63BE"/>
    <w:rsid w:val="559C6768"/>
    <w:rsid w:val="559D19B5"/>
    <w:rsid w:val="55A31E41"/>
    <w:rsid w:val="55A4514A"/>
    <w:rsid w:val="55A80FB3"/>
    <w:rsid w:val="55AB3048"/>
    <w:rsid w:val="55AB6C01"/>
    <w:rsid w:val="55AB74B9"/>
    <w:rsid w:val="55AD6998"/>
    <w:rsid w:val="55AE0A8D"/>
    <w:rsid w:val="55AF3F18"/>
    <w:rsid w:val="55B17B05"/>
    <w:rsid w:val="55B32255"/>
    <w:rsid w:val="55B44918"/>
    <w:rsid w:val="55B5078A"/>
    <w:rsid w:val="55B728F9"/>
    <w:rsid w:val="55BC0315"/>
    <w:rsid w:val="55C05952"/>
    <w:rsid w:val="55C377EF"/>
    <w:rsid w:val="55C91207"/>
    <w:rsid w:val="55CA4E10"/>
    <w:rsid w:val="55CF53CD"/>
    <w:rsid w:val="55D46B63"/>
    <w:rsid w:val="55D5401C"/>
    <w:rsid w:val="55DC2B40"/>
    <w:rsid w:val="55E44A8C"/>
    <w:rsid w:val="55E61CEE"/>
    <w:rsid w:val="55E839D7"/>
    <w:rsid w:val="55EA1DEF"/>
    <w:rsid w:val="55EC70A6"/>
    <w:rsid w:val="55F03B6D"/>
    <w:rsid w:val="55FD5421"/>
    <w:rsid w:val="55FD7BA1"/>
    <w:rsid w:val="55FE012C"/>
    <w:rsid w:val="55FF0741"/>
    <w:rsid w:val="56003346"/>
    <w:rsid w:val="560036F5"/>
    <w:rsid w:val="560063D4"/>
    <w:rsid w:val="56007A21"/>
    <w:rsid w:val="56020050"/>
    <w:rsid w:val="56071B0A"/>
    <w:rsid w:val="56097155"/>
    <w:rsid w:val="560E3120"/>
    <w:rsid w:val="56154402"/>
    <w:rsid w:val="56173E32"/>
    <w:rsid w:val="561871BB"/>
    <w:rsid w:val="561B7025"/>
    <w:rsid w:val="562162B2"/>
    <w:rsid w:val="5624337B"/>
    <w:rsid w:val="56324D6F"/>
    <w:rsid w:val="5635103F"/>
    <w:rsid w:val="56370DE3"/>
    <w:rsid w:val="563952B7"/>
    <w:rsid w:val="563C25E3"/>
    <w:rsid w:val="563E252A"/>
    <w:rsid w:val="56422210"/>
    <w:rsid w:val="56451B88"/>
    <w:rsid w:val="56454546"/>
    <w:rsid w:val="564F1C81"/>
    <w:rsid w:val="56501075"/>
    <w:rsid w:val="56514A7F"/>
    <w:rsid w:val="565247F6"/>
    <w:rsid w:val="56533CDB"/>
    <w:rsid w:val="56540197"/>
    <w:rsid w:val="565529C7"/>
    <w:rsid w:val="56576885"/>
    <w:rsid w:val="56591CE3"/>
    <w:rsid w:val="565B24CC"/>
    <w:rsid w:val="565B3989"/>
    <w:rsid w:val="565D25B0"/>
    <w:rsid w:val="565E4125"/>
    <w:rsid w:val="565E4C75"/>
    <w:rsid w:val="56643ACD"/>
    <w:rsid w:val="56650B43"/>
    <w:rsid w:val="566534DB"/>
    <w:rsid w:val="56653597"/>
    <w:rsid w:val="56663D4D"/>
    <w:rsid w:val="56673CBF"/>
    <w:rsid w:val="566A3D4F"/>
    <w:rsid w:val="566B09AB"/>
    <w:rsid w:val="566C280C"/>
    <w:rsid w:val="566C53D3"/>
    <w:rsid w:val="567211A4"/>
    <w:rsid w:val="567860CC"/>
    <w:rsid w:val="567D6E25"/>
    <w:rsid w:val="567F25FF"/>
    <w:rsid w:val="5680219E"/>
    <w:rsid w:val="568158A5"/>
    <w:rsid w:val="56891F43"/>
    <w:rsid w:val="568E098A"/>
    <w:rsid w:val="568F499E"/>
    <w:rsid w:val="569123FB"/>
    <w:rsid w:val="56913F89"/>
    <w:rsid w:val="56924A56"/>
    <w:rsid w:val="56993662"/>
    <w:rsid w:val="569C7581"/>
    <w:rsid w:val="56A123BD"/>
    <w:rsid w:val="56A208E5"/>
    <w:rsid w:val="56A22B2F"/>
    <w:rsid w:val="56A64623"/>
    <w:rsid w:val="56AB0D99"/>
    <w:rsid w:val="56AC097C"/>
    <w:rsid w:val="56AD0503"/>
    <w:rsid w:val="56AE4C1A"/>
    <w:rsid w:val="56AF4152"/>
    <w:rsid w:val="56B441AD"/>
    <w:rsid w:val="56B65B8F"/>
    <w:rsid w:val="56B83E24"/>
    <w:rsid w:val="56B94E90"/>
    <w:rsid w:val="56BD2090"/>
    <w:rsid w:val="56BE4269"/>
    <w:rsid w:val="56C36540"/>
    <w:rsid w:val="56C420A0"/>
    <w:rsid w:val="56C60B09"/>
    <w:rsid w:val="56C94222"/>
    <w:rsid w:val="56C968A8"/>
    <w:rsid w:val="56D562D7"/>
    <w:rsid w:val="56DD7F0C"/>
    <w:rsid w:val="56DE3272"/>
    <w:rsid w:val="56E104BE"/>
    <w:rsid w:val="56E23CA1"/>
    <w:rsid w:val="56E37BFB"/>
    <w:rsid w:val="56EA5166"/>
    <w:rsid w:val="56EB5181"/>
    <w:rsid w:val="56EC4C51"/>
    <w:rsid w:val="56EF07AB"/>
    <w:rsid w:val="56F013E0"/>
    <w:rsid w:val="56F34EDB"/>
    <w:rsid w:val="56F62C88"/>
    <w:rsid w:val="56F92123"/>
    <w:rsid w:val="56FF2E93"/>
    <w:rsid w:val="57011FB6"/>
    <w:rsid w:val="57032C73"/>
    <w:rsid w:val="57064221"/>
    <w:rsid w:val="570B3881"/>
    <w:rsid w:val="570B7739"/>
    <w:rsid w:val="5710464C"/>
    <w:rsid w:val="57180E07"/>
    <w:rsid w:val="57195BC2"/>
    <w:rsid w:val="57196535"/>
    <w:rsid w:val="571A21C7"/>
    <w:rsid w:val="571A5706"/>
    <w:rsid w:val="571B3D25"/>
    <w:rsid w:val="571D34C4"/>
    <w:rsid w:val="571F6AF6"/>
    <w:rsid w:val="571F79EF"/>
    <w:rsid w:val="571F7A24"/>
    <w:rsid w:val="572054E3"/>
    <w:rsid w:val="57215C40"/>
    <w:rsid w:val="57220184"/>
    <w:rsid w:val="57261CEB"/>
    <w:rsid w:val="572715AB"/>
    <w:rsid w:val="572A1E55"/>
    <w:rsid w:val="572B761D"/>
    <w:rsid w:val="572B7D60"/>
    <w:rsid w:val="57302E47"/>
    <w:rsid w:val="573072F5"/>
    <w:rsid w:val="5732471A"/>
    <w:rsid w:val="57354D95"/>
    <w:rsid w:val="573617E7"/>
    <w:rsid w:val="57371630"/>
    <w:rsid w:val="57373C2C"/>
    <w:rsid w:val="573769EE"/>
    <w:rsid w:val="57385003"/>
    <w:rsid w:val="573963BA"/>
    <w:rsid w:val="573C5AD1"/>
    <w:rsid w:val="57443968"/>
    <w:rsid w:val="574624C6"/>
    <w:rsid w:val="57467DE6"/>
    <w:rsid w:val="57496DBF"/>
    <w:rsid w:val="574A2194"/>
    <w:rsid w:val="574B0D6F"/>
    <w:rsid w:val="5752625B"/>
    <w:rsid w:val="57533E92"/>
    <w:rsid w:val="57537351"/>
    <w:rsid w:val="5755753E"/>
    <w:rsid w:val="575635E0"/>
    <w:rsid w:val="57564410"/>
    <w:rsid w:val="575672A1"/>
    <w:rsid w:val="575A2D3A"/>
    <w:rsid w:val="575A7B3D"/>
    <w:rsid w:val="576220E6"/>
    <w:rsid w:val="57650F48"/>
    <w:rsid w:val="5765453C"/>
    <w:rsid w:val="5766328E"/>
    <w:rsid w:val="576A110B"/>
    <w:rsid w:val="576A3FD5"/>
    <w:rsid w:val="576B154B"/>
    <w:rsid w:val="576E7A4E"/>
    <w:rsid w:val="57720802"/>
    <w:rsid w:val="577547AF"/>
    <w:rsid w:val="57776B56"/>
    <w:rsid w:val="57794108"/>
    <w:rsid w:val="577B5B31"/>
    <w:rsid w:val="57870434"/>
    <w:rsid w:val="578723AE"/>
    <w:rsid w:val="578D64C1"/>
    <w:rsid w:val="57923D60"/>
    <w:rsid w:val="579A15CC"/>
    <w:rsid w:val="579C08CB"/>
    <w:rsid w:val="579F1613"/>
    <w:rsid w:val="57A22801"/>
    <w:rsid w:val="57A64FA1"/>
    <w:rsid w:val="57A66852"/>
    <w:rsid w:val="57A70E64"/>
    <w:rsid w:val="57AE0B97"/>
    <w:rsid w:val="57B12A64"/>
    <w:rsid w:val="57B15456"/>
    <w:rsid w:val="57B263DF"/>
    <w:rsid w:val="57B32BC0"/>
    <w:rsid w:val="57B661BB"/>
    <w:rsid w:val="57B7384B"/>
    <w:rsid w:val="57B77AAE"/>
    <w:rsid w:val="57BB1620"/>
    <w:rsid w:val="57BC6A1D"/>
    <w:rsid w:val="57C01BB1"/>
    <w:rsid w:val="57C438E7"/>
    <w:rsid w:val="57C96543"/>
    <w:rsid w:val="57CB12F5"/>
    <w:rsid w:val="57CB71BD"/>
    <w:rsid w:val="57CC5B15"/>
    <w:rsid w:val="57D30014"/>
    <w:rsid w:val="57D30F60"/>
    <w:rsid w:val="57D315CE"/>
    <w:rsid w:val="57D33B34"/>
    <w:rsid w:val="57D44958"/>
    <w:rsid w:val="57D66756"/>
    <w:rsid w:val="57D66FDB"/>
    <w:rsid w:val="57D814F7"/>
    <w:rsid w:val="57E47088"/>
    <w:rsid w:val="57E71699"/>
    <w:rsid w:val="57E74E06"/>
    <w:rsid w:val="57E87293"/>
    <w:rsid w:val="57EB2BB8"/>
    <w:rsid w:val="57F30316"/>
    <w:rsid w:val="57F72565"/>
    <w:rsid w:val="57F9726D"/>
    <w:rsid w:val="57FD307B"/>
    <w:rsid w:val="580022FE"/>
    <w:rsid w:val="5805719B"/>
    <w:rsid w:val="58063138"/>
    <w:rsid w:val="58120092"/>
    <w:rsid w:val="5812315F"/>
    <w:rsid w:val="581848F1"/>
    <w:rsid w:val="58277C2D"/>
    <w:rsid w:val="58296780"/>
    <w:rsid w:val="582B0FF8"/>
    <w:rsid w:val="582D577E"/>
    <w:rsid w:val="582E1C82"/>
    <w:rsid w:val="58313EFB"/>
    <w:rsid w:val="58370EC4"/>
    <w:rsid w:val="583A70CA"/>
    <w:rsid w:val="583D5EA9"/>
    <w:rsid w:val="58445B5F"/>
    <w:rsid w:val="584C6ABB"/>
    <w:rsid w:val="58535DAE"/>
    <w:rsid w:val="58574F0D"/>
    <w:rsid w:val="58584EB3"/>
    <w:rsid w:val="585A4489"/>
    <w:rsid w:val="585E33CF"/>
    <w:rsid w:val="585F4333"/>
    <w:rsid w:val="58682CA7"/>
    <w:rsid w:val="586A5E6F"/>
    <w:rsid w:val="586C232A"/>
    <w:rsid w:val="586E0F7E"/>
    <w:rsid w:val="586E29FD"/>
    <w:rsid w:val="587059EB"/>
    <w:rsid w:val="587306B7"/>
    <w:rsid w:val="58744419"/>
    <w:rsid w:val="587D255A"/>
    <w:rsid w:val="587D5719"/>
    <w:rsid w:val="58816503"/>
    <w:rsid w:val="5882751A"/>
    <w:rsid w:val="588470ED"/>
    <w:rsid w:val="588C5769"/>
    <w:rsid w:val="58901C79"/>
    <w:rsid w:val="58935690"/>
    <w:rsid w:val="58953892"/>
    <w:rsid w:val="589574B3"/>
    <w:rsid w:val="589932F6"/>
    <w:rsid w:val="589D6DC3"/>
    <w:rsid w:val="58A3759A"/>
    <w:rsid w:val="58AC0522"/>
    <w:rsid w:val="58AC4995"/>
    <w:rsid w:val="58B31E0D"/>
    <w:rsid w:val="58B9717D"/>
    <w:rsid w:val="58BF663E"/>
    <w:rsid w:val="58D3400E"/>
    <w:rsid w:val="58D67C8F"/>
    <w:rsid w:val="58D75F6E"/>
    <w:rsid w:val="58DD046E"/>
    <w:rsid w:val="58E739EB"/>
    <w:rsid w:val="58EA21C2"/>
    <w:rsid w:val="58EC69DE"/>
    <w:rsid w:val="58ED04E3"/>
    <w:rsid w:val="58FD2F9C"/>
    <w:rsid w:val="590072A8"/>
    <w:rsid w:val="59034098"/>
    <w:rsid w:val="590552D3"/>
    <w:rsid w:val="590B4818"/>
    <w:rsid w:val="590B68B1"/>
    <w:rsid w:val="590C2734"/>
    <w:rsid w:val="590C7EC6"/>
    <w:rsid w:val="591230C5"/>
    <w:rsid w:val="5917006E"/>
    <w:rsid w:val="591A778C"/>
    <w:rsid w:val="591E6E13"/>
    <w:rsid w:val="59203F4D"/>
    <w:rsid w:val="59212E79"/>
    <w:rsid w:val="5921427A"/>
    <w:rsid w:val="59271254"/>
    <w:rsid w:val="592713F7"/>
    <w:rsid w:val="59295426"/>
    <w:rsid w:val="592C27EA"/>
    <w:rsid w:val="592F6046"/>
    <w:rsid w:val="5932134F"/>
    <w:rsid w:val="59344B46"/>
    <w:rsid w:val="59356FDB"/>
    <w:rsid w:val="59363A16"/>
    <w:rsid w:val="59366C1C"/>
    <w:rsid w:val="59387F73"/>
    <w:rsid w:val="593D6F9C"/>
    <w:rsid w:val="593E530A"/>
    <w:rsid w:val="59406D26"/>
    <w:rsid w:val="59430FD3"/>
    <w:rsid w:val="594356A9"/>
    <w:rsid w:val="59437426"/>
    <w:rsid w:val="59441B05"/>
    <w:rsid w:val="59472EAB"/>
    <w:rsid w:val="59477312"/>
    <w:rsid w:val="59495513"/>
    <w:rsid w:val="594C56E0"/>
    <w:rsid w:val="594E7BBC"/>
    <w:rsid w:val="595153A2"/>
    <w:rsid w:val="59545F21"/>
    <w:rsid w:val="5955743B"/>
    <w:rsid w:val="59560338"/>
    <w:rsid w:val="59560E7E"/>
    <w:rsid w:val="595651B0"/>
    <w:rsid w:val="595804E7"/>
    <w:rsid w:val="5958495B"/>
    <w:rsid w:val="595A108D"/>
    <w:rsid w:val="595F0B4D"/>
    <w:rsid w:val="596017C5"/>
    <w:rsid w:val="59627FF9"/>
    <w:rsid w:val="59662D2B"/>
    <w:rsid w:val="59664A1E"/>
    <w:rsid w:val="5967423B"/>
    <w:rsid w:val="596B77B1"/>
    <w:rsid w:val="596C47BC"/>
    <w:rsid w:val="596E16AB"/>
    <w:rsid w:val="596E5A6A"/>
    <w:rsid w:val="59722A38"/>
    <w:rsid w:val="59756E7C"/>
    <w:rsid w:val="597679A0"/>
    <w:rsid w:val="597679EF"/>
    <w:rsid w:val="597C15EB"/>
    <w:rsid w:val="597F3ADE"/>
    <w:rsid w:val="59822609"/>
    <w:rsid w:val="5984675C"/>
    <w:rsid w:val="59862DFA"/>
    <w:rsid w:val="59873916"/>
    <w:rsid w:val="59885BC4"/>
    <w:rsid w:val="598A7317"/>
    <w:rsid w:val="598B1310"/>
    <w:rsid w:val="598B1830"/>
    <w:rsid w:val="598F26EF"/>
    <w:rsid w:val="599244C1"/>
    <w:rsid w:val="599318E2"/>
    <w:rsid w:val="599368B7"/>
    <w:rsid w:val="59952D7F"/>
    <w:rsid w:val="599641FF"/>
    <w:rsid w:val="599801BF"/>
    <w:rsid w:val="59996518"/>
    <w:rsid w:val="59996E8B"/>
    <w:rsid w:val="599B724B"/>
    <w:rsid w:val="599C1AA3"/>
    <w:rsid w:val="59A17B59"/>
    <w:rsid w:val="59A24DBB"/>
    <w:rsid w:val="59A3260B"/>
    <w:rsid w:val="59A45C97"/>
    <w:rsid w:val="59A517BB"/>
    <w:rsid w:val="59A623B9"/>
    <w:rsid w:val="59A659A7"/>
    <w:rsid w:val="59A6619C"/>
    <w:rsid w:val="59B54397"/>
    <w:rsid w:val="59B76CF2"/>
    <w:rsid w:val="59B930DA"/>
    <w:rsid w:val="59C12681"/>
    <w:rsid w:val="59C4651F"/>
    <w:rsid w:val="59C831EC"/>
    <w:rsid w:val="59C83FF0"/>
    <w:rsid w:val="59CF238C"/>
    <w:rsid w:val="59D35217"/>
    <w:rsid w:val="59D80EC8"/>
    <w:rsid w:val="59DB6488"/>
    <w:rsid w:val="59DF3659"/>
    <w:rsid w:val="59E166C1"/>
    <w:rsid w:val="59E239C0"/>
    <w:rsid w:val="59E4668C"/>
    <w:rsid w:val="59E71BDF"/>
    <w:rsid w:val="59EA269C"/>
    <w:rsid w:val="59EB0228"/>
    <w:rsid w:val="59EE7DE4"/>
    <w:rsid w:val="59FC1BCA"/>
    <w:rsid w:val="5A047BB8"/>
    <w:rsid w:val="5A051E0D"/>
    <w:rsid w:val="5A0938D5"/>
    <w:rsid w:val="5A0E6E90"/>
    <w:rsid w:val="5A1268DC"/>
    <w:rsid w:val="5A1A258F"/>
    <w:rsid w:val="5A1A33F6"/>
    <w:rsid w:val="5A1B541E"/>
    <w:rsid w:val="5A1E0B62"/>
    <w:rsid w:val="5A1E2640"/>
    <w:rsid w:val="5A1E7899"/>
    <w:rsid w:val="5A20386C"/>
    <w:rsid w:val="5A203AE8"/>
    <w:rsid w:val="5A2333A4"/>
    <w:rsid w:val="5A2369F1"/>
    <w:rsid w:val="5A236BCE"/>
    <w:rsid w:val="5A26729A"/>
    <w:rsid w:val="5A291EFC"/>
    <w:rsid w:val="5A2D2F38"/>
    <w:rsid w:val="5A3659AC"/>
    <w:rsid w:val="5A365DB7"/>
    <w:rsid w:val="5A372C06"/>
    <w:rsid w:val="5A391297"/>
    <w:rsid w:val="5A3C743B"/>
    <w:rsid w:val="5A476336"/>
    <w:rsid w:val="5A4B22FF"/>
    <w:rsid w:val="5A4D4301"/>
    <w:rsid w:val="5A5000CE"/>
    <w:rsid w:val="5A522776"/>
    <w:rsid w:val="5A53428D"/>
    <w:rsid w:val="5A5544E6"/>
    <w:rsid w:val="5A5F143D"/>
    <w:rsid w:val="5A604958"/>
    <w:rsid w:val="5A636217"/>
    <w:rsid w:val="5A6475AE"/>
    <w:rsid w:val="5A666A98"/>
    <w:rsid w:val="5A681054"/>
    <w:rsid w:val="5A6828CD"/>
    <w:rsid w:val="5A6B5DB7"/>
    <w:rsid w:val="5A6C19E7"/>
    <w:rsid w:val="5A714066"/>
    <w:rsid w:val="5A7661FB"/>
    <w:rsid w:val="5A775B33"/>
    <w:rsid w:val="5A776ECA"/>
    <w:rsid w:val="5A8577A2"/>
    <w:rsid w:val="5A8A4FC4"/>
    <w:rsid w:val="5A8A7B82"/>
    <w:rsid w:val="5A902D4D"/>
    <w:rsid w:val="5A9153C1"/>
    <w:rsid w:val="5A9244D8"/>
    <w:rsid w:val="5A9438E2"/>
    <w:rsid w:val="5A963232"/>
    <w:rsid w:val="5A96695F"/>
    <w:rsid w:val="5A980EA6"/>
    <w:rsid w:val="5A995D1B"/>
    <w:rsid w:val="5A9A3EE2"/>
    <w:rsid w:val="5A9A5495"/>
    <w:rsid w:val="5A9E1796"/>
    <w:rsid w:val="5AA75736"/>
    <w:rsid w:val="5AA857BC"/>
    <w:rsid w:val="5AAA6BB3"/>
    <w:rsid w:val="5AB1208F"/>
    <w:rsid w:val="5AB64E79"/>
    <w:rsid w:val="5ABA36A7"/>
    <w:rsid w:val="5ABE4009"/>
    <w:rsid w:val="5AC12F9D"/>
    <w:rsid w:val="5AC30419"/>
    <w:rsid w:val="5AC37398"/>
    <w:rsid w:val="5AC478F8"/>
    <w:rsid w:val="5AC55FBA"/>
    <w:rsid w:val="5AD15DB3"/>
    <w:rsid w:val="5AD5506E"/>
    <w:rsid w:val="5AD66FBE"/>
    <w:rsid w:val="5AD90438"/>
    <w:rsid w:val="5ADB7A9F"/>
    <w:rsid w:val="5ADE0739"/>
    <w:rsid w:val="5AE0244C"/>
    <w:rsid w:val="5AE07781"/>
    <w:rsid w:val="5AE13B11"/>
    <w:rsid w:val="5AE40D80"/>
    <w:rsid w:val="5AE95AEA"/>
    <w:rsid w:val="5AEB5408"/>
    <w:rsid w:val="5AEE0352"/>
    <w:rsid w:val="5AFC4D90"/>
    <w:rsid w:val="5AFC7E26"/>
    <w:rsid w:val="5AFE5B09"/>
    <w:rsid w:val="5B0135ED"/>
    <w:rsid w:val="5B075709"/>
    <w:rsid w:val="5B080019"/>
    <w:rsid w:val="5B090A67"/>
    <w:rsid w:val="5B0E32EB"/>
    <w:rsid w:val="5B145543"/>
    <w:rsid w:val="5B1471C0"/>
    <w:rsid w:val="5B163A11"/>
    <w:rsid w:val="5B16514F"/>
    <w:rsid w:val="5B1C5E23"/>
    <w:rsid w:val="5B210856"/>
    <w:rsid w:val="5B242130"/>
    <w:rsid w:val="5B2B4E28"/>
    <w:rsid w:val="5B2C5C6B"/>
    <w:rsid w:val="5B351409"/>
    <w:rsid w:val="5B374E43"/>
    <w:rsid w:val="5B3819E9"/>
    <w:rsid w:val="5B3A33B5"/>
    <w:rsid w:val="5B415BEC"/>
    <w:rsid w:val="5B560FE4"/>
    <w:rsid w:val="5B566365"/>
    <w:rsid w:val="5B59313F"/>
    <w:rsid w:val="5B5A0A3F"/>
    <w:rsid w:val="5B5C515B"/>
    <w:rsid w:val="5B680FB6"/>
    <w:rsid w:val="5B69543D"/>
    <w:rsid w:val="5B6D7032"/>
    <w:rsid w:val="5B6E7146"/>
    <w:rsid w:val="5B6F3266"/>
    <w:rsid w:val="5B741015"/>
    <w:rsid w:val="5B742F9C"/>
    <w:rsid w:val="5B7917C9"/>
    <w:rsid w:val="5B7F09BD"/>
    <w:rsid w:val="5B801580"/>
    <w:rsid w:val="5B8069E2"/>
    <w:rsid w:val="5B8C34F0"/>
    <w:rsid w:val="5B9B7DBD"/>
    <w:rsid w:val="5B9F7D28"/>
    <w:rsid w:val="5BA26618"/>
    <w:rsid w:val="5BA320EA"/>
    <w:rsid w:val="5BA7611A"/>
    <w:rsid w:val="5BA91DB4"/>
    <w:rsid w:val="5BAD3DE2"/>
    <w:rsid w:val="5BAE3BEA"/>
    <w:rsid w:val="5BB278D8"/>
    <w:rsid w:val="5BB53C44"/>
    <w:rsid w:val="5BB577D1"/>
    <w:rsid w:val="5BB63C25"/>
    <w:rsid w:val="5BB67A28"/>
    <w:rsid w:val="5BB72354"/>
    <w:rsid w:val="5BB76604"/>
    <w:rsid w:val="5BBD1149"/>
    <w:rsid w:val="5BBD5215"/>
    <w:rsid w:val="5BBE1D8C"/>
    <w:rsid w:val="5BC02FE5"/>
    <w:rsid w:val="5BC546AB"/>
    <w:rsid w:val="5BC55393"/>
    <w:rsid w:val="5BC93138"/>
    <w:rsid w:val="5BCC5043"/>
    <w:rsid w:val="5BCC7A55"/>
    <w:rsid w:val="5BCD0CB1"/>
    <w:rsid w:val="5BCF193E"/>
    <w:rsid w:val="5BCF4438"/>
    <w:rsid w:val="5BD36976"/>
    <w:rsid w:val="5BD56BF9"/>
    <w:rsid w:val="5BD57747"/>
    <w:rsid w:val="5BD648D5"/>
    <w:rsid w:val="5BD71DDB"/>
    <w:rsid w:val="5BD742E0"/>
    <w:rsid w:val="5BDC1B44"/>
    <w:rsid w:val="5BDE7F68"/>
    <w:rsid w:val="5BDF34C4"/>
    <w:rsid w:val="5BDF7B33"/>
    <w:rsid w:val="5BE25B28"/>
    <w:rsid w:val="5BE34B31"/>
    <w:rsid w:val="5BE87316"/>
    <w:rsid w:val="5BEA44A9"/>
    <w:rsid w:val="5BEB4209"/>
    <w:rsid w:val="5BF57CE8"/>
    <w:rsid w:val="5BF82DA2"/>
    <w:rsid w:val="5BFB0F0D"/>
    <w:rsid w:val="5BFB1806"/>
    <w:rsid w:val="5BFD1B37"/>
    <w:rsid w:val="5BFD7D0D"/>
    <w:rsid w:val="5BFF5E83"/>
    <w:rsid w:val="5C005B31"/>
    <w:rsid w:val="5C035F5A"/>
    <w:rsid w:val="5C066273"/>
    <w:rsid w:val="5C076944"/>
    <w:rsid w:val="5C093DD3"/>
    <w:rsid w:val="5C0A7177"/>
    <w:rsid w:val="5C13411D"/>
    <w:rsid w:val="5C166DEF"/>
    <w:rsid w:val="5C1D7539"/>
    <w:rsid w:val="5C1D78DF"/>
    <w:rsid w:val="5C225268"/>
    <w:rsid w:val="5C2502BF"/>
    <w:rsid w:val="5C2520B0"/>
    <w:rsid w:val="5C2F2ED4"/>
    <w:rsid w:val="5C336DB5"/>
    <w:rsid w:val="5C381321"/>
    <w:rsid w:val="5C3B3E9F"/>
    <w:rsid w:val="5C3C0381"/>
    <w:rsid w:val="5C3C548D"/>
    <w:rsid w:val="5C3F6A31"/>
    <w:rsid w:val="5C49716F"/>
    <w:rsid w:val="5C4A2CDA"/>
    <w:rsid w:val="5C5A49DD"/>
    <w:rsid w:val="5C5E38C5"/>
    <w:rsid w:val="5C5E4709"/>
    <w:rsid w:val="5C6100B3"/>
    <w:rsid w:val="5C633407"/>
    <w:rsid w:val="5C6666B3"/>
    <w:rsid w:val="5C686748"/>
    <w:rsid w:val="5C6A4809"/>
    <w:rsid w:val="5C6B3750"/>
    <w:rsid w:val="5C6D4FB7"/>
    <w:rsid w:val="5C731B2C"/>
    <w:rsid w:val="5C7434A0"/>
    <w:rsid w:val="5C766AF5"/>
    <w:rsid w:val="5C7D1A6F"/>
    <w:rsid w:val="5C8465A7"/>
    <w:rsid w:val="5C857C43"/>
    <w:rsid w:val="5C87017F"/>
    <w:rsid w:val="5C8771F9"/>
    <w:rsid w:val="5C8A535F"/>
    <w:rsid w:val="5C8E6EF7"/>
    <w:rsid w:val="5C911031"/>
    <w:rsid w:val="5C956BF8"/>
    <w:rsid w:val="5C985E16"/>
    <w:rsid w:val="5C986234"/>
    <w:rsid w:val="5C9A4102"/>
    <w:rsid w:val="5C9C57F9"/>
    <w:rsid w:val="5C9E2139"/>
    <w:rsid w:val="5C9F025E"/>
    <w:rsid w:val="5CA300E1"/>
    <w:rsid w:val="5CA70D54"/>
    <w:rsid w:val="5CAB4B6C"/>
    <w:rsid w:val="5CAE461A"/>
    <w:rsid w:val="5CB962E8"/>
    <w:rsid w:val="5CBC029F"/>
    <w:rsid w:val="5CC465B1"/>
    <w:rsid w:val="5CC52366"/>
    <w:rsid w:val="5CC55488"/>
    <w:rsid w:val="5CD4532E"/>
    <w:rsid w:val="5CD66357"/>
    <w:rsid w:val="5CDB6BB1"/>
    <w:rsid w:val="5CE16EEB"/>
    <w:rsid w:val="5CE90081"/>
    <w:rsid w:val="5CE95B0C"/>
    <w:rsid w:val="5CEA0AF8"/>
    <w:rsid w:val="5CEA56E5"/>
    <w:rsid w:val="5CEC5688"/>
    <w:rsid w:val="5CF04E82"/>
    <w:rsid w:val="5CF05758"/>
    <w:rsid w:val="5CF10D72"/>
    <w:rsid w:val="5CF12D92"/>
    <w:rsid w:val="5CF3471D"/>
    <w:rsid w:val="5CF74649"/>
    <w:rsid w:val="5CF77DCE"/>
    <w:rsid w:val="5CF82D7B"/>
    <w:rsid w:val="5CFD4F96"/>
    <w:rsid w:val="5CFE444F"/>
    <w:rsid w:val="5CFF2275"/>
    <w:rsid w:val="5D064880"/>
    <w:rsid w:val="5D0833BD"/>
    <w:rsid w:val="5D0E0AF4"/>
    <w:rsid w:val="5D113984"/>
    <w:rsid w:val="5D1161A3"/>
    <w:rsid w:val="5D143CD7"/>
    <w:rsid w:val="5D167C10"/>
    <w:rsid w:val="5D173812"/>
    <w:rsid w:val="5D193368"/>
    <w:rsid w:val="5D1D4CAF"/>
    <w:rsid w:val="5D1F66E7"/>
    <w:rsid w:val="5D237119"/>
    <w:rsid w:val="5D247244"/>
    <w:rsid w:val="5D250F37"/>
    <w:rsid w:val="5D261E18"/>
    <w:rsid w:val="5D2A0C94"/>
    <w:rsid w:val="5D2A7C55"/>
    <w:rsid w:val="5D2C613F"/>
    <w:rsid w:val="5D2F53EF"/>
    <w:rsid w:val="5D3056FC"/>
    <w:rsid w:val="5D3513BC"/>
    <w:rsid w:val="5D365ED8"/>
    <w:rsid w:val="5D390E07"/>
    <w:rsid w:val="5D3A306A"/>
    <w:rsid w:val="5D3D111D"/>
    <w:rsid w:val="5D3D57AC"/>
    <w:rsid w:val="5D3F198D"/>
    <w:rsid w:val="5D4635C9"/>
    <w:rsid w:val="5D4775D2"/>
    <w:rsid w:val="5D4F1BE4"/>
    <w:rsid w:val="5D534CCC"/>
    <w:rsid w:val="5D547BA6"/>
    <w:rsid w:val="5D5826A8"/>
    <w:rsid w:val="5D586D1B"/>
    <w:rsid w:val="5D6116DA"/>
    <w:rsid w:val="5D611791"/>
    <w:rsid w:val="5D6F0DA4"/>
    <w:rsid w:val="5D6F4CF3"/>
    <w:rsid w:val="5D702A2F"/>
    <w:rsid w:val="5D722F0E"/>
    <w:rsid w:val="5D73328B"/>
    <w:rsid w:val="5D75673D"/>
    <w:rsid w:val="5D766B19"/>
    <w:rsid w:val="5D7E4459"/>
    <w:rsid w:val="5D825667"/>
    <w:rsid w:val="5D830880"/>
    <w:rsid w:val="5D8754CA"/>
    <w:rsid w:val="5D892A62"/>
    <w:rsid w:val="5D897CA8"/>
    <w:rsid w:val="5D8C1F99"/>
    <w:rsid w:val="5D947032"/>
    <w:rsid w:val="5D9B01E5"/>
    <w:rsid w:val="5DA3106E"/>
    <w:rsid w:val="5DA65D48"/>
    <w:rsid w:val="5DA908FD"/>
    <w:rsid w:val="5DA92134"/>
    <w:rsid w:val="5DAC0F55"/>
    <w:rsid w:val="5DAD16EE"/>
    <w:rsid w:val="5DAE0AFC"/>
    <w:rsid w:val="5DB06A76"/>
    <w:rsid w:val="5DB15931"/>
    <w:rsid w:val="5DBB3416"/>
    <w:rsid w:val="5DBB5609"/>
    <w:rsid w:val="5DCA37D3"/>
    <w:rsid w:val="5DCC2BA7"/>
    <w:rsid w:val="5DCE3E48"/>
    <w:rsid w:val="5DD21301"/>
    <w:rsid w:val="5DD8132E"/>
    <w:rsid w:val="5DD92690"/>
    <w:rsid w:val="5DDE224E"/>
    <w:rsid w:val="5DE54ED3"/>
    <w:rsid w:val="5DE750B0"/>
    <w:rsid w:val="5DEA07FB"/>
    <w:rsid w:val="5DEF4640"/>
    <w:rsid w:val="5DEF6FFD"/>
    <w:rsid w:val="5DF72CA2"/>
    <w:rsid w:val="5DF956DC"/>
    <w:rsid w:val="5DFA0BA7"/>
    <w:rsid w:val="5DFE5E50"/>
    <w:rsid w:val="5DFF0F28"/>
    <w:rsid w:val="5DFF4E92"/>
    <w:rsid w:val="5E017EC1"/>
    <w:rsid w:val="5E057C8A"/>
    <w:rsid w:val="5E0824A3"/>
    <w:rsid w:val="5E091978"/>
    <w:rsid w:val="5E0B50C4"/>
    <w:rsid w:val="5E0C2A8C"/>
    <w:rsid w:val="5E0E2469"/>
    <w:rsid w:val="5E0E7660"/>
    <w:rsid w:val="5E15207D"/>
    <w:rsid w:val="5E190D0F"/>
    <w:rsid w:val="5E1B6DC6"/>
    <w:rsid w:val="5E1E7F1A"/>
    <w:rsid w:val="5E205FD6"/>
    <w:rsid w:val="5E271851"/>
    <w:rsid w:val="5E284142"/>
    <w:rsid w:val="5E286EA8"/>
    <w:rsid w:val="5E290F95"/>
    <w:rsid w:val="5E292992"/>
    <w:rsid w:val="5E293D06"/>
    <w:rsid w:val="5E2D7659"/>
    <w:rsid w:val="5E2E1494"/>
    <w:rsid w:val="5E2E1E3C"/>
    <w:rsid w:val="5E2E265E"/>
    <w:rsid w:val="5E2E43EC"/>
    <w:rsid w:val="5E2E63A1"/>
    <w:rsid w:val="5E2E772C"/>
    <w:rsid w:val="5E315679"/>
    <w:rsid w:val="5E32384E"/>
    <w:rsid w:val="5E386646"/>
    <w:rsid w:val="5E38734F"/>
    <w:rsid w:val="5E395FD9"/>
    <w:rsid w:val="5E3B2BF3"/>
    <w:rsid w:val="5E3E26AF"/>
    <w:rsid w:val="5E3F7E84"/>
    <w:rsid w:val="5E440611"/>
    <w:rsid w:val="5E4678C6"/>
    <w:rsid w:val="5E470EF0"/>
    <w:rsid w:val="5E496AD5"/>
    <w:rsid w:val="5E4C2AA1"/>
    <w:rsid w:val="5E532CF9"/>
    <w:rsid w:val="5E54330F"/>
    <w:rsid w:val="5E5A284C"/>
    <w:rsid w:val="5E5B1A7F"/>
    <w:rsid w:val="5E5C4069"/>
    <w:rsid w:val="5E6965EA"/>
    <w:rsid w:val="5E6B0E5B"/>
    <w:rsid w:val="5E7061AE"/>
    <w:rsid w:val="5E71074D"/>
    <w:rsid w:val="5E713DCD"/>
    <w:rsid w:val="5E717CF3"/>
    <w:rsid w:val="5E7920F3"/>
    <w:rsid w:val="5E7E048C"/>
    <w:rsid w:val="5E7E152E"/>
    <w:rsid w:val="5E8570C7"/>
    <w:rsid w:val="5E8D7FF9"/>
    <w:rsid w:val="5E8F3957"/>
    <w:rsid w:val="5E907110"/>
    <w:rsid w:val="5E937BAA"/>
    <w:rsid w:val="5E970615"/>
    <w:rsid w:val="5E985473"/>
    <w:rsid w:val="5E9D1532"/>
    <w:rsid w:val="5E9E41B6"/>
    <w:rsid w:val="5EA03CAF"/>
    <w:rsid w:val="5EA32B9F"/>
    <w:rsid w:val="5EA61A54"/>
    <w:rsid w:val="5EA8626B"/>
    <w:rsid w:val="5EAB17C3"/>
    <w:rsid w:val="5EAB58DC"/>
    <w:rsid w:val="5EAC188F"/>
    <w:rsid w:val="5EB01DA4"/>
    <w:rsid w:val="5EB604BA"/>
    <w:rsid w:val="5EB853DB"/>
    <w:rsid w:val="5EBC3536"/>
    <w:rsid w:val="5EBD6B13"/>
    <w:rsid w:val="5EC00D02"/>
    <w:rsid w:val="5EC30785"/>
    <w:rsid w:val="5EC9088C"/>
    <w:rsid w:val="5EC90986"/>
    <w:rsid w:val="5ECE4F74"/>
    <w:rsid w:val="5ED7561D"/>
    <w:rsid w:val="5ED914E1"/>
    <w:rsid w:val="5EDB4C8E"/>
    <w:rsid w:val="5EDC54D0"/>
    <w:rsid w:val="5EE329FD"/>
    <w:rsid w:val="5EE744CB"/>
    <w:rsid w:val="5EE821BA"/>
    <w:rsid w:val="5EEA3972"/>
    <w:rsid w:val="5EEF3283"/>
    <w:rsid w:val="5EF23F3F"/>
    <w:rsid w:val="5EF47109"/>
    <w:rsid w:val="5EF91288"/>
    <w:rsid w:val="5EFA5207"/>
    <w:rsid w:val="5F035FF5"/>
    <w:rsid w:val="5F0A555B"/>
    <w:rsid w:val="5F0B1F20"/>
    <w:rsid w:val="5F1C657D"/>
    <w:rsid w:val="5F1E08FB"/>
    <w:rsid w:val="5F204017"/>
    <w:rsid w:val="5F274DD3"/>
    <w:rsid w:val="5F2B530C"/>
    <w:rsid w:val="5F2D64BB"/>
    <w:rsid w:val="5F31148C"/>
    <w:rsid w:val="5F31513E"/>
    <w:rsid w:val="5F382A8E"/>
    <w:rsid w:val="5F3E6082"/>
    <w:rsid w:val="5F3F06E0"/>
    <w:rsid w:val="5F4065BA"/>
    <w:rsid w:val="5F4161C5"/>
    <w:rsid w:val="5F470516"/>
    <w:rsid w:val="5F4B608A"/>
    <w:rsid w:val="5F4B7E4C"/>
    <w:rsid w:val="5F4D5C58"/>
    <w:rsid w:val="5F4D6658"/>
    <w:rsid w:val="5F4E744B"/>
    <w:rsid w:val="5F4F0E5B"/>
    <w:rsid w:val="5F4F6E31"/>
    <w:rsid w:val="5F5160F7"/>
    <w:rsid w:val="5F556825"/>
    <w:rsid w:val="5F593A88"/>
    <w:rsid w:val="5F5973B7"/>
    <w:rsid w:val="5F5C5D31"/>
    <w:rsid w:val="5F61545C"/>
    <w:rsid w:val="5F6B0271"/>
    <w:rsid w:val="5F6B2A6B"/>
    <w:rsid w:val="5F706CC0"/>
    <w:rsid w:val="5F727E16"/>
    <w:rsid w:val="5F7A1A54"/>
    <w:rsid w:val="5F7B6268"/>
    <w:rsid w:val="5F7E4C4A"/>
    <w:rsid w:val="5F873EA0"/>
    <w:rsid w:val="5F8A450D"/>
    <w:rsid w:val="5F8B6FAE"/>
    <w:rsid w:val="5F8D714D"/>
    <w:rsid w:val="5F8E3AB9"/>
    <w:rsid w:val="5F8F28CB"/>
    <w:rsid w:val="5F8F421C"/>
    <w:rsid w:val="5F9038AC"/>
    <w:rsid w:val="5F970A41"/>
    <w:rsid w:val="5F9B77F6"/>
    <w:rsid w:val="5F9D5D25"/>
    <w:rsid w:val="5FA220A2"/>
    <w:rsid w:val="5FA82319"/>
    <w:rsid w:val="5FA84B86"/>
    <w:rsid w:val="5FAA7A1D"/>
    <w:rsid w:val="5FAA7F60"/>
    <w:rsid w:val="5FAC07D9"/>
    <w:rsid w:val="5FB06A10"/>
    <w:rsid w:val="5FB11795"/>
    <w:rsid w:val="5FB415F3"/>
    <w:rsid w:val="5FB7615D"/>
    <w:rsid w:val="5FB81BD1"/>
    <w:rsid w:val="5FC17C73"/>
    <w:rsid w:val="5FC667EF"/>
    <w:rsid w:val="5FC6726B"/>
    <w:rsid w:val="5FD6070D"/>
    <w:rsid w:val="5FDC55D3"/>
    <w:rsid w:val="5FDD5D4C"/>
    <w:rsid w:val="5FE377F5"/>
    <w:rsid w:val="5FE753A8"/>
    <w:rsid w:val="5FE93BE0"/>
    <w:rsid w:val="5FEA5AAF"/>
    <w:rsid w:val="5FEC2FC1"/>
    <w:rsid w:val="5FF33817"/>
    <w:rsid w:val="5FF64B38"/>
    <w:rsid w:val="5FFC035F"/>
    <w:rsid w:val="5FFC27FD"/>
    <w:rsid w:val="5FFC553F"/>
    <w:rsid w:val="5FFE0E11"/>
    <w:rsid w:val="6000688C"/>
    <w:rsid w:val="60014073"/>
    <w:rsid w:val="600E08C6"/>
    <w:rsid w:val="600F2AEB"/>
    <w:rsid w:val="601167F8"/>
    <w:rsid w:val="60193F0D"/>
    <w:rsid w:val="601B676B"/>
    <w:rsid w:val="601C42CA"/>
    <w:rsid w:val="601E51E1"/>
    <w:rsid w:val="60227F06"/>
    <w:rsid w:val="60237C25"/>
    <w:rsid w:val="60260DAD"/>
    <w:rsid w:val="602E59A5"/>
    <w:rsid w:val="602F7BC3"/>
    <w:rsid w:val="60385F21"/>
    <w:rsid w:val="6039437A"/>
    <w:rsid w:val="603A76EC"/>
    <w:rsid w:val="603F388E"/>
    <w:rsid w:val="6046002D"/>
    <w:rsid w:val="60490347"/>
    <w:rsid w:val="604F0E32"/>
    <w:rsid w:val="604F64C1"/>
    <w:rsid w:val="60501178"/>
    <w:rsid w:val="6051261F"/>
    <w:rsid w:val="60515418"/>
    <w:rsid w:val="60526537"/>
    <w:rsid w:val="60526922"/>
    <w:rsid w:val="6056096F"/>
    <w:rsid w:val="605C4EF7"/>
    <w:rsid w:val="605C670F"/>
    <w:rsid w:val="60625D40"/>
    <w:rsid w:val="606552CA"/>
    <w:rsid w:val="6067227D"/>
    <w:rsid w:val="606730C6"/>
    <w:rsid w:val="606F34AC"/>
    <w:rsid w:val="60795131"/>
    <w:rsid w:val="607A26E1"/>
    <w:rsid w:val="607C33B1"/>
    <w:rsid w:val="608126DB"/>
    <w:rsid w:val="608226EB"/>
    <w:rsid w:val="6085069D"/>
    <w:rsid w:val="608626B5"/>
    <w:rsid w:val="60891F8E"/>
    <w:rsid w:val="608F137C"/>
    <w:rsid w:val="6092219F"/>
    <w:rsid w:val="6093433C"/>
    <w:rsid w:val="60936B26"/>
    <w:rsid w:val="609563BA"/>
    <w:rsid w:val="60A05B18"/>
    <w:rsid w:val="60A20AAF"/>
    <w:rsid w:val="60A536C5"/>
    <w:rsid w:val="60A85A88"/>
    <w:rsid w:val="60B72ABC"/>
    <w:rsid w:val="60B8080C"/>
    <w:rsid w:val="60B858F8"/>
    <w:rsid w:val="60B94594"/>
    <w:rsid w:val="60B94A8A"/>
    <w:rsid w:val="60BB3AD9"/>
    <w:rsid w:val="60BD4284"/>
    <w:rsid w:val="60C02294"/>
    <w:rsid w:val="60C170FF"/>
    <w:rsid w:val="60C654D1"/>
    <w:rsid w:val="60C74DD5"/>
    <w:rsid w:val="60CB10B9"/>
    <w:rsid w:val="60CE4C5E"/>
    <w:rsid w:val="60D64400"/>
    <w:rsid w:val="60DA1597"/>
    <w:rsid w:val="60DA7109"/>
    <w:rsid w:val="60DF72D5"/>
    <w:rsid w:val="60E367D2"/>
    <w:rsid w:val="60E56D60"/>
    <w:rsid w:val="60E646E0"/>
    <w:rsid w:val="60E67061"/>
    <w:rsid w:val="60E86BA1"/>
    <w:rsid w:val="60EA0161"/>
    <w:rsid w:val="60F2705E"/>
    <w:rsid w:val="60F371FE"/>
    <w:rsid w:val="60F37641"/>
    <w:rsid w:val="60FB678D"/>
    <w:rsid w:val="60FB67CE"/>
    <w:rsid w:val="60FD0EA7"/>
    <w:rsid w:val="61097FBE"/>
    <w:rsid w:val="610D36C5"/>
    <w:rsid w:val="61114CE7"/>
    <w:rsid w:val="61117FC7"/>
    <w:rsid w:val="61120377"/>
    <w:rsid w:val="61133ABA"/>
    <w:rsid w:val="611343C9"/>
    <w:rsid w:val="6113482E"/>
    <w:rsid w:val="611367DB"/>
    <w:rsid w:val="61170822"/>
    <w:rsid w:val="611A057E"/>
    <w:rsid w:val="611D0734"/>
    <w:rsid w:val="612512A2"/>
    <w:rsid w:val="61291984"/>
    <w:rsid w:val="612A2456"/>
    <w:rsid w:val="612A6151"/>
    <w:rsid w:val="612D5D19"/>
    <w:rsid w:val="61315B72"/>
    <w:rsid w:val="61345880"/>
    <w:rsid w:val="613D31B0"/>
    <w:rsid w:val="613D617D"/>
    <w:rsid w:val="61460B0D"/>
    <w:rsid w:val="614A621E"/>
    <w:rsid w:val="614F0541"/>
    <w:rsid w:val="61500C90"/>
    <w:rsid w:val="6158585E"/>
    <w:rsid w:val="6160043C"/>
    <w:rsid w:val="61604011"/>
    <w:rsid w:val="616A0AA3"/>
    <w:rsid w:val="616E5C90"/>
    <w:rsid w:val="6170589A"/>
    <w:rsid w:val="61765A9F"/>
    <w:rsid w:val="61796A87"/>
    <w:rsid w:val="617A4B80"/>
    <w:rsid w:val="61862B43"/>
    <w:rsid w:val="6188731A"/>
    <w:rsid w:val="618C518C"/>
    <w:rsid w:val="61952D71"/>
    <w:rsid w:val="619E7618"/>
    <w:rsid w:val="61A652C3"/>
    <w:rsid w:val="61A85098"/>
    <w:rsid w:val="61A86B92"/>
    <w:rsid w:val="61AA3EBB"/>
    <w:rsid w:val="61AC2D00"/>
    <w:rsid w:val="61AC31D0"/>
    <w:rsid w:val="61AE03FD"/>
    <w:rsid w:val="61AE2F06"/>
    <w:rsid w:val="61B053FE"/>
    <w:rsid w:val="61B17932"/>
    <w:rsid w:val="61B24B46"/>
    <w:rsid w:val="61B82721"/>
    <w:rsid w:val="61B9383F"/>
    <w:rsid w:val="61BF4295"/>
    <w:rsid w:val="61C24258"/>
    <w:rsid w:val="61C50393"/>
    <w:rsid w:val="61C61CB5"/>
    <w:rsid w:val="61C9008F"/>
    <w:rsid w:val="61C95828"/>
    <w:rsid w:val="61CF1CE1"/>
    <w:rsid w:val="61D33213"/>
    <w:rsid w:val="61D518F2"/>
    <w:rsid w:val="61DC617A"/>
    <w:rsid w:val="61DE5FAF"/>
    <w:rsid w:val="61E466EA"/>
    <w:rsid w:val="61E664C3"/>
    <w:rsid w:val="61E91B3F"/>
    <w:rsid w:val="61EA55C5"/>
    <w:rsid w:val="61EE484F"/>
    <w:rsid w:val="61F2110A"/>
    <w:rsid w:val="61F46910"/>
    <w:rsid w:val="61F54EDA"/>
    <w:rsid w:val="61F739E4"/>
    <w:rsid w:val="61F976D4"/>
    <w:rsid w:val="61FB5049"/>
    <w:rsid w:val="62025CEC"/>
    <w:rsid w:val="62090BE0"/>
    <w:rsid w:val="620B2882"/>
    <w:rsid w:val="620C726B"/>
    <w:rsid w:val="621415E6"/>
    <w:rsid w:val="62172BFD"/>
    <w:rsid w:val="62174078"/>
    <w:rsid w:val="62197845"/>
    <w:rsid w:val="621A1530"/>
    <w:rsid w:val="621E6435"/>
    <w:rsid w:val="62243826"/>
    <w:rsid w:val="62286939"/>
    <w:rsid w:val="622C0CC8"/>
    <w:rsid w:val="622F6E44"/>
    <w:rsid w:val="623042EB"/>
    <w:rsid w:val="62310A8C"/>
    <w:rsid w:val="62313E25"/>
    <w:rsid w:val="62316431"/>
    <w:rsid w:val="62335FAA"/>
    <w:rsid w:val="623500F8"/>
    <w:rsid w:val="62372697"/>
    <w:rsid w:val="623D528D"/>
    <w:rsid w:val="62436F00"/>
    <w:rsid w:val="62464CC9"/>
    <w:rsid w:val="62481652"/>
    <w:rsid w:val="6249535F"/>
    <w:rsid w:val="62586279"/>
    <w:rsid w:val="62596DD7"/>
    <w:rsid w:val="626010FE"/>
    <w:rsid w:val="62604344"/>
    <w:rsid w:val="62640D83"/>
    <w:rsid w:val="62677DAD"/>
    <w:rsid w:val="626A2EB4"/>
    <w:rsid w:val="626B6850"/>
    <w:rsid w:val="626E08E1"/>
    <w:rsid w:val="62714C90"/>
    <w:rsid w:val="62724772"/>
    <w:rsid w:val="62734E35"/>
    <w:rsid w:val="627477E0"/>
    <w:rsid w:val="627544E4"/>
    <w:rsid w:val="6278630D"/>
    <w:rsid w:val="62792221"/>
    <w:rsid w:val="62792ADD"/>
    <w:rsid w:val="6281148E"/>
    <w:rsid w:val="62851975"/>
    <w:rsid w:val="62863C51"/>
    <w:rsid w:val="628772A0"/>
    <w:rsid w:val="628A0B8A"/>
    <w:rsid w:val="628C784B"/>
    <w:rsid w:val="628D7F5F"/>
    <w:rsid w:val="628E51E8"/>
    <w:rsid w:val="629510BB"/>
    <w:rsid w:val="62953000"/>
    <w:rsid w:val="62993559"/>
    <w:rsid w:val="62A3112F"/>
    <w:rsid w:val="62A754E3"/>
    <w:rsid w:val="62A8749F"/>
    <w:rsid w:val="62AE4C54"/>
    <w:rsid w:val="62B25600"/>
    <w:rsid w:val="62BA541F"/>
    <w:rsid w:val="62C43627"/>
    <w:rsid w:val="62CD141C"/>
    <w:rsid w:val="62CD783D"/>
    <w:rsid w:val="62CD7950"/>
    <w:rsid w:val="62D009AF"/>
    <w:rsid w:val="62D23C89"/>
    <w:rsid w:val="62D44BA8"/>
    <w:rsid w:val="62D50C49"/>
    <w:rsid w:val="62D57087"/>
    <w:rsid w:val="62D80D31"/>
    <w:rsid w:val="62DB55CA"/>
    <w:rsid w:val="62DD6596"/>
    <w:rsid w:val="62DF393A"/>
    <w:rsid w:val="62E32048"/>
    <w:rsid w:val="62EA2C49"/>
    <w:rsid w:val="62EB5289"/>
    <w:rsid w:val="62EF3E90"/>
    <w:rsid w:val="62F03C6D"/>
    <w:rsid w:val="62F74358"/>
    <w:rsid w:val="62FC0A9C"/>
    <w:rsid w:val="62FC24F2"/>
    <w:rsid w:val="62FD2141"/>
    <w:rsid w:val="63041A18"/>
    <w:rsid w:val="63043B49"/>
    <w:rsid w:val="63045C80"/>
    <w:rsid w:val="63051432"/>
    <w:rsid w:val="63072E58"/>
    <w:rsid w:val="630A5CCF"/>
    <w:rsid w:val="630E0C0D"/>
    <w:rsid w:val="630F29BE"/>
    <w:rsid w:val="63107897"/>
    <w:rsid w:val="63132B67"/>
    <w:rsid w:val="63152C17"/>
    <w:rsid w:val="63183A61"/>
    <w:rsid w:val="63196F9B"/>
    <w:rsid w:val="632006DC"/>
    <w:rsid w:val="63201137"/>
    <w:rsid w:val="632037C3"/>
    <w:rsid w:val="632134C5"/>
    <w:rsid w:val="63225947"/>
    <w:rsid w:val="63234EB3"/>
    <w:rsid w:val="632554F7"/>
    <w:rsid w:val="63257D96"/>
    <w:rsid w:val="632C31A6"/>
    <w:rsid w:val="632F5136"/>
    <w:rsid w:val="63324AC0"/>
    <w:rsid w:val="6332566C"/>
    <w:rsid w:val="63326A85"/>
    <w:rsid w:val="6334314E"/>
    <w:rsid w:val="63347BA8"/>
    <w:rsid w:val="633612FA"/>
    <w:rsid w:val="63362559"/>
    <w:rsid w:val="633658F0"/>
    <w:rsid w:val="633664EB"/>
    <w:rsid w:val="63384D29"/>
    <w:rsid w:val="63390845"/>
    <w:rsid w:val="633C378E"/>
    <w:rsid w:val="633C7FDA"/>
    <w:rsid w:val="63423B53"/>
    <w:rsid w:val="6343702E"/>
    <w:rsid w:val="634817D5"/>
    <w:rsid w:val="634A5F51"/>
    <w:rsid w:val="634E5365"/>
    <w:rsid w:val="63520318"/>
    <w:rsid w:val="63556F84"/>
    <w:rsid w:val="6357680B"/>
    <w:rsid w:val="635A5916"/>
    <w:rsid w:val="635E1787"/>
    <w:rsid w:val="636233C7"/>
    <w:rsid w:val="636B0EC2"/>
    <w:rsid w:val="636C4ED3"/>
    <w:rsid w:val="637104C6"/>
    <w:rsid w:val="637543A9"/>
    <w:rsid w:val="6376408C"/>
    <w:rsid w:val="63787A6E"/>
    <w:rsid w:val="63792529"/>
    <w:rsid w:val="637A4415"/>
    <w:rsid w:val="63821F8E"/>
    <w:rsid w:val="638749E6"/>
    <w:rsid w:val="638C16C5"/>
    <w:rsid w:val="6397480F"/>
    <w:rsid w:val="639B14E4"/>
    <w:rsid w:val="639B3097"/>
    <w:rsid w:val="639E5778"/>
    <w:rsid w:val="639F6629"/>
    <w:rsid w:val="63A534A8"/>
    <w:rsid w:val="63A5552C"/>
    <w:rsid w:val="63AF34E9"/>
    <w:rsid w:val="63B04D7B"/>
    <w:rsid w:val="63B1285F"/>
    <w:rsid w:val="63B44853"/>
    <w:rsid w:val="63B525AF"/>
    <w:rsid w:val="63B654DB"/>
    <w:rsid w:val="63BC3B29"/>
    <w:rsid w:val="63BE7F39"/>
    <w:rsid w:val="63C14D4D"/>
    <w:rsid w:val="63C45FB4"/>
    <w:rsid w:val="63C519AC"/>
    <w:rsid w:val="63C95AC2"/>
    <w:rsid w:val="63CC4F63"/>
    <w:rsid w:val="63CD20F4"/>
    <w:rsid w:val="63D425CF"/>
    <w:rsid w:val="63D56C61"/>
    <w:rsid w:val="63D637CD"/>
    <w:rsid w:val="63D86CEB"/>
    <w:rsid w:val="63DC472B"/>
    <w:rsid w:val="63DF0E80"/>
    <w:rsid w:val="63E478A2"/>
    <w:rsid w:val="63EA6716"/>
    <w:rsid w:val="63F20007"/>
    <w:rsid w:val="63F57916"/>
    <w:rsid w:val="63FB51DE"/>
    <w:rsid w:val="64005070"/>
    <w:rsid w:val="640630ED"/>
    <w:rsid w:val="6407487D"/>
    <w:rsid w:val="640B0F3B"/>
    <w:rsid w:val="640C4419"/>
    <w:rsid w:val="640E6C13"/>
    <w:rsid w:val="6410420A"/>
    <w:rsid w:val="64131C16"/>
    <w:rsid w:val="641321B7"/>
    <w:rsid w:val="641340ED"/>
    <w:rsid w:val="64165BFF"/>
    <w:rsid w:val="641A4AFC"/>
    <w:rsid w:val="641B57B0"/>
    <w:rsid w:val="641F31EA"/>
    <w:rsid w:val="642066D5"/>
    <w:rsid w:val="642527B8"/>
    <w:rsid w:val="64287CC4"/>
    <w:rsid w:val="642B58A1"/>
    <w:rsid w:val="642D2FA6"/>
    <w:rsid w:val="64307EE0"/>
    <w:rsid w:val="64323A61"/>
    <w:rsid w:val="64330EF1"/>
    <w:rsid w:val="64362785"/>
    <w:rsid w:val="64391250"/>
    <w:rsid w:val="643B32EC"/>
    <w:rsid w:val="643D733B"/>
    <w:rsid w:val="643E3F4B"/>
    <w:rsid w:val="643E629C"/>
    <w:rsid w:val="64407D30"/>
    <w:rsid w:val="64453D4D"/>
    <w:rsid w:val="64473395"/>
    <w:rsid w:val="644759BA"/>
    <w:rsid w:val="644D0DCB"/>
    <w:rsid w:val="644F3159"/>
    <w:rsid w:val="64530E43"/>
    <w:rsid w:val="64587D7F"/>
    <w:rsid w:val="64590050"/>
    <w:rsid w:val="64603693"/>
    <w:rsid w:val="646943A1"/>
    <w:rsid w:val="646D1696"/>
    <w:rsid w:val="646E19FD"/>
    <w:rsid w:val="646F3638"/>
    <w:rsid w:val="64711BCB"/>
    <w:rsid w:val="64715B6B"/>
    <w:rsid w:val="64743893"/>
    <w:rsid w:val="647A1C04"/>
    <w:rsid w:val="647F2F5E"/>
    <w:rsid w:val="64802974"/>
    <w:rsid w:val="64824095"/>
    <w:rsid w:val="6487075A"/>
    <w:rsid w:val="648A1EA2"/>
    <w:rsid w:val="648C1CE9"/>
    <w:rsid w:val="648C617E"/>
    <w:rsid w:val="649053F4"/>
    <w:rsid w:val="649268FB"/>
    <w:rsid w:val="64927B34"/>
    <w:rsid w:val="64961A19"/>
    <w:rsid w:val="649626EB"/>
    <w:rsid w:val="64963A0E"/>
    <w:rsid w:val="64970C1A"/>
    <w:rsid w:val="64983415"/>
    <w:rsid w:val="649B6C7B"/>
    <w:rsid w:val="649F2FE1"/>
    <w:rsid w:val="649F7A41"/>
    <w:rsid w:val="64A43056"/>
    <w:rsid w:val="64A62E48"/>
    <w:rsid w:val="64A905CD"/>
    <w:rsid w:val="64A92507"/>
    <w:rsid w:val="64AA6FF4"/>
    <w:rsid w:val="64AB0A68"/>
    <w:rsid w:val="64AB53EC"/>
    <w:rsid w:val="64AC4F9A"/>
    <w:rsid w:val="64AD1D3E"/>
    <w:rsid w:val="64B02C24"/>
    <w:rsid w:val="64B71734"/>
    <w:rsid w:val="64B922A8"/>
    <w:rsid w:val="64BA7F02"/>
    <w:rsid w:val="64C10EA8"/>
    <w:rsid w:val="64C675AD"/>
    <w:rsid w:val="64CB27E2"/>
    <w:rsid w:val="64D42909"/>
    <w:rsid w:val="64D62878"/>
    <w:rsid w:val="64E36BF9"/>
    <w:rsid w:val="64E76D86"/>
    <w:rsid w:val="64E875D4"/>
    <w:rsid w:val="64F0257C"/>
    <w:rsid w:val="64F44BB8"/>
    <w:rsid w:val="64F64C8B"/>
    <w:rsid w:val="64FA34C6"/>
    <w:rsid w:val="65025219"/>
    <w:rsid w:val="65046CD7"/>
    <w:rsid w:val="650529F6"/>
    <w:rsid w:val="65064BC4"/>
    <w:rsid w:val="650669B1"/>
    <w:rsid w:val="650B74A8"/>
    <w:rsid w:val="650D02EA"/>
    <w:rsid w:val="65101790"/>
    <w:rsid w:val="6515151B"/>
    <w:rsid w:val="651B56C6"/>
    <w:rsid w:val="651C40A2"/>
    <w:rsid w:val="651D2470"/>
    <w:rsid w:val="65215E62"/>
    <w:rsid w:val="652364FE"/>
    <w:rsid w:val="65242F47"/>
    <w:rsid w:val="65242FA1"/>
    <w:rsid w:val="652C655E"/>
    <w:rsid w:val="652D69C3"/>
    <w:rsid w:val="65333E96"/>
    <w:rsid w:val="6534778F"/>
    <w:rsid w:val="653C3529"/>
    <w:rsid w:val="653C3E0B"/>
    <w:rsid w:val="653D53C4"/>
    <w:rsid w:val="653E102A"/>
    <w:rsid w:val="65467A5C"/>
    <w:rsid w:val="654801FE"/>
    <w:rsid w:val="6549085C"/>
    <w:rsid w:val="6552268F"/>
    <w:rsid w:val="65532C49"/>
    <w:rsid w:val="65556F58"/>
    <w:rsid w:val="65583BEC"/>
    <w:rsid w:val="65587179"/>
    <w:rsid w:val="656031FE"/>
    <w:rsid w:val="65603C2A"/>
    <w:rsid w:val="6565100B"/>
    <w:rsid w:val="656C38E7"/>
    <w:rsid w:val="656C43A8"/>
    <w:rsid w:val="656D7AA0"/>
    <w:rsid w:val="656F1381"/>
    <w:rsid w:val="656F2C0E"/>
    <w:rsid w:val="65722844"/>
    <w:rsid w:val="657401D5"/>
    <w:rsid w:val="65751A91"/>
    <w:rsid w:val="65755781"/>
    <w:rsid w:val="657769A7"/>
    <w:rsid w:val="65786EE2"/>
    <w:rsid w:val="65791900"/>
    <w:rsid w:val="657E701A"/>
    <w:rsid w:val="658259C7"/>
    <w:rsid w:val="658549E1"/>
    <w:rsid w:val="65865377"/>
    <w:rsid w:val="65874860"/>
    <w:rsid w:val="658811C6"/>
    <w:rsid w:val="658D22C4"/>
    <w:rsid w:val="658D313A"/>
    <w:rsid w:val="6590250D"/>
    <w:rsid w:val="65916640"/>
    <w:rsid w:val="6593211C"/>
    <w:rsid w:val="65963D02"/>
    <w:rsid w:val="659A6D97"/>
    <w:rsid w:val="659C126D"/>
    <w:rsid w:val="659C1F58"/>
    <w:rsid w:val="659D031F"/>
    <w:rsid w:val="659D200E"/>
    <w:rsid w:val="659D41B6"/>
    <w:rsid w:val="659E749E"/>
    <w:rsid w:val="65A61A5D"/>
    <w:rsid w:val="65A93BD3"/>
    <w:rsid w:val="65AD5902"/>
    <w:rsid w:val="65AF771C"/>
    <w:rsid w:val="65B74C11"/>
    <w:rsid w:val="65BB4D54"/>
    <w:rsid w:val="65BD245A"/>
    <w:rsid w:val="65BE667A"/>
    <w:rsid w:val="65C07E96"/>
    <w:rsid w:val="65C473AF"/>
    <w:rsid w:val="65D03CB1"/>
    <w:rsid w:val="65D17AC8"/>
    <w:rsid w:val="65D26547"/>
    <w:rsid w:val="65D33A39"/>
    <w:rsid w:val="65D626EF"/>
    <w:rsid w:val="65D73643"/>
    <w:rsid w:val="65E06862"/>
    <w:rsid w:val="65E12F57"/>
    <w:rsid w:val="65E81B48"/>
    <w:rsid w:val="65EB597F"/>
    <w:rsid w:val="65EC46B5"/>
    <w:rsid w:val="65F13854"/>
    <w:rsid w:val="65F744BF"/>
    <w:rsid w:val="65F93D9B"/>
    <w:rsid w:val="65FB5E36"/>
    <w:rsid w:val="65FC792E"/>
    <w:rsid w:val="65FE3A93"/>
    <w:rsid w:val="66064102"/>
    <w:rsid w:val="6608135F"/>
    <w:rsid w:val="660909AA"/>
    <w:rsid w:val="660A1DCA"/>
    <w:rsid w:val="660B2879"/>
    <w:rsid w:val="66101216"/>
    <w:rsid w:val="66131796"/>
    <w:rsid w:val="6618760C"/>
    <w:rsid w:val="6619323C"/>
    <w:rsid w:val="661D6650"/>
    <w:rsid w:val="661E09FA"/>
    <w:rsid w:val="661E3C01"/>
    <w:rsid w:val="6620501C"/>
    <w:rsid w:val="66214440"/>
    <w:rsid w:val="66274E19"/>
    <w:rsid w:val="662A4D53"/>
    <w:rsid w:val="662C263B"/>
    <w:rsid w:val="66355360"/>
    <w:rsid w:val="66357E29"/>
    <w:rsid w:val="66442291"/>
    <w:rsid w:val="66455045"/>
    <w:rsid w:val="66465946"/>
    <w:rsid w:val="66484695"/>
    <w:rsid w:val="66487C14"/>
    <w:rsid w:val="6653465E"/>
    <w:rsid w:val="66550C7F"/>
    <w:rsid w:val="665A5BF3"/>
    <w:rsid w:val="666530F6"/>
    <w:rsid w:val="6666501C"/>
    <w:rsid w:val="666807DE"/>
    <w:rsid w:val="66691CB5"/>
    <w:rsid w:val="666A7624"/>
    <w:rsid w:val="666E509D"/>
    <w:rsid w:val="6672708E"/>
    <w:rsid w:val="6673430E"/>
    <w:rsid w:val="6676127C"/>
    <w:rsid w:val="667729EE"/>
    <w:rsid w:val="667C64F8"/>
    <w:rsid w:val="667D4923"/>
    <w:rsid w:val="667F353F"/>
    <w:rsid w:val="668022D5"/>
    <w:rsid w:val="66860C5C"/>
    <w:rsid w:val="668B1FAF"/>
    <w:rsid w:val="668F7AF3"/>
    <w:rsid w:val="66930C64"/>
    <w:rsid w:val="669530A6"/>
    <w:rsid w:val="6696674F"/>
    <w:rsid w:val="6696681B"/>
    <w:rsid w:val="66992891"/>
    <w:rsid w:val="669A3AFD"/>
    <w:rsid w:val="66A030EC"/>
    <w:rsid w:val="66A04B4F"/>
    <w:rsid w:val="66A05026"/>
    <w:rsid w:val="66AA582F"/>
    <w:rsid w:val="66AD0451"/>
    <w:rsid w:val="66AE28FB"/>
    <w:rsid w:val="66B9018E"/>
    <w:rsid w:val="66BD4D07"/>
    <w:rsid w:val="66C1087F"/>
    <w:rsid w:val="66C11BB0"/>
    <w:rsid w:val="66C12033"/>
    <w:rsid w:val="66C32D25"/>
    <w:rsid w:val="66C505B2"/>
    <w:rsid w:val="66C7577B"/>
    <w:rsid w:val="66C9398D"/>
    <w:rsid w:val="66D31962"/>
    <w:rsid w:val="66D56533"/>
    <w:rsid w:val="66D944B3"/>
    <w:rsid w:val="66E959CE"/>
    <w:rsid w:val="66EF73FC"/>
    <w:rsid w:val="66F2010F"/>
    <w:rsid w:val="66F21E86"/>
    <w:rsid w:val="66F870EC"/>
    <w:rsid w:val="66FA0E86"/>
    <w:rsid w:val="66FB6F3A"/>
    <w:rsid w:val="67004F74"/>
    <w:rsid w:val="67042886"/>
    <w:rsid w:val="67047E70"/>
    <w:rsid w:val="670A35CC"/>
    <w:rsid w:val="670F7122"/>
    <w:rsid w:val="67114E4E"/>
    <w:rsid w:val="6715402C"/>
    <w:rsid w:val="67193217"/>
    <w:rsid w:val="6719374D"/>
    <w:rsid w:val="671C410F"/>
    <w:rsid w:val="671D10A5"/>
    <w:rsid w:val="671D7EB8"/>
    <w:rsid w:val="67203981"/>
    <w:rsid w:val="6720582F"/>
    <w:rsid w:val="672A038F"/>
    <w:rsid w:val="672E3DDF"/>
    <w:rsid w:val="673072D4"/>
    <w:rsid w:val="673604E2"/>
    <w:rsid w:val="6739113E"/>
    <w:rsid w:val="673D114A"/>
    <w:rsid w:val="673D144D"/>
    <w:rsid w:val="673D4DF6"/>
    <w:rsid w:val="673E483E"/>
    <w:rsid w:val="673F042D"/>
    <w:rsid w:val="67440804"/>
    <w:rsid w:val="67463086"/>
    <w:rsid w:val="674672F2"/>
    <w:rsid w:val="6747066A"/>
    <w:rsid w:val="67513297"/>
    <w:rsid w:val="6757521B"/>
    <w:rsid w:val="67617C75"/>
    <w:rsid w:val="67620DDE"/>
    <w:rsid w:val="676254A4"/>
    <w:rsid w:val="6765263D"/>
    <w:rsid w:val="6769582C"/>
    <w:rsid w:val="676C0534"/>
    <w:rsid w:val="676C20B5"/>
    <w:rsid w:val="676E38BA"/>
    <w:rsid w:val="677472D9"/>
    <w:rsid w:val="67760DAA"/>
    <w:rsid w:val="67762B35"/>
    <w:rsid w:val="6776383C"/>
    <w:rsid w:val="677919F8"/>
    <w:rsid w:val="677D31A0"/>
    <w:rsid w:val="67824618"/>
    <w:rsid w:val="678263A1"/>
    <w:rsid w:val="6787491C"/>
    <w:rsid w:val="678827E1"/>
    <w:rsid w:val="67890C45"/>
    <w:rsid w:val="67893ED0"/>
    <w:rsid w:val="678B6DF0"/>
    <w:rsid w:val="678D2751"/>
    <w:rsid w:val="67984304"/>
    <w:rsid w:val="679843A1"/>
    <w:rsid w:val="679E287D"/>
    <w:rsid w:val="67A23666"/>
    <w:rsid w:val="67A609E6"/>
    <w:rsid w:val="67A6394E"/>
    <w:rsid w:val="67A768EE"/>
    <w:rsid w:val="67AA2360"/>
    <w:rsid w:val="67AB1A0F"/>
    <w:rsid w:val="67AE56BB"/>
    <w:rsid w:val="67B65066"/>
    <w:rsid w:val="67BC3889"/>
    <w:rsid w:val="67C16793"/>
    <w:rsid w:val="67C53076"/>
    <w:rsid w:val="67CB0630"/>
    <w:rsid w:val="67CF7700"/>
    <w:rsid w:val="67D1269B"/>
    <w:rsid w:val="67D1779F"/>
    <w:rsid w:val="67D879A0"/>
    <w:rsid w:val="67DC0A87"/>
    <w:rsid w:val="67DD04E7"/>
    <w:rsid w:val="67DE17AF"/>
    <w:rsid w:val="67E378BD"/>
    <w:rsid w:val="67E61C31"/>
    <w:rsid w:val="67E80AF6"/>
    <w:rsid w:val="67E90EB4"/>
    <w:rsid w:val="67EA1CF9"/>
    <w:rsid w:val="67EE6474"/>
    <w:rsid w:val="67EE777F"/>
    <w:rsid w:val="67F11313"/>
    <w:rsid w:val="67F356DE"/>
    <w:rsid w:val="67FA3CCD"/>
    <w:rsid w:val="67FB5208"/>
    <w:rsid w:val="67FC269B"/>
    <w:rsid w:val="67FE18BB"/>
    <w:rsid w:val="680A07FE"/>
    <w:rsid w:val="680A27E2"/>
    <w:rsid w:val="680B042A"/>
    <w:rsid w:val="680C333E"/>
    <w:rsid w:val="680E3670"/>
    <w:rsid w:val="680E5AF2"/>
    <w:rsid w:val="680F03E3"/>
    <w:rsid w:val="681357FB"/>
    <w:rsid w:val="68135EDE"/>
    <w:rsid w:val="681B0E61"/>
    <w:rsid w:val="681B63F6"/>
    <w:rsid w:val="681C24DF"/>
    <w:rsid w:val="68223DE2"/>
    <w:rsid w:val="682B3430"/>
    <w:rsid w:val="682F1F0D"/>
    <w:rsid w:val="683441EB"/>
    <w:rsid w:val="683E6792"/>
    <w:rsid w:val="68436986"/>
    <w:rsid w:val="68447679"/>
    <w:rsid w:val="6846201F"/>
    <w:rsid w:val="684D5B89"/>
    <w:rsid w:val="684F090E"/>
    <w:rsid w:val="68525D10"/>
    <w:rsid w:val="68536240"/>
    <w:rsid w:val="685A0A7A"/>
    <w:rsid w:val="686058C9"/>
    <w:rsid w:val="686371B3"/>
    <w:rsid w:val="68644BBF"/>
    <w:rsid w:val="68665F57"/>
    <w:rsid w:val="686B28C8"/>
    <w:rsid w:val="686C46A4"/>
    <w:rsid w:val="6872188E"/>
    <w:rsid w:val="68754616"/>
    <w:rsid w:val="687572BA"/>
    <w:rsid w:val="68775E54"/>
    <w:rsid w:val="68822E3D"/>
    <w:rsid w:val="688337E6"/>
    <w:rsid w:val="68880F3A"/>
    <w:rsid w:val="68885979"/>
    <w:rsid w:val="68891981"/>
    <w:rsid w:val="688A6235"/>
    <w:rsid w:val="688B4337"/>
    <w:rsid w:val="688B4F77"/>
    <w:rsid w:val="688E73AF"/>
    <w:rsid w:val="68903260"/>
    <w:rsid w:val="689065A1"/>
    <w:rsid w:val="689A0302"/>
    <w:rsid w:val="689C058F"/>
    <w:rsid w:val="689F1607"/>
    <w:rsid w:val="68A4513D"/>
    <w:rsid w:val="68A848F4"/>
    <w:rsid w:val="68B07321"/>
    <w:rsid w:val="68B13BAF"/>
    <w:rsid w:val="68BC4955"/>
    <w:rsid w:val="68C4491E"/>
    <w:rsid w:val="68C72BB6"/>
    <w:rsid w:val="68CD1BCD"/>
    <w:rsid w:val="68CD5D06"/>
    <w:rsid w:val="68CF4943"/>
    <w:rsid w:val="68D144B5"/>
    <w:rsid w:val="68D45405"/>
    <w:rsid w:val="68D45A8A"/>
    <w:rsid w:val="68D75239"/>
    <w:rsid w:val="68DB347B"/>
    <w:rsid w:val="68E0294D"/>
    <w:rsid w:val="68E1005C"/>
    <w:rsid w:val="68E63EB3"/>
    <w:rsid w:val="68E83A39"/>
    <w:rsid w:val="68E94B17"/>
    <w:rsid w:val="68EC3983"/>
    <w:rsid w:val="68ED338F"/>
    <w:rsid w:val="68ED6AD1"/>
    <w:rsid w:val="68F37BB7"/>
    <w:rsid w:val="68F40579"/>
    <w:rsid w:val="68F60BD8"/>
    <w:rsid w:val="68F742F7"/>
    <w:rsid w:val="68F77ABB"/>
    <w:rsid w:val="68FC09C9"/>
    <w:rsid w:val="68FC42CA"/>
    <w:rsid w:val="6904314A"/>
    <w:rsid w:val="690707AA"/>
    <w:rsid w:val="690B28DB"/>
    <w:rsid w:val="690B7532"/>
    <w:rsid w:val="690E4A35"/>
    <w:rsid w:val="69100076"/>
    <w:rsid w:val="69154EDC"/>
    <w:rsid w:val="69171396"/>
    <w:rsid w:val="691D09E3"/>
    <w:rsid w:val="691E73E4"/>
    <w:rsid w:val="69270753"/>
    <w:rsid w:val="692B0285"/>
    <w:rsid w:val="692B6025"/>
    <w:rsid w:val="692C5442"/>
    <w:rsid w:val="69301062"/>
    <w:rsid w:val="6935037D"/>
    <w:rsid w:val="69362124"/>
    <w:rsid w:val="69380F7A"/>
    <w:rsid w:val="693F220A"/>
    <w:rsid w:val="694100F3"/>
    <w:rsid w:val="694167DB"/>
    <w:rsid w:val="694245FC"/>
    <w:rsid w:val="69461EA6"/>
    <w:rsid w:val="694A65C6"/>
    <w:rsid w:val="69511AD2"/>
    <w:rsid w:val="695B5BEF"/>
    <w:rsid w:val="696103A2"/>
    <w:rsid w:val="696304A5"/>
    <w:rsid w:val="696319E4"/>
    <w:rsid w:val="696418D4"/>
    <w:rsid w:val="696954EE"/>
    <w:rsid w:val="69777ACD"/>
    <w:rsid w:val="697A4498"/>
    <w:rsid w:val="697C3427"/>
    <w:rsid w:val="697C5F69"/>
    <w:rsid w:val="69834A4B"/>
    <w:rsid w:val="69865E33"/>
    <w:rsid w:val="698675A4"/>
    <w:rsid w:val="69874110"/>
    <w:rsid w:val="69885756"/>
    <w:rsid w:val="698A4F2D"/>
    <w:rsid w:val="698B4FC0"/>
    <w:rsid w:val="69995D30"/>
    <w:rsid w:val="699B3B25"/>
    <w:rsid w:val="699C2C4A"/>
    <w:rsid w:val="69A071C9"/>
    <w:rsid w:val="69A3270E"/>
    <w:rsid w:val="69A41443"/>
    <w:rsid w:val="69A50F86"/>
    <w:rsid w:val="69A60E20"/>
    <w:rsid w:val="69AB12B9"/>
    <w:rsid w:val="69B07368"/>
    <w:rsid w:val="69B6461B"/>
    <w:rsid w:val="69B64A2C"/>
    <w:rsid w:val="69B83344"/>
    <w:rsid w:val="69BA3F0D"/>
    <w:rsid w:val="69BA7B3A"/>
    <w:rsid w:val="69BB44C4"/>
    <w:rsid w:val="69BD6D8F"/>
    <w:rsid w:val="69C1548D"/>
    <w:rsid w:val="69C7288A"/>
    <w:rsid w:val="69CD32F2"/>
    <w:rsid w:val="69CE28F6"/>
    <w:rsid w:val="69CE4DA2"/>
    <w:rsid w:val="69D409AC"/>
    <w:rsid w:val="69D43EFB"/>
    <w:rsid w:val="69D66F8C"/>
    <w:rsid w:val="69DB72BB"/>
    <w:rsid w:val="69DB7E31"/>
    <w:rsid w:val="69DE1598"/>
    <w:rsid w:val="69E14626"/>
    <w:rsid w:val="69E55F18"/>
    <w:rsid w:val="69E819F2"/>
    <w:rsid w:val="69E938EE"/>
    <w:rsid w:val="69EB46A7"/>
    <w:rsid w:val="69EB6AB5"/>
    <w:rsid w:val="69EC3AA4"/>
    <w:rsid w:val="69F1144E"/>
    <w:rsid w:val="69F327B2"/>
    <w:rsid w:val="69F53ECF"/>
    <w:rsid w:val="69F937FB"/>
    <w:rsid w:val="69FA0185"/>
    <w:rsid w:val="69FB6982"/>
    <w:rsid w:val="69FE5874"/>
    <w:rsid w:val="6A022B13"/>
    <w:rsid w:val="6A0D5CF8"/>
    <w:rsid w:val="6A14236B"/>
    <w:rsid w:val="6A1A4B6C"/>
    <w:rsid w:val="6A204A75"/>
    <w:rsid w:val="6A211BFB"/>
    <w:rsid w:val="6A274778"/>
    <w:rsid w:val="6A2B03AD"/>
    <w:rsid w:val="6A2B4085"/>
    <w:rsid w:val="6A2E425D"/>
    <w:rsid w:val="6A325601"/>
    <w:rsid w:val="6A334ED5"/>
    <w:rsid w:val="6A394604"/>
    <w:rsid w:val="6A3C0E64"/>
    <w:rsid w:val="6A3D1103"/>
    <w:rsid w:val="6A443638"/>
    <w:rsid w:val="6A450508"/>
    <w:rsid w:val="6A4A1CB9"/>
    <w:rsid w:val="6A4D523B"/>
    <w:rsid w:val="6A4E0698"/>
    <w:rsid w:val="6A543165"/>
    <w:rsid w:val="6A61357F"/>
    <w:rsid w:val="6A641EE3"/>
    <w:rsid w:val="6A655DEE"/>
    <w:rsid w:val="6A6C3F0F"/>
    <w:rsid w:val="6A7318D2"/>
    <w:rsid w:val="6A734417"/>
    <w:rsid w:val="6A740299"/>
    <w:rsid w:val="6A776048"/>
    <w:rsid w:val="6A783CA2"/>
    <w:rsid w:val="6A7F246D"/>
    <w:rsid w:val="6A8054FE"/>
    <w:rsid w:val="6A83702B"/>
    <w:rsid w:val="6A85773A"/>
    <w:rsid w:val="6A894EED"/>
    <w:rsid w:val="6A8D124F"/>
    <w:rsid w:val="6A8D45EB"/>
    <w:rsid w:val="6A8E6D23"/>
    <w:rsid w:val="6A8E71CF"/>
    <w:rsid w:val="6A907B8B"/>
    <w:rsid w:val="6A910ED6"/>
    <w:rsid w:val="6AA7399F"/>
    <w:rsid w:val="6AAF663A"/>
    <w:rsid w:val="6AB539F2"/>
    <w:rsid w:val="6AB54A1F"/>
    <w:rsid w:val="6AB80F66"/>
    <w:rsid w:val="6ABD1814"/>
    <w:rsid w:val="6AC03499"/>
    <w:rsid w:val="6AC31051"/>
    <w:rsid w:val="6AC56B87"/>
    <w:rsid w:val="6ACB7D8A"/>
    <w:rsid w:val="6ACE1480"/>
    <w:rsid w:val="6AD078E1"/>
    <w:rsid w:val="6AD546EC"/>
    <w:rsid w:val="6AD55A24"/>
    <w:rsid w:val="6AD964EC"/>
    <w:rsid w:val="6AD966F1"/>
    <w:rsid w:val="6ADC7B41"/>
    <w:rsid w:val="6AE11B62"/>
    <w:rsid w:val="6AE45B6C"/>
    <w:rsid w:val="6AE554AB"/>
    <w:rsid w:val="6AEC3F8A"/>
    <w:rsid w:val="6AF7691C"/>
    <w:rsid w:val="6AF85BFB"/>
    <w:rsid w:val="6AFB456B"/>
    <w:rsid w:val="6AFD225F"/>
    <w:rsid w:val="6B0510E7"/>
    <w:rsid w:val="6B142EF1"/>
    <w:rsid w:val="6B1A2981"/>
    <w:rsid w:val="6B1A42A8"/>
    <w:rsid w:val="6B1F0F6A"/>
    <w:rsid w:val="6B1F6D7B"/>
    <w:rsid w:val="6B21418E"/>
    <w:rsid w:val="6B2248E2"/>
    <w:rsid w:val="6B28614B"/>
    <w:rsid w:val="6B294105"/>
    <w:rsid w:val="6B2D687D"/>
    <w:rsid w:val="6B2E0964"/>
    <w:rsid w:val="6B2E7744"/>
    <w:rsid w:val="6B320D3C"/>
    <w:rsid w:val="6B331E7F"/>
    <w:rsid w:val="6B39764F"/>
    <w:rsid w:val="6B3F4AAB"/>
    <w:rsid w:val="6B434096"/>
    <w:rsid w:val="6B482C41"/>
    <w:rsid w:val="6B4A4012"/>
    <w:rsid w:val="6B4B0FD9"/>
    <w:rsid w:val="6B4D7DC0"/>
    <w:rsid w:val="6B4F6862"/>
    <w:rsid w:val="6B557138"/>
    <w:rsid w:val="6B565AA4"/>
    <w:rsid w:val="6B566837"/>
    <w:rsid w:val="6B575C96"/>
    <w:rsid w:val="6B585C99"/>
    <w:rsid w:val="6B591AC9"/>
    <w:rsid w:val="6B5966E6"/>
    <w:rsid w:val="6B5A07B1"/>
    <w:rsid w:val="6B5B3041"/>
    <w:rsid w:val="6B5F5EA0"/>
    <w:rsid w:val="6B671FC8"/>
    <w:rsid w:val="6B7014E1"/>
    <w:rsid w:val="6B7729FE"/>
    <w:rsid w:val="6B7B2FE6"/>
    <w:rsid w:val="6B8176AC"/>
    <w:rsid w:val="6B87098A"/>
    <w:rsid w:val="6B8A7E5D"/>
    <w:rsid w:val="6B8E2277"/>
    <w:rsid w:val="6B9D5ED6"/>
    <w:rsid w:val="6B9F6C65"/>
    <w:rsid w:val="6BA2320A"/>
    <w:rsid w:val="6BA722DF"/>
    <w:rsid w:val="6BAC65A1"/>
    <w:rsid w:val="6BB13162"/>
    <w:rsid w:val="6BB22770"/>
    <w:rsid w:val="6BB246A9"/>
    <w:rsid w:val="6BB2658C"/>
    <w:rsid w:val="6BB442A0"/>
    <w:rsid w:val="6BB63FA4"/>
    <w:rsid w:val="6BBB42E0"/>
    <w:rsid w:val="6BBD0534"/>
    <w:rsid w:val="6BBD51B7"/>
    <w:rsid w:val="6BBF6677"/>
    <w:rsid w:val="6BC72B07"/>
    <w:rsid w:val="6BC74971"/>
    <w:rsid w:val="6BC97AE7"/>
    <w:rsid w:val="6BCB6677"/>
    <w:rsid w:val="6BD06BEA"/>
    <w:rsid w:val="6BD10EF3"/>
    <w:rsid w:val="6BD74443"/>
    <w:rsid w:val="6BD937C6"/>
    <w:rsid w:val="6BDA6734"/>
    <w:rsid w:val="6BDB649F"/>
    <w:rsid w:val="6BE549A7"/>
    <w:rsid w:val="6BEE6F46"/>
    <w:rsid w:val="6BEF50B2"/>
    <w:rsid w:val="6BF06409"/>
    <w:rsid w:val="6BF2076F"/>
    <w:rsid w:val="6BFA2FD2"/>
    <w:rsid w:val="6BFE4CD8"/>
    <w:rsid w:val="6C027DBD"/>
    <w:rsid w:val="6C034819"/>
    <w:rsid w:val="6C06614F"/>
    <w:rsid w:val="6C097BD1"/>
    <w:rsid w:val="6C0D4779"/>
    <w:rsid w:val="6C103DC6"/>
    <w:rsid w:val="6C1F6BA1"/>
    <w:rsid w:val="6C331EFB"/>
    <w:rsid w:val="6C3321FD"/>
    <w:rsid w:val="6C354B99"/>
    <w:rsid w:val="6C372983"/>
    <w:rsid w:val="6C38440C"/>
    <w:rsid w:val="6C3C4605"/>
    <w:rsid w:val="6C3F23AE"/>
    <w:rsid w:val="6C474A2A"/>
    <w:rsid w:val="6C4C3C69"/>
    <w:rsid w:val="6C4D31A0"/>
    <w:rsid w:val="6C4F4EC8"/>
    <w:rsid w:val="6C5054AD"/>
    <w:rsid w:val="6C5564CE"/>
    <w:rsid w:val="6C5B3CCF"/>
    <w:rsid w:val="6C5C54B4"/>
    <w:rsid w:val="6C5F590E"/>
    <w:rsid w:val="6C7255DF"/>
    <w:rsid w:val="6C7749B2"/>
    <w:rsid w:val="6C787CB4"/>
    <w:rsid w:val="6C7E3144"/>
    <w:rsid w:val="6C825A7C"/>
    <w:rsid w:val="6C8415E7"/>
    <w:rsid w:val="6C8D230E"/>
    <w:rsid w:val="6C8F1570"/>
    <w:rsid w:val="6C945531"/>
    <w:rsid w:val="6C964147"/>
    <w:rsid w:val="6C97525A"/>
    <w:rsid w:val="6C9978A3"/>
    <w:rsid w:val="6C9A301A"/>
    <w:rsid w:val="6C9A74F0"/>
    <w:rsid w:val="6C9F4602"/>
    <w:rsid w:val="6CA84389"/>
    <w:rsid w:val="6CAC356B"/>
    <w:rsid w:val="6CAF118B"/>
    <w:rsid w:val="6CB22C88"/>
    <w:rsid w:val="6CB66B1D"/>
    <w:rsid w:val="6CB91B88"/>
    <w:rsid w:val="6CBB7CA1"/>
    <w:rsid w:val="6CBE0B2A"/>
    <w:rsid w:val="6CBF2E9B"/>
    <w:rsid w:val="6CBF6EF4"/>
    <w:rsid w:val="6CC341F3"/>
    <w:rsid w:val="6CC57606"/>
    <w:rsid w:val="6CC61926"/>
    <w:rsid w:val="6CC67C54"/>
    <w:rsid w:val="6CC76E40"/>
    <w:rsid w:val="6CCA7522"/>
    <w:rsid w:val="6CCF6D62"/>
    <w:rsid w:val="6CD12F70"/>
    <w:rsid w:val="6CD13B1F"/>
    <w:rsid w:val="6CD222EA"/>
    <w:rsid w:val="6CD71EC7"/>
    <w:rsid w:val="6CDF37F6"/>
    <w:rsid w:val="6CE02475"/>
    <w:rsid w:val="6CE04876"/>
    <w:rsid w:val="6CE41037"/>
    <w:rsid w:val="6CE52F13"/>
    <w:rsid w:val="6CE531FC"/>
    <w:rsid w:val="6CE74ACD"/>
    <w:rsid w:val="6CE81FF5"/>
    <w:rsid w:val="6CF75CD2"/>
    <w:rsid w:val="6CFC3F30"/>
    <w:rsid w:val="6D003424"/>
    <w:rsid w:val="6D0627B4"/>
    <w:rsid w:val="6D0701A6"/>
    <w:rsid w:val="6D0B2CBE"/>
    <w:rsid w:val="6D0E04C9"/>
    <w:rsid w:val="6D126713"/>
    <w:rsid w:val="6D17544A"/>
    <w:rsid w:val="6D181843"/>
    <w:rsid w:val="6D181EBB"/>
    <w:rsid w:val="6D1B30F6"/>
    <w:rsid w:val="6D1E0DB5"/>
    <w:rsid w:val="6D211E3E"/>
    <w:rsid w:val="6D23287D"/>
    <w:rsid w:val="6D262C73"/>
    <w:rsid w:val="6D276C0C"/>
    <w:rsid w:val="6D285506"/>
    <w:rsid w:val="6D2A6427"/>
    <w:rsid w:val="6D2D1D0D"/>
    <w:rsid w:val="6D2E1316"/>
    <w:rsid w:val="6D2E263F"/>
    <w:rsid w:val="6D310DEB"/>
    <w:rsid w:val="6D3625C5"/>
    <w:rsid w:val="6D376A72"/>
    <w:rsid w:val="6D3836D1"/>
    <w:rsid w:val="6D383B96"/>
    <w:rsid w:val="6D391978"/>
    <w:rsid w:val="6D404195"/>
    <w:rsid w:val="6D4365F2"/>
    <w:rsid w:val="6D445172"/>
    <w:rsid w:val="6D4651AA"/>
    <w:rsid w:val="6D466280"/>
    <w:rsid w:val="6D486711"/>
    <w:rsid w:val="6D490A7B"/>
    <w:rsid w:val="6D496A93"/>
    <w:rsid w:val="6D4C0A92"/>
    <w:rsid w:val="6D4C3DA6"/>
    <w:rsid w:val="6D4E7CAE"/>
    <w:rsid w:val="6D53062D"/>
    <w:rsid w:val="6D536C64"/>
    <w:rsid w:val="6D5A1CAD"/>
    <w:rsid w:val="6D5B2CF4"/>
    <w:rsid w:val="6D5D3C63"/>
    <w:rsid w:val="6D62029F"/>
    <w:rsid w:val="6D663D0B"/>
    <w:rsid w:val="6D6912CB"/>
    <w:rsid w:val="6D711E2E"/>
    <w:rsid w:val="6D761CA9"/>
    <w:rsid w:val="6D7708A7"/>
    <w:rsid w:val="6D7737B1"/>
    <w:rsid w:val="6D796354"/>
    <w:rsid w:val="6D7A2AB3"/>
    <w:rsid w:val="6D7D11D2"/>
    <w:rsid w:val="6D806E08"/>
    <w:rsid w:val="6D8443CF"/>
    <w:rsid w:val="6D857291"/>
    <w:rsid w:val="6D8A0277"/>
    <w:rsid w:val="6D920D39"/>
    <w:rsid w:val="6D93473D"/>
    <w:rsid w:val="6D9C4B21"/>
    <w:rsid w:val="6D9D010C"/>
    <w:rsid w:val="6D9D444C"/>
    <w:rsid w:val="6D9E613A"/>
    <w:rsid w:val="6D9F51CB"/>
    <w:rsid w:val="6D9F5A85"/>
    <w:rsid w:val="6DA524DC"/>
    <w:rsid w:val="6DA62D1B"/>
    <w:rsid w:val="6DA932DD"/>
    <w:rsid w:val="6DAC0058"/>
    <w:rsid w:val="6DB52A4C"/>
    <w:rsid w:val="6DB71328"/>
    <w:rsid w:val="6DBA0417"/>
    <w:rsid w:val="6DBA0903"/>
    <w:rsid w:val="6DBF76A4"/>
    <w:rsid w:val="6DC152E3"/>
    <w:rsid w:val="6DC21C8F"/>
    <w:rsid w:val="6DC34F39"/>
    <w:rsid w:val="6DC62419"/>
    <w:rsid w:val="6DC63875"/>
    <w:rsid w:val="6DC72C74"/>
    <w:rsid w:val="6DD04EF0"/>
    <w:rsid w:val="6DD23944"/>
    <w:rsid w:val="6DD33C0F"/>
    <w:rsid w:val="6DD50DE6"/>
    <w:rsid w:val="6DD52DC9"/>
    <w:rsid w:val="6DD90220"/>
    <w:rsid w:val="6DDE492D"/>
    <w:rsid w:val="6DEA4172"/>
    <w:rsid w:val="6DEC21A6"/>
    <w:rsid w:val="6DEE67A9"/>
    <w:rsid w:val="6DF4014E"/>
    <w:rsid w:val="6DFB7C05"/>
    <w:rsid w:val="6DFC01EF"/>
    <w:rsid w:val="6E00460E"/>
    <w:rsid w:val="6E026CD7"/>
    <w:rsid w:val="6E100461"/>
    <w:rsid w:val="6E1302AF"/>
    <w:rsid w:val="6E142957"/>
    <w:rsid w:val="6E17764F"/>
    <w:rsid w:val="6E1C0136"/>
    <w:rsid w:val="6E1C4F74"/>
    <w:rsid w:val="6E204286"/>
    <w:rsid w:val="6E2213FA"/>
    <w:rsid w:val="6E242897"/>
    <w:rsid w:val="6E254260"/>
    <w:rsid w:val="6E287AC4"/>
    <w:rsid w:val="6E3010C8"/>
    <w:rsid w:val="6E303500"/>
    <w:rsid w:val="6E333ED1"/>
    <w:rsid w:val="6E337012"/>
    <w:rsid w:val="6E3E2A1A"/>
    <w:rsid w:val="6E3F32D8"/>
    <w:rsid w:val="6E47385A"/>
    <w:rsid w:val="6E4E5731"/>
    <w:rsid w:val="6E565650"/>
    <w:rsid w:val="6E5977C2"/>
    <w:rsid w:val="6E5B5E11"/>
    <w:rsid w:val="6E5D33F8"/>
    <w:rsid w:val="6E621725"/>
    <w:rsid w:val="6E6359AD"/>
    <w:rsid w:val="6E675972"/>
    <w:rsid w:val="6E6A0A74"/>
    <w:rsid w:val="6E6A4C19"/>
    <w:rsid w:val="6E6F736A"/>
    <w:rsid w:val="6E712470"/>
    <w:rsid w:val="6E731478"/>
    <w:rsid w:val="6E7342DA"/>
    <w:rsid w:val="6E762E04"/>
    <w:rsid w:val="6E76369F"/>
    <w:rsid w:val="6E7847B7"/>
    <w:rsid w:val="6E7A0362"/>
    <w:rsid w:val="6E7A60F4"/>
    <w:rsid w:val="6E815A30"/>
    <w:rsid w:val="6E862750"/>
    <w:rsid w:val="6E886941"/>
    <w:rsid w:val="6E8C18F9"/>
    <w:rsid w:val="6E950085"/>
    <w:rsid w:val="6E960CA8"/>
    <w:rsid w:val="6EA13B52"/>
    <w:rsid w:val="6EA941D3"/>
    <w:rsid w:val="6EB715A9"/>
    <w:rsid w:val="6EB90114"/>
    <w:rsid w:val="6EBB3944"/>
    <w:rsid w:val="6EC30401"/>
    <w:rsid w:val="6ECD0CDA"/>
    <w:rsid w:val="6ECE70D3"/>
    <w:rsid w:val="6ED059F0"/>
    <w:rsid w:val="6EDE4FAE"/>
    <w:rsid w:val="6EDE5B08"/>
    <w:rsid w:val="6EE66E75"/>
    <w:rsid w:val="6EE93307"/>
    <w:rsid w:val="6EF01E8F"/>
    <w:rsid w:val="6EF54F33"/>
    <w:rsid w:val="6EF57C29"/>
    <w:rsid w:val="6EFA0580"/>
    <w:rsid w:val="6EFA28B6"/>
    <w:rsid w:val="6F011EF9"/>
    <w:rsid w:val="6F036E5D"/>
    <w:rsid w:val="6F06431E"/>
    <w:rsid w:val="6F0B38BC"/>
    <w:rsid w:val="6F0C4EE7"/>
    <w:rsid w:val="6F1277FF"/>
    <w:rsid w:val="6F1600B6"/>
    <w:rsid w:val="6F1A665D"/>
    <w:rsid w:val="6F1C049F"/>
    <w:rsid w:val="6F1C253B"/>
    <w:rsid w:val="6F1F6B70"/>
    <w:rsid w:val="6F220AF4"/>
    <w:rsid w:val="6F224382"/>
    <w:rsid w:val="6F264BEE"/>
    <w:rsid w:val="6F2835A5"/>
    <w:rsid w:val="6F2C0529"/>
    <w:rsid w:val="6F2F5F06"/>
    <w:rsid w:val="6F391455"/>
    <w:rsid w:val="6F3B3592"/>
    <w:rsid w:val="6F3E4823"/>
    <w:rsid w:val="6F411BD0"/>
    <w:rsid w:val="6F4B57FD"/>
    <w:rsid w:val="6F5161DF"/>
    <w:rsid w:val="6F5F4682"/>
    <w:rsid w:val="6F6A6A9D"/>
    <w:rsid w:val="6F6D7B73"/>
    <w:rsid w:val="6F70499C"/>
    <w:rsid w:val="6F70770E"/>
    <w:rsid w:val="6F800854"/>
    <w:rsid w:val="6F802982"/>
    <w:rsid w:val="6F820F86"/>
    <w:rsid w:val="6F871F4B"/>
    <w:rsid w:val="6F8B3998"/>
    <w:rsid w:val="6F912BC4"/>
    <w:rsid w:val="6F93735D"/>
    <w:rsid w:val="6F950891"/>
    <w:rsid w:val="6F9514FD"/>
    <w:rsid w:val="6F955ACB"/>
    <w:rsid w:val="6F9D194B"/>
    <w:rsid w:val="6F9E0A0D"/>
    <w:rsid w:val="6F9E65EE"/>
    <w:rsid w:val="6FA163A7"/>
    <w:rsid w:val="6FA42B54"/>
    <w:rsid w:val="6FA438D9"/>
    <w:rsid w:val="6FA4656C"/>
    <w:rsid w:val="6FA67EF8"/>
    <w:rsid w:val="6FA85115"/>
    <w:rsid w:val="6FAC1D31"/>
    <w:rsid w:val="6FAD2930"/>
    <w:rsid w:val="6FAE1BC0"/>
    <w:rsid w:val="6FB7179E"/>
    <w:rsid w:val="6FB87F4C"/>
    <w:rsid w:val="6FBB6E28"/>
    <w:rsid w:val="6FC06E37"/>
    <w:rsid w:val="6FC1568E"/>
    <w:rsid w:val="6FC56259"/>
    <w:rsid w:val="6FCD6ABB"/>
    <w:rsid w:val="6FD11508"/>
    <w:rsid w:val="6FD27221"/>
    <w:rsid w:val="6FD859CA"/>
    <w:rsid w:val="6FDB2B5F"/>
    <w:rsid w:val="6FE51721"/>
    <w:rsid w:val="6FE63BA2"/>
    <w:rsid w:val="6FEE4F99"/>
    <w:rsid w:val="6FEF7EB4"/>
    <w:rsid w:val="6FF07591"/>
    <w:rsid w:val="6FF40CDB"/>
    <w:rsid w:val="6FFC5FDE"/>
    <w:rsid w:val="6FFD1C4B"/>
    <w:rsid w:val="70016424"/>
    <w:rsid w:val="70047B44"/>
    <w:rsid w:val="7007469B"/>
    <w:rsid w:val="700F4A38"/>
    <w:rsid w:val="70101755"/>
    <w:rsid w:val="701613C8"/>
    <w:rsid w:val="701805E9"/>
    <w:rsid w:val="701F7B88"/>
    <w:rsid w:val="7028116A"/>
    <w:rsid w:val="702C38F5"/>
    <w:rsid w:val="70303197"/>
    <w:rsid w:val="70365BD9"/>
    <w:rsid w:val="70380A7E"/>
    <w:rsid w:val="703C4830"/>
    <w:rsid w:val="70473984"/>
    <w:rsid w:val="70483944"/>
    <w:rsid w:val="704C38F7"/>
    <w:rsid w:val="704C60CC"/>
    <w:rsid w:val="70511031"/>
    <w:rsid w:val="705563ED"/>
    <w:rsid w:val="706669C9"/>
    <w:rsid w:val="7068672C"/>
    <w:rsid w:val="706C49A0"/>
    <w:rsid w:val="706D1494"/>
    <w:rsid w:val="706F0C31"/>
    <w:rsid w:val="707F4B0B"/>
    <w:rsid w:val="7081217E"/>
    <w:rsid w:val="708202C4"/>
    <w:rsid w:val="70827E61"/>
    <w:rsid w:val="70853D43"/>
    <w:rsid w:val="708561CB"/>
    <w:rsid w:val="70857035"/>
    <w:rsid w:val="708B5BB6"/>
    <w:rsid w:val="708C6EDF"/>
    <w:rsid w:val="70903BC4"/>
    <w:rsid w:val="70926ACE"/>
    <w:rsid w:val="70996144"/>
    <w:rsid w:val="709B4314"/>
    <w:rsid w:val="709C2B2F"/>
    <w:rsid w:val="709C65AD"/>
    <w:rsid w:val="709F1FE2"/>
    <w:rsid w:val="70A31FAD"/>
    <w:rsid w:val="70AA37D8"/>
    <w:rsid w:val="70AB5A9D"/>
    <w:rsid w:val="70AC6914"/>
    <w:rsid w:val="70B44021"/>
    <w:rsid w:val="70B8639B"/>
    <w:rsid w:val="70C07514"/>
    <w:rsid w:val="70C43AFC"/>
    <w:rsid w:val="70CC10C4"/>
    <w:rsid w:val="70CD5A6D"/>
    <w:rsid w:val="70D5192A"/>
    <w:rsid w:val="70D51A92"/>
    <w:rsid w:val="70D57B76"/>
    <w:rsid w:val="70D747C2"/>
    <w:rsid w:val="70D84F79"/>
    <w:rsid w:val="70DC2A70"/>
    <w:rsid w:val="70DE1621"/>
    <w:rsid w:val="70E01751"/>
    <w:rsid w:val="70E04E07"/>
    <w:rsid w:val="70E251F3"/>
    <w:rsid w:val="70EA4225"/>
    <w:rsid w:val="70ED6DA3"/>
    <w:rsid w:val="70F84178"/>
    <w:rsid w:val="70F91B3A"/>
    <w:rsid w:val="71013CF7"/>
    <w:rsid w:val="71020F5B"/>
    <w:rsid w:val="710417AF"/>
    <w:rsid w:val="71047F61"/>
    <w:rsid w:val="71086B77"/>
    <w:rsid w:val="71086EED"/>
    <w:rsid w:val="710B522A"/>
    <w:rsid w:val="710B661D"/>
    <w:rsid w:val="710F7189"/>
    <w:rsid w:val="71133668"/>
    <w:rsid w:val="711524EB"/>
    <w:rsid w:val="71154F96"/>
    <w:rsid w:val="711A4720"/>
    <w:rsid w:val="711D0999"/>
    <w:rsid w:val="711F671F"/>
    <w:rsid w:val="71210040"/>
    <w:rsid w:val="71221AC6"/>
    <w:rsid w:val="7129634E"/>
    <w:rsid w:val="712D73D4"/>
    <w:rsid w:val="712E39BA"/>
    <w:rsid w:val="712F2564"/>
    <w:rsid w:val="713122BC"/>
    <w:rsid w:val="71364625"/>
    <w:rsid w:val="7137720E"/>
    <w:rsid w:val="713C4FB8"/>
    <w:rsid w:val="713F564B"/>
    <w:rsid w:val="714130E3"/>
    <w:rsid w:val="714175AE"/>
    <w:rsid w:val="71427FB4"/>
    <w:rsid w:val="71447DF5"/>
    <w:rsid w:val="71486291"/>
    <w:rsid w:val="71487611"/>
    <w:rsid w:val="714A38AD"/>
    <w:rsid w:val="714B7B2A"/>
    <w:rsid w:val="715369A7"/>
    <w:rsid w:val="715677C2"/>
    <w:rsid w:val="715C1DA2"/>
    <w:rsid w:val="7160122F"/>
    <w:rsid w:val="71623F5F"/>
    <w:rsid w:val="71627406"/>
    <w:rsid w:val="71634CBF"/>
    <w:rsid w:val="71683AEF"/>
    <w:rsid w:val="71701063"/>
    <w:rsid w:val="7171795D"/>
    <w:rsid w:val="7172784A"/>
    <w:rsid w:val="7179473E"/>
    <w:rsid w:val="717A4A52"/>
    <w:rsid w:val="717B357E"/>
    <w:rsid w:val="717D4738"/>
    <w:rsid w:val="717F05C4"/>
    <w:rsid w:val="717F7AF7"/>
    <w:rsid w:val="718422CF"/>
    <w:rsid w:val="718E17C7"/>
    <w:rsid w:val="718E6AC4"/>
    <w:rsid w:val="718E7EB3"/>
    <w:rsid w:val="718F3277"/>
    <w:rsid w:val="7191075F"/>
    <w:rsid w:val="719C4941"/>
    <w:rsid w:val="719D0DA3"/>
    <w:rsid w:val="71A072F4"/>
    <w:rsid w:val="71A211CF"/>
    <w:rsid w:val="71A42045"/>
    <w:rsid w:val="71AB3FB1"/>
    <w:rsid w:val="71AD6432"/>
    <w:rsid w:val="71B27256"/>
    <w:rsid w:val="71B5278E"/>
    <w:rsid w:val="71B579F9"/>
    <w:rsid w:val="71B72F12"/>
    <w:rsid w:val="71B87545"/>
    <w:rsid w:val="71B95830"/>
    <w:rsid w:val="71BA1145"/>
    <w:rsid w:val="71BE2385"/>
    <w:rsid w:val="71BF2ECA"/>
    <w:rsid w:val="71BF6D06"/>
    <w:rsid w:val="71C010C9"/>
    <w:rsid w:val="71C22677"/>
    <w:rsid w:val="71C33520"/>
    <w:rsid w:val="71C92118"/>
    <w:rsid w:val="71CA4D47"/>
    <w:rsid w:val="71D1007A"/>
    <w:rsid w:val="71DA1A4E"/>
    <w:rsid w:val="71DA3BAB"/>
    <w:rsid w:val="71DB7CB9"/>
    <w:rsid w:val="71DC4AE2"/>
    <w:rsid w:val="71DD650D"/>
    <w:rsid w:val="71E1335C"/>
    <w:rsid w:val="71E3098E"/>
    <w:rsid w:val="71EA0EA2"/>
    <w:rsid w:val="71EF3B40"/>
    <w:rsid w:val="71F3781B"/>
    <w:rsid w:val="71F77E8D"/>
    <w:rsid w:val="71FA45B2"/>
    <w:rsid w:val="71FF7B71"/>
    <w:rsid w:val="72041CE2"/>
    <w:rsid w:val="720568B4"/>
    <w:rsid w:val="72071685"/>
    <w:rsid w:val="720A27EC"/>
    <w:rsid w:val="720B01F5"/>
    <w:rsid w:val="720B6E3D"/>
    <w:rsid w:val="720D29F9"/>
    <w:rsid w:val="72107417"/>
    <w:rsid w:val="72155FEE"/>
    <w:rsid w:val="72166390"/>
    <w:rsid w:val="72186F76"/>
    <w:rsid w:val="7220377E"/>
    <w:rsid w:val="72214011"/>
    <w:rsid w:val="722176A9"/>
    <w:rsid w:val="7228781A"/>
    <w:rsid w:val="722A44BB"/>
    <w:rsid w:val="722B23B4"/>
    <w:rsid w:val="722F1BF8"/>
    <w:rsid w:val="723231B7"/>
    <w:rsid w:val="72362A60"/>
    <w:rsid w:val="72376050"/>
    <w:rsid w:val="72381312"/>
    <w:rsid w:val="723904E1"/>
    <w:rsid w:val="723B7ACB"/>
    <w:rsid w:val="72453956"/>
    <w:rsid w:val="7246404B"/>
    <w:rsid w:val="72477B06"/>
    <w:rsid w:val="724864F1"/>
    <w:rsid w:val="724A4A40"/>
    <w:rsid w:val="724A7C1D"/>
    <w:rsid w:val="724D243D"/>
    <w:rsid w:val="724E0E95"/>
    <w:rsid w:val="7250041F"/>
    <w:rsid w:val="72516F57"/>
    <w:rsid w:val="7252202A"/>
    <w:rsid w:val="72534966"/>
    <w:rsid w:val="72566D45"/>
    <w:rsid w:val="725A2EBB"/>
    <w:rsid w:val="725D4114"/>
    <w:rsid w:val="725E6EA3"/>
    <w:rsid w:val="725F2AB3"/>
    <w:rsid w:val="72603669"/>
    <w:rsid w:val="72641A80"/>
    <w:rsid w:val="72673B32"/>
    <w:rsid w:val="7269703C"/>
    <w:rsid w:val="726C3702"/>
    <w:rsid w:val="726D5FE0"/>
    <w:rsid w:val="726F7C21"/>
    <w:rsid w:val="727154EE"/>
    <w:rsid w:val="727D0DED"/>
    <w:rsid w:val="727D50B6"/>
    <w:rsid w:val="727E3AE7"/>
    <w:rsid w:val="727F688A"/>
    <w:rsid w:val="72852137"/>
    <w:rsid w:val="72855311"/>
    <w:rsid w:val="72874141"/>
    <w:rsid w:val="728850D7"/>
    <w:rsid w:val="728879BA"/>
    <w:rsid w:val="728A2BF1"/>
    <w:rsid w:val="728B17A2"/>
    <w:rsid w:val="7294079E"/>
    <w:rsid w:val="729B5427"/>
    <w:rsid w:val="729C369C"/>
    <w:rsid w:val="72A42AC6"/>
    <w:rsid w:val="72AB2545"/>
    <w:rsid w:val="72AB638D"/>
    <w:rsid w:val="72B060E3"/>
    <w:rsid w:val="72B25239"/>
    <w:rsid w:val="72B439C0"/>
    <w:rsid w:val="72B44BF9"/>
    <w:rsid w:val="72B86CBE"/>
    <w:rsid w:val="72BC3B03"/>
    <w:rsid w:val="72BF1555"/>
    <w:rsid w:val="72C23AE3"/>
    <w:rsid w:val="72C43351"/>
    <w:rsid w:val="72C63918"/>
    <w:rsid w:val="72C84866"/>
    <w:rsid w:val="72CA56ED"/>
    <w:rsid w:val="72CE37E5"/>
    <w:rsid w:val="72CE645E"/>
    <w:rsid w:val="72CE7F48"/>
    <w:rsid w:val="72D8118F"/>
    <w:rsid w:val="72DC04EF"/>
    <w:rsid w:val="72DE1C98"/>
    <w:rsid w:val="72E10315"/>
    <w:rsid w:val="72E13CBE"/>
    <w:rsid w:val="72E67130"/>
    <w:rsid w:val="72EC71E1"/>
    <w:rsid w:val="72F127CC"/>
    <w:rsid w:val="72F50895"/>
    <w:rsid w:val="72FE5B1A"/>
    <w:rsid w:val="72FE726B"/>
    <w:rsid w:val="73003448"/>
    <w:rsid w:val="73013C03"/>
    <w:rsid w:val="73050225"/>
    <w:rsid w:val="730A3C33"/>
    <w:rsid w:val="730E1325"/>
    <w:rsid w:val="73125C50"/>
    <w:rsid w:val="731A662A"/>
    <w:rsid w:val="731B6962"/>
    <w:rsid w:val="731B7BF6"/>
    <w:rsid w:val="731E4248"/>
    <w:rsid w:val="73232494"/>
    <w:rsid w:val="73234559"/>
    <w:rsid w:val="732353A1"/>
    <w:rsid w:val="73266805"/>
    <w:rsid w:val="732B7384"/>
    <w:rsid w:val="732F00F3"/>
    <w:rsid w:val="732F044E"/>
    <w:rsid w:val="73337199"/>
    <w:rsid w:val="733866FA"/>
    <w:rsid w:val="733F6F94"/>
    <w:rsid w:val="73420BCB"/>
    <w:rsid w:val="7343337B"/>
    <w:rsid w:val="734737C6"/>
    <w:rsid w:val="73485F04"/>
    <w:rsid w:val="734A33DC"/>
    <w:rsid w:val="734B2E33"/>
    <w:rsid w:val="734E4F52"/>
    <w:rsid w:val="735620EE"/>
    <w:rsid w:val="735B4406"/>
    <w:rsid w:val="735F47B6"/>
    <w:rsid w:val="73614EB0"/>
    <w:rsid w:val="73670F97"/>
    <w:rsid w:val="73686460"/>
    <w:rsid w:val="736F0AED"/>
    <w:rsid w:val="73703863"/>
    <w:rsid w:val="7370625E"/>
    <w:rsid w:val="73791482"/>
    <w:rsid w:val="737B65D2"/>
    <w:rsid w:val="737D515B"/>
    <w:rsid w:val="737F174D"/>
    <w:rsid w:val="738035CE"/>
    <w:rsid w:val="73814E32"/>
    <w:rsid w:val="73873D49"/>
    <w:rsid w:val="73886116"/>
    <w:rsid w:val="738C1279"/>
    <w:rsid w:val="73916F8D"/>
    <w:rsid w:val="73924AE7"/>
    <w:rsid w:val="73931EC8"/>
    <w:rsid w:val="73960C7A"/>
    <w:rsid w:val="739861B9"/>
    <w:rsid w:val="739D2A07"/>
    <w:rsid w:val="73A24E3E"/>
    <w:rsid w:val="73A6061D"/>
    <w:rsid w:val="73A753FA"/>
    <w:rsid w:val="73AA52DA"/>
    <w:rsid w:val="73AB102F"/>
    <w:rsid w:val="73AF4A02"/>
    <w:rsid w:val="73B37A29"/>
    <w:rsid w:val="73B41074"/>
    <w:rsid w:val="73B65D45"/>
    <w:rsid w:val="73B80B69"/>
    <w:rsid w:val="73BA7542"/>
    <w:rsid w:val="73BB5FCD"/>
    <w:rsid w:val="73C312E0"/>
    <w:rsid w:val="73C50F61"/>
    <w:rsid w:val="73CA70AA"/>
    <w:rsid w:val="73CB27F4"/>
    <w:rsid w:val="73CD6E05"/>
    <w:rsid w:val="73CF0BAC"/>
    <w:rsid w:val="73D2510D"/>
    <w:rsid w:val="73DC3AA5"/>
    <w:rsid w:val="73E008E0"/>
    <w:rsid w:val="73E536A9"/>
    <w:rsid w:val="73E66A54"/>
    <w:rsid w:val="73EA0619"/>
    <w:rsid w:val="73ED4356"/>
    <w:rsid w:val="73F17BB0"/>
    <w:rsid w:val="73F26EC6"/>
    <w:rsid w:val="73F27541"/>
    <w:rsid w:val="73F3189B"/>
    <w:rsid w:val="73F32492"/>
    <w:rsid w:val="73F80C84"/>
    <w:rsid w:val="73FA7D36"/>
    <w:rsid w:val="73FB3481"/>
    <w:rsid w:val="73FB427E"/>
    <w:rsid w:val="73FD2A19"/>
    <w:rsid w:val="73FF2683"/>
    <w:rsid w:val="74002FA0"/>
    <w:rsid w:val="74040BCF"/>
    <w:rsid w:val="74041B55"/>
    <w:rsid w:val="74065905"/>
    <w:rsid w:val="74085656"/>
    <w:rsid w:val="7408703F"/>
    <w:rsid w:val="740A6583"/>
    <w:rsid w:val="740C1080"/>
    <w:rsid w:val="740E7209"/>
    <w:rsid w:val="7416143E"/>
    <w:rsid w:val="74191457"/>
    <w:rsid w:val="741E6147"/>
    <w:rsid w:val="742003DA"/>
    <w:rsid w:val="74225CFA"/>
    <w:rsid w:val="742705CE"/>
    <w:rsid w:val="74277E4D"/>
    <w:rsid w:val="742B3EAD"/>
    <w:rsid w:val="742D3A61"/>
    <w:rsid w:val="742E04F3"/>
    <w:rsid w:val="74326C2E"/>
    <w:rsid w:val="74385B43"/>
    <w:rsid w:val="74390309"/>
    <w:rsid w:val="743B168A"/>
    <w:rsid w:val="743E5897"/>
    <w:rsid w:val="7442365B"/>
    <w:rsid w:val="74432821"/>
    <w:rsid w:val="7447599A"/>
    <w:rsid w:val="744776C4"/>
    <w:rsid w:val="744B3A89"/>
    <w:rsid w:val="745367BE"/>
    <w:rsid w:val="745404D4"/>
    <w:rsid w:val="74540DE9"/>
    <w:rsid w:val="74542631"/>
    <w:rsid w:val="745955F8"/>
    <w:rsid w:val="74597C2E"/>
    <w:rsid w:val="745C4ED5"/>
    <w:rsid w:val="745C54A2"/>
    <w:rsid w:val="745C613C"/>
    <w:rsid w:val="74612F83"/>
    <w:rsid w:val="746132AE"/>
    <w:rsid w:val="7461442E"/>
    <w:rsid w:val="74630C15"/>
    <w:rsid w:val="74661CC1"/>
    <w:rsid w:val="746838C3"/>
    <w:rsid w:val="746E1760"/>
    <w:rsid w:val="74713BE4"/>
    <w:rsid w:val="74736CB2"/>
    <w:rsid w:val="747379E0"/>
    <w:rsid w:val="74752614"/>
    <w:rsid w:val="747F2AB4"/>
    <w:rsid w:val="748B4E58"/>
    <w:rsid w:val="748E3319"/>
    <w:rsid w:val="748E5C10"/>
    <w:rsid w:val="749124A0"/>
    <w:rsid w:val="749339C7"/>
    <w:rsid w:val="74937119"/>
    <w:rsid w:val="74942F06"/>
    <w:rsid w:val="74986228"/>
    <w:rsid w:val="749925F0"/>
    <w:rsid w:val="749B5558"/>
    <w:rsid w:val="74AC47C2"/>
    <w:rsid w:val="74AD38D5"/>
    <w:rsid w:val="74B02967"/>
    <w:rsid w:val="74B03CB5"/>
    <w:rsid w:val="74B119F9"/>
    <w:rsid w:val="74B36CF1"/>
    <w:rsid w:val="74B37D31"/>
    <w:rsid w:val="74BE3730"/>
    <w:rsid w:val="74C2200D"/>
    <w:rsid w:val="74C403EE"/>
    <w:rsid w:val="74C47186"/>
    <w:rsid w:val="74C92052"/>
    <w:rsid w:val="74CB2224"/>
    <w:rsid w:val="74CD7484"/>
    <w:rsid w:val="74D46539"/>
    <w:rsid w:val="74DC1119"/>
    <w:rsid w:val="74DC2DE8"/>
    <w:rsid w:val="74DC776F"/>
    <w:rsid w:val="74E96EB3"/>
    <w:rsid w:val="74EA52A7"/>
    <w:rsid w:val="74F0611D"/>
    <w:rsid w:val="74F274B5"/>
    <w:rsid w:val="74F37CFD"/>
    <w:rsid w:val="74F91394"/>
    <w:rsid w:val="74FD0D13"/>
    <w:rsid w:val="75053A90"/>
    <w:rsid w:val="75061AC9"/>
    <w:rsid w:val="75071439"/>
    <w:rsid w:val="75083428"/>
    <w:rsid w:val="75090DC9"/>
    <w:rsid w:val="75093403"/>
    <w:rsid w:val="75095F7D"/>
    <w:rsid w:val="750B65DA"/>
    <w:rsid w:val="750F22E9"/>
    <w:rsid w:val="75133A2E"/>
    <w:rsid w:val="75240520"/>
    <w:rsid w:val="752A3734"/>
    <w:rsid w:val="7530552D"/>
    <w:rsid w:val="75306588"/>
    <w:rsid w:val="753079ED"/>
    <w:rsid w:val="75343563"/>
    <w:rsid w:val="75355D98"/>
    <w:rsid w:val="75371846"/>
    <w:rsid w:val="753A4E28"/>
    <w:rsid w:val="75410DEE"/>
    <w:rsid w:val="75461CB8"/>
    <w:rsid w:val="755824C1"/>
    <w:rsid w:val="755A0E16"/>
    <w:rsid w:val="755B0C12"/>
    <w:rsid w:val="755D6825"/>
    <w:rsid w:val="75662DA1"/>
    <w:rsid w:val="756F5DB5"/>
    <w:rsid w:val="757851C6"/>
    <w:rsid w:val="757904BA"/>
    <w:rsid w:val="757B66A1"/>
    <w:rsid w:val="757C15DB"/>
    <w:rsid w:val="757C3D25"/>
    <w:rsid w:val="757E1E19"/>
    <w:rsid w:val="757E44CA"/>
    <w:rsid w:val="75806B92"/>
    <w:rsid w:val="7585397C"/>
    <w:rsid w:val="75871AD4"/>
    <w:rsid w:val="75876BA4"/>
    <w:rsid w:val="75893C43"/>
    <w:rsid w:val="758C732F"/>
    <w:rsid w:val="758D5DE2"/>
    <w:rsid w:val="759D0996"/>
    <w:rsid w:val="759D2584"/>
    <w:rsid w:val="759E0614"/>
    <w:rsid w:val="759F0356"/>
    <w:rsid w:val="75A96B8C"/>
    <w:rsid w:val="75AA0FC4"/>
    <w:rsid w:val="75AB1AC9"/>
    <w:rsid w:val="75AB7F8E"/>
    <w:rsid w:val="75AD5AE7"/>
    <w:rsid w:val="75AD7470"/>
    <w:rsid w:val="75AF23B9"/>
    <w:rsid w:val="75AF73D0"/>
    <w:rsid w:val="75B12D6B"/>
    <w:rsid w:val="75B51E72"/>
    <w:rsid w:val="75B66E62"/>
    <w:rsid w:val="75B67B5D"/>
    <w:rsid w:val="75B84B3E"/>
    <w:rsid w:val="75BA13A8"/>
    <w:rsid w:val="75BA643F"/>
    <w:rsid w:val="75BB7238"/>
    <w:rsid w:val="75BB76DB"/>
    <w:rsid w:val="75BD5948"/>
    <w:rsid w:val="75C40B54"/>
    <w:rsid w:val="75CC552C"/>
    <w:rsid w:val="75CE7A44"/>
    <w:rsid w:val="75D75C7E"/>
    <w:rsid w:val="75DC6FC9"/>
    <w:rsid w:val="75DF3C98"/>
    <w:rsid w:val="75E23E9C"/>
    <w:rsid w:val="75E51916"/>
    <w:rsid w:val="75E9027E"/>
    <w:rsid w:val="75E97454"/>
    <w:rsid w:val="75EA6F23"/>
    <w:rsid w:val="75ED0434"/>
    <w:rsid w:val="75ED0747"/>
    <w:rsid w:val="75F074D0"/>
    <w:rsid w:val="75F260C3"/>
    <w:rsid w:val="75F267ED"/>
    <w:rsid w:val="75F53925"/>
    <w:rsid w:val="75F7063F"/>
    <w:rsid w:val="75F91B5D"/>
    <w:rsid w:val="75FF1C2A"/>
    <w:rsid w:val="76060037"/>
    <w:rsid w:val="76082750"/>
    <w:rsid w:val="760A6BC8"/>
    <w:rsid w:val="760F67F7"/>
    <w:rsid w:val="7616150B"/>
    <w:rsid w:val="76177364"/>
    <w:rsid w:val="76177E65"/>
    <w:rsid w:val="76183548"/>
    <w:rsid w:val="76197402"/>
    <w:rsid w:val="762358BE"/>
    <w:rsid w:val="76254F73"/>
    <w:rsid w:val="76287F6E"/>
    <w:rsid w:val="76301D0E"/>
    <w:rsid w:val="7633467A"/>
    <w:rsid w:val="76336EF5"/>
    <w:rsid w:val="76393F72"/>
    <w:rsid w:val="763F097A"/>
    <w:rsid w:val="76420423"/>
    <w:rsid w:val="76425E9C"/>
    <w:rsid w:val="764B0708"/>
    <w:rsid w:val="764E6803"/>
    <w:rsid w:val="76536529"/>
    <w:rsid w:val="76572A65"/>
    <w:rsid w:val="765741B8"/>
    <w:rsid w:val="765A1780"/>
    <w:rsid w:val="765E61CA"/>
    <w:rsid w:val="765F2DE5"/>
    <w:rsid w:val="76670223"/>
    <w:rsid w:val="766D70E6"/>
    <w:rsid w:val="766D7646"/>
    <w:rsid w:val="766E0EDD"/>
    <w:rsid w:val="766F2809"/>
    <w:rsid w:val="766F2C5C"/>
    <w:rsid w:val="7670636B"/>
    <w:rsid w:val="76750905"/>
    <w:rsid w:val="767C711B"/>
    <w:rsid w:val="767F1C37"/>
    <w:rsid w:val="768135B9"/>
    <w:rsid w:val="768172D1"/>
    <w:rsid w:val="7682754D"/>
    <w:rsid w:val="7683377A"/>
    <w:rsid w:val="768837F6"/>
    <w:rsid w:val="76883A53"/>
    <w:rsid w:val="76891861"/>
    <w:rsid w:val="768A026C"/>
    <w:rsid w:val="768A1FD4"/>
    <w:rsid w:val="768E46D9"/>
    <w:rsid w:val="7693294A"/>
    <w:rsid w:val="76980E86"/>
    <w:rsid w:val="76A27DBF"/>
    <w:rsid w:val="76B14FC9"/>
    <w:rsid w:val="76B153BD"/>
    <w:rsid w:val="76B752BB"/>
    <w:rsid w:val="76B81067"/>
    <w:rsid w:val="76B866CB"/>
    <w:rsid w:val="76BD26F7"/>
    <w:rsid w:val="76BE3E35"/>
    <w:rsid w:val="76C549A7"/>
    <w:rsid w:val="76CB4D2A"/>
    <w:rsid w:val="76D4030D"/>
    <w:rsid w:val="76D81181"/>
    <w:rsid w:val="76DB6DFC"/>
    <w:rsid w:val="76DC25F9"/>
    <w:rsid w:val="76DF3A86"/>
    <w:rsid w:val="76E33135"/>
    <w:rsid w:val="76EA0BCF"/>
    <w:rsid w:val="76EA0FCB"/>
    <w:rsid w:val="76F102A1"/>
    <w:rsid w:val="76F61C4F"/>
    <w:rsid w:val="76F80287"/>
    <w:rsid w:val="76F8079C"/>
    <w:rsid w:val="76FC356D"/>
    <w:rsid w:val="7702495B"/>
    <w:rsid w:val="77095582"/>
    <w:rsid w:val="770B065C"/>
    <w:rsid w:val="770C307F"/>
    <w:rsid w:val="771020D7"/>
    <w:rsid w:val="77114867"/>
    <w:rsid w:val="77134BB3"/>
    <w:rsid w:val="771A6477"/>
    <w:rsid w:val="771C01EE"/>
    <w:rsid w:val="771F16E2"/>
    <w:rsid w:val="771F175F"/>
    <w:rsid w:val="771F5F17"/>
    <w:rsid w:val="772254F8"/>
    <w:rsid w:val="77367723"/>
    <w:rsid w:val="773A30DA"/>
    <w:rsid w:val="773C7F8C"/>
    <w:rsid w:val="77442D72"/>
    <w:rsid w:val="774433C3"/>
    <w:rsid w:val="774645E0"/>
    <w:rsid w:val="774B7D02"/>
    <w:rsid w:val="774D2B19"/>
    <w:rsid w:val="774E6F32"/>
    <w:rsid w:val="775A5A89"/>
    <w:rsid w:val="775B5800"/>
    <w:rsid w:val="775D0B49"/>
    <w:rsid w:val="775D6A1F"/>
    <w:rsid w:val="77602739"/>
    <w:rsid w:val="7765449B"/>
    <w:rsid w:val="77674AC5"/>
    <w:rsid w:val="77682B16"/>
    <w:rsid w:val="77721E63"/>
    <w:rsid w:val="77725DDC"/>
    <w:rsid w:val="77746761"/>
    <w:rsid w:val="77786567"/>
    <w:rsid w:val="777927B3"/>
    <w:rsid w:val="777C137B"/>
    <w:rsid w:val="777C6346"/>
    <w:rsid w:val="777D11D9"/>
    <w:rsid w:val="777D121D"/>
    <w:rsid w:val="77803FBC"/>
    <w:rsid w:val="77817E96"/>
    <w:rsid w:val="77821B6D"/>
    <w:rsid w:val="778260D7"/>
    <w:rsid w:val="77834304"/>
    <w:rsid w:val="77842D6E"/>
    <w:rsid w:val="77852698"/>
    <w:rsid w:val="77875A55"/>
    <w:rsid w:val="77877808"/>
    <w:rsid w:val="778B4A31"/>
    <w:rsid w:val="778C306D"/>
    <w:rsid w:val="778E55D1"/>
    <w:rsid w:val="778E7FD4"/>
    <w:rsid w:val="77956AC1"/>
    <w:rsid w:val="77993293"/>
    <w:rsid w:val="77A44CDF"/>
    <w:rsid w:val="77A4748F"/>
    <w:rsid w:val="77A65ED3"/>
    <w:rsid w:val="77AB21E4"/>
    <w:rsid w:val="77B83F73"/>
    <w:rsid w:val="77B95E16"/>
    <w:rsid w:val="77C02A12"/>
    <w:rsid w:val="77C17385"/>
    <w:rsid w:val="77C25E01"/>
    <w:rsid w:val="77C54F59"/>
    <w:rsid w:val="77C67F4E"/>
    <w:rsid w:val="77CB4E4C"/>
    <w:rsid w:val="77CB7A92"/>
    <w:rsid w:val="77CC5838"/>
    <w:rsid w:val="77CD50F2"/>
    <w:rsid w:val="77D02A63"/>
    <w:rsid w:val="77D24873"/>
    <w:rsid w:val="77D53908"/>
    <w:rsid w:val="77D80378"/>
    <w:rsid w:val="77DB09B8"/>
    <w:rsid w:val="77DE1F0B"/>
    <w:rsid w:val="77E47B66"/>
    <w:rsid w:val="77E47CF4"/>
    <w:rsid w:val="77E55199"/>
    <w:rsid w:val="77E60CB6"/>
    <w:rsid w:val="77E779ED"/>
    <w:rsid w:val="77E814EC"/>
    <w:rsid w:val="77F02CBA"/>
    <w:rsid w:val="77F175C8"/>
    <w:rsid w:val="77F263D0"/>
    <w:rsid w:val="77F51A1C"/>
    <w:rsid w:val="77F63B80"/>
    <w:rsid w:val="77FB6700"/>
    <w:rsid w:val="77FD72F3"/>
    <w:rsid w:val="78037D47"/>
    <w:rsid w:val="7807746F"/>
    <w:rsid w:val="780C6DE4"/>
    <w:rsid w:val="781C3F28"/>
    <w:rsid w:val="781E1E93"/>
    <w:rsid w:val="781E74E1"/>
    <w:rsid w:val="78203140"/>
    <w:rsid w:val="78204E15"/>
    <w:rsid w:val="782350FD"/>
    <w:rsid w:val="782E178E"/>
    <w:rsid w:val="782F6AB4"/>
    <w:rsid w:val="78307F25"/>
    <w:rsid w:val="78334CEC"/>
    <w:rsid w:val="78375D2D"/>
    <w:rsid w:val="783A47FC"/>
    <w:rsid w:val="78445CE1"/>
    <w:rsid w:val="78461BC7"/>
    <w:rsid w:val="78461BCA"/>
    <w:rsid w:val="78465645"/>
    <w:rsid w:val="784A2CE1"/>
    <w:rsid w:val="784C728D"/>
    <w:rsid w:val="78530AFA"/>
    <w:rsid w:val="78540294"/>
    <w:rsid w:val="78540E7B"/>
    <w:rsid w:val="78566ACD"/>
    <w:rsid w:val="78573B59"/>
    <w:rsid w:val="78584156"/>
    <w:rsid w:val="78585E70"/>
    <w:rsid w:val="785B3CF0"/>
    <w:rsid w:val="7861249C"/>
    <w:rsid w:val="7862746A"/>
    <w:rsid w:val="78634D4F"/>
    <w:rsid w:val="78651B87"/>
    <w:rsid w:val="786E0872"/>
    <w:rsid w:val="78723DD9"/>
    <w:rsid w:val="787537C7"/>
    <w:rsid w:val="78770305"/>
    <w:rsid w:val="78774CA3"/>
    <w:rsid w:val="78815760"/>
    <w:rsid w:val="7884111C"/>
    <w:rsid w:val="78873EA6"/>
    <w:rsid w:val="788B0D32"/>
    <w:rsid w:val="788C7268"/>
    <w:rsid w:val="788F4F97"/>
    <w:rsid w:val="789072B9"/>
    <w:rsid w:val="78934B67"/>
    <w:rsid w:val="789602F9"/>
    <w:rsid w:val="78964393"/>
    <w:rsid w:val="789854B6"/>
    <w:rsid w:val="789C1243"/>
    <w:rsid w:val="789D647F"/>
    <w:rsid w:val="789D676D"/>
    <w:rsid w:val="78A521CC"/>
    <w:rsid w:val="78A74050"/>
    <w:rsid w:val="78A91986"/>
    <w:rsid w:val="78B373CD"/>
    <w:rsid w:val="78B410FF"/>
    <w:rsid w:val="78B64CCD"/>
    <w:rsid w:val="78BE018C"/>
    <w:rsid w:val="78BE1022"/>
    <w:rsid w:val="78BF343F"/>
    <w:rsid w:val="78C13D9D"/>
    <w:rsid w:val="78C87131"/>
    <w:rsid w:val="78CA0579"/>
    <w:rsid w:val="78CE2C3B"/>
    <w:rsid w:val="78D01611"/>
    <w:rsid w:val="78D027D9"/>
    <w:rsid w:val="78D923DB"/>
    <w:rsid w:val="78D9258F"/>
    <w:rsid w:val="78D930EC"/>
    <w:rsid w:val="78DB0CFA"/>
    <w:rsid w:val="78DF476D"/>
    <w:rsid w:val="78E41117"/>
    <w:rsid w:val="78E91B50"/>
    <w:rsid w:val="78F2639C"/>
    <w:rsid w:val="78F270C9"/>
    <w:rsid w:val="78F65A4C"/>
    <w:rsid w:val="78F822AE"/>
    <w:rsid w:val="78FE7C80"/>
    <w:rsid w:val="78FF3E79"/>
    <w:rsid w:val="79065C1B"/>
    <w:rsid w:val="79065C9A"/>
    <w:rsid w:val="79081371"/>
    <w:rsid w:val="790E7B27"/>
    <w:rsid w:val="790F1582"/>
    <w:rsid w:val="790F2DB8"/>
    <w:rsid w:val="79122DEB"/>
    <w:rsid w:val="79181831"/>
    <w:rsid w:val="79183C77"/>
    <w:rsid w:val="791A3511"/>
    <w:rsid w:val="791D1BD6"/>
    <w:rsid w:val="791D2764"/>
    <w:rsid w:val="791F409C"/>
    <w:rsid w:val="79273D28"/>
    <w:rsid w:val="792A2CD2"/>
    <w:rsid w:val="792D2FB0"/>
    <w:rsid w:val="79316861"/>
    <w:rsid w:val="793264B1"/>
    <w:rsid w:val="793525C2"/>
    <w:rsid w:val="79362267"/>
    <w:rsid w:val="79380E65"/>
    <w:rsid w:val="79383D0E"/>
    <w:rsid w:val="79453B39"/>
    <w:rsid w:val="79454A41"/>
    <w:rsid w:val="79483EF1"/>
    <w:rsid w:val="794D08BA"/>
    <w:rsid w:val="794D1E3F"/>
    <w:rsid w:val="794D230D"/>
    <w:rsid w:val="794E271B"/>
    <w:rsid w:val="794F2A21"/>
    <w:rsid w:val="794F2D98"/>
    <w:rsid w:val="794F6EC8"/>
    <w:rsid w:val="795018E3"/>
    <w:rsid w:val="79503368"/>
    <w:rsid w:val="79505390"/>
    <w:rsid w:val="7951160A"/>
    <w:rsid w:val="79532FC7"/>
    <w:rsid w:val="795C1D03"/>
    <w:rsid w:val="795C1F44"/>
    <w:rsid w:val="795C283F"/>
    <w:rsid w:val="79614086"/>
    <w:rsid w:val="79631863"/>
    <w:rsid w:val="79661BAD"/>
    <w:rsid w:val="79683984"/>
    <w:rsid w:val="796B139E"/>
    <w:rsid w:val="796B4C98"/>
    <w:rsid w:val="796F53FD"/>
    <w:rsid w:val="797349AF"/>
    <w:rsid w:val="79752363"/>
    <w:rsid w:val="797607E8"/>
    <w:rsid w:val="79771BC9"/>
    <w:rsid w:val="79780644"/>
    <w:rsid w:val="797A5C1F"/>
    <w:rsid w:val="797B4CBE"/>
    <w:rsid w:val="797E0853"/>
    <w:rsid w:val="797E0C90"/>
    <w:rsid w:val="798234BE"/>
    <w:rsid w:val="798555A3"/>
    <w:rsid w:val="798764B4"/>
    <w:rsid w:val="798A487A"/>
    <w:rsid w:val="798E6F5E"/>
    <w:rsid w:val="798F5A31"/>
    <w:rsid w:val="79932ACB"/>
    <w:rsid w:val="7994643C"/>
    <w:rsid w:val="799A4E65"/>
    <w:rsid w:val="799F1ABA"/>
    <w:rsid w:val="79A279F6"/>
    <w:rsid w:val="79A37C9A"/>
    <w:rsid w:val="79A66FCB"/>
    <w:rsid w:val="79A94FFB"/>
    <w:rsid w:val="79AC06F6"/>
    <w:rsid w:val="79B16B67"/>
    <w:rsid w:val="79B3180C"/>
    <w:rsid w:val="79B45200"/>
    <w:rsid w:val="79B53FC7"/>
    <w:rsid w:val="79B66FA9"/>
    <w:rsid w:val="79B86A9D"/>
    <w:rsid w:val="79B94BB0"/>
    <w:rsid w:val="79BD081C"/>
    <w:rsid w:val="79C660A5"/>
    <w:rsid w:val="79C865FA"/>
    <w:rsid w:val="79CB2965"/>
    <w:rsid w:val="79CC02BB"/>
    <w:rsid w:val="79CC4F4E"/>
    <w:rsid w:val="79D208C3"/>
    <w:rsid w:val="79D6281E"/>
    <w:rsid w:val="79DE1189"/>
    <w:rsid w:val="79DF2984"/>
    <w:rsid w:val="79E62AB6"/>
    <w:rsid w:val="79E86D7F"/>
    <w:rsid w:val="79F9208F"/>
    <w:rsid w:val="7A012145"/>
    <w:rsid w:val="7A051A88"/>
    <w:rsid w:val="7A053F79"/>
    <w:rsid w:val="7A061B6A"/>
    <w:rsid w:val="7A092898"/>
    <w:rsid w:val="7A19395B"/>
    <w:rsid w:val="7A1960D8"/>
    <w:rsid w:val="7A1A227A"/>
    <w:rsid w:val="7A1C7BE9"/>
    <w:rsid w:val="7A2067CE"/>
    <w:rsid w:val="7A256B11"/>
    <w:rsid w:val="7A2A2E9A"/>
    <w:rsid w:val="7A2F4098"/>
    <w:rsid w:val="7A345CC2"/>
    <w:rsid w:val="7A3718A8"/>
    <w:rsid w:val="7A3743C6"/>
    <w:rsid w:val="7A382135"/>
    <w:rsid w:val="7A3C13DC"/>
    <w:rsid w:val="7A42311A"/>
    <w:rsid w:val="7A44304B"/>
    <w:rsid w:val="7A450F5A"/>
    <w:rsid w:val="7A454F0F"/>
    <w:rsid w:val="7A467E9D"/>
    <w:rsid w:val="7A507BCE"/>
    <w:rsid w:val="7A5355A6"/>
    <w:rsid w:val="7A5618C3"/>
    <w:rsid w:val="7A5927A1"/>
    <w:rsid w:val="7A5A10AD"/>
    <w:rsid w:val="7A5D65E6"/>
    <w:rsid w:val="7A6151C8"/>
    <w:rsid w:val="7A64170C"/>
    <w:rsid w:val="7A647068"/>
    <w:rsid w:val="7A651264"/>
    <w:rsid w:val="7A6716A3"/>
    <w:rsid w:val="7A672EDE"/>
    <w:rsid w:val="7A693741"/>
    <w:rsid w:val="7A694CDE"/>
    <w:rsid w:val="7A695703"/>
    <w:rsid w:val="7A756D7C"/>
    <w:rsid w:val="7A7E1A91"/>
    <w:rsid w:val="7A83099F"/>
    <w:rsid w:val="7A85303D"/>
    <w:rsid w:val="7A8A21F1"/>
    <w:rsid w:val="7A8E5FF7"/>
    <w:rsid w:val="7A8F4473"/>
    <w:rsid w:val="7A944BAC"/>
    <w:rsid w:val="7A980783"/>
    <w:rsid w:val="7A9D28EE"/>
    <w:rsid w:val="7A9E7DBA"/>
    <w:rsid w:val="7AA03E9F"/>
    <w:rsid w:val="7AA043B2"/>
    <w:rsid w:val="7AA5185A"/>
    <w:rsid w:val="7AA75EF9"/>
    <w:rsid w:val="7AAB02BE"/>
    <w:rsid w:val="7AAB61A0"/>
    <w:rsid w:val="7AAD1E7F"/>
    <w:rsid w:val="7AB82249"/>
    <w:rsid w:val="7AB83B54"/>
    <w:rsid w:val="7ABE70B9"/>
    <w:rsid w:val="7AC21AB0"/>
    <w:rsid w:val="7AC53337"/>
    <w:rsid w:val="7AC850DF"/>
    <w:rsid w:val="7ACB17C2"/>
    <w:rsid w:val="7ACC4E31"/>
    <w:rsid w:val="7AD2080A"/>
    <w:rsid w:val="7AD718AD"/>
    <w:rsid w:val="7AD97816"/>
    <w:rsid w:val="7ADB4DFB"/>
    <w:rsid w:val="7AE20CBE"/>
    <w:rsid w:val="7AE34ED1"/>
    <w:rsid w:val="7AE8798A"/>
    <w:rsid w:val="7AF346C9"/>
    <w:rsid w:val="7AF50549"/>
    <w:rsid w:val="7AF648CA"/>
    <w:rsid w:val="7AFA3C87"/>
    <w:rsid w:val="7AFF221E"/>
    <w:rsid w:val="7AFF53C8"/>
    <w:rsid w:val="7B00558F"/>
    <w:rsid w:val="7B045FCF"/>
    <w:rsid w:val="7B094C31"/>
    <w:rsid w:val="7B0B52AD"/>
    <w:rsid w:val="7B0D10F4"/>
    <w:rsid w:val="7B0E79DC"/>
    <w:rsid w:val="7B0F7F16"/>
    <w:rsid w:val="7B120385"/>
    <w:rsid w:val="7B120BD1"/>
    <w:rsid w:val="7B182EF8"/>
    <w:rsid w:val="7B1B1A12"/>
    <w:rsid w:val="7B1B3CFC"/>
    <w:rsid w:val="7B241CDB"/>
    <w:rsid w:val="7B2766D8"/>
    <w:rsid w:val="7B2E3F3B"/>
    <w:rsid w:val="7B2F79DA"/>
    <w:rsid w:val="7B2F7FDE"/>
    <w:rsid w:val="7B306605"/>
    <w:rsid w:val="7B31195D"/>
    <w:rsid w:val="7B3424B2"/>
    <w:rsid w:val="7B373C11"/>
    <w:rsid w:val="7B382395"/>
    <w:rsid w:val="7B385FCE"/>
    <w:rsid w:val="7B4375FB"/>
    <w:rsid w:val="7B461125"/>
    <w:rsid w:val="7B470E49"/>
    <w:rsid w:val="7B4F3791"/>
    <w:rsid w:val="7B550360"/>
    <w:rsid w:val="7B5741B5"/>
    <w:rsid w:val="7B58085E"/>
    <w:rsid w:val="7B627A67"/>
    <w:rsid w:val="7B640C54"/>
    <w:rsid w:val="7B644595"/>
    <w:rsid w:val="7B65067E"/>
    <w:rsid w:val="7B6A7EC8"/>
    <w:rsid w:val="7B787343"/>
    <w:rsid w:val="7B7F6AFF"/>
    <w:rsid w:val="7B861812"/>
    <w:rsid w:val="7B8B6BF0"/>
    <w:rsid w:val="7B8D2D81"/>
    <w:rsid w:val="7B91397B"/>
    <w:rsid w:val="7B934B22"/>
    <w:rsid w:val="7B94772A"/>
    <w:rsid w:val="7B9521E7"/>
    <w:rsid w:val="7B976250"/>
    <w:rsid w:val="7B991E49"/>
    <w:rsid w:val="7BA061CA"/>
    <w:rsid w:val="7BA130BF"/>
    <w:rsid w:val="7BA70ED6"/>
    <w:rsid w:val="7BA96220"/>
    <w:rsid w:val="7BAC0931"/>
    <w:rsid w:val="7BB20D97"/>
    <w:rsid w:val="7BB97FCE"/>
    <w:rsid w:val="7BBB4129"/>
    <w:rsid w:val="7BBC2F7D"/>
    <w:rsid w:val="7BBE5CA3"/>
    <w:rsid w:val="7BBF0393"/>
    <w:rsid w:val="7BC163A4"/>
    <w:rsid w:val="7BC21C5E"/>
    <w:rsid w:val="7BC40076"/>
    <w:rsid w:val="7BC456BE"/>
    <w:rsid w:val="7BC47F6C"/>
    <w:rsid w:val="7BCC594F"/>
    <w:rsid w:val="7BD33451"/>
    <w:rsid w:val="7BD940AA"/>
    <w:rsid w:val="7BE5007A"/>
    <w:rsid w:val="7BEF55C2"/>
    <w:rsid w:val="7BF15A12"/>
    <w:rsid w:val="7BF503A3"/>
    <w:rsid w:val="7BFA4B93"/>
    <w:rsid w:val="7BFD13C9"/>
    <w:rsid w:val="7BFD28CE"/>
    <w:rsid w:val="7C0020D4"/>
    <w:rsid w:val="7C0A72F9"/>
    <w:rsid w:val="7C0F3167"/>
    <w:rsid w:val="7C101B38"/>
    <w:rsid w:val="7C1175AA"/>
    <w:rsid w:val="7C14647A"/>
    <w:rsid w:val="7C165911"/>
    <w:rsid w:val="7C1A0465"/>
    <w:rsid w:val="7C287DC2"/>
    <w:rsid w:val="7C2B21D8"/>
    <w:rsid w:val="7C2D3DF9"/>
    <w:rsid w:val="7C2D71AD"/>
    <w:rsid w:val="7C2E7ACE"/>
    <w:rsid w:val="7C302C8F"/>
    <w:rsid w:val="7C311CE5"/>
    <w:rsid w:val="7C415491"/>
    <w:rsid w:val="7C423271"/>
    <w:rsid w:val="7C437763"/>
    <w:rsid w:val="7C492FCE"/>
    <w:rsid w:val="7C4A0580"/>
    <w:rsid w:val="7C5254D3"/>
    <w:rsid w:val="7C5475A6"/>
    <w:rsid w:val="7C571769"/>
    <w:rsid w:val="7C575C00"/>
    <w:rsid w:val="7C5B1CF3"/>
    <w:rsid w:val="7C5B240D"/>
    <w:rsid w:val="7C6E3D28"/>
    <w:rsid w:val="7C7724CA"/>
    <w:rsid w:val="7C7A69ED"/>
    <w:rsid w:val="7C874E93"/>
    <w:rsid w:val="7C8A43D1"/>
    <w:rsid w:val="7C8E4B96"/>
    <w:rsid w:val="7C934F08"/>
    <w:rsid w:val="7C9423A0"/>
    <w:rsid w:val="7C9870E1"/>
    <w:rsid w:val="7C992D6B"/>
    <w:rsid w:val="7C9D54DF"/>
    <w:rsid w:val="7CA24632"/>
    <w:rsid w:val="7CA33812"/>
    <w:rsid w:val="7CAD1685"/>
    <w:rsid w:val="7CAF6B09"/>
    <w:rsid w:val="7CB479A6"/>
    <w:rsid w:val="7CB64C16"/>
    <w:rsid w:val="7CB77282"/>
    <w:rsid w:val="7CB97D9E"/>
    <w:rsid w:val="7CBA5F13"/>
    <w:rsid w:val="7CC33569"/>
    <w:rsid w:val="7CC42F55"/>
    <w:rsid w:val="7CCA7C81"/>
    <w:rsid w:val="7CCB4EDA"/>
    <w:rsid w:val="7CCB7046"/>
    <w:rsid w:val="7CD10A5D"/>
    <w:rsid w:val="7CD119D5"/>
    <w:rsid w:val="7CD1205C"/>
    <w:rsid w:val="7CD156A4"/>
    <w:rsid w:val="7CD45005"/>
    <w:rsid w:val="7CD56FC0"/>
    <w:rsid w:val="7CD7330B"/>
    <w:rsid w:val="7CD745CA"/>
    <w:rsid w:val="7CDB4429"/>
    <w:rsid w:val="7CDD19C2"/>
    <w:rsid w:val="7CDE6A54"/>
    <w:rsid w:val="7CE25CA9"/>
    <w:rsid w:val="7CEA4E9D"/>
    <w:rsid w:val="7CF02CAB"/>
    <w:rsid w:val="7CF036E1"/>
    <w:rsid w:val="7CF21BA3"/>
    <w:rsid w:val="7CF75EF3"/>
    <w:rsid w:val="7CF76982"/>
    <w:rsid w:val="7CF77CCC"/>
    <w:rsid w:val="7CF83FB8"/>
    <w:rsid w:val="7CF92AA4"/>
    <w:rsid w:val="7CFA0EF8"/>
    <w:rsid w:val="7D02641D"/>
    <w:rsid w:val="7D065FD4"/>
    <w:rsid w:val="7D087430"/>
    <w:rsid w:val="7D0F48B5"/>
    <w:rsid w:val="7D117EB1"/>
    <w:rsid w:val="7D1B1F48"/>
    <w:rsid w:val="7D1B64CD"/>
    <w:rsid w:val="7D1E74AC"/>
    <w:rsid w:val="7D1F04C5"/>
    <w:rsid w:val="7D2007FD"/>
    <w:rsid w:val="7D22567D"/>
    <w:rsid w:val="7D2A3A20"/>
    <w:rsid w:val="7D2D254C"/>
    <w:rsid w:val="7D3064D5"/>
    <w:rsid w:val="7D341A07"/>
    <w:rsid w:val="7D382E83"/>
    <w:rsid w:val="7D384EBD"/>
    <w:rsid w:val="7D3D276A"/>
    <w:rsid w:val="7D400B0B"/>
    <w:rsid w:val="7D414006"/>
    <w:rsid w:val="7D4851ED"/>
    <w:rsid w:val="7D4A4406"/>
    <w:rsid w:val="7D4C5D56"/>
    <w:rsid w:val="7D54311A"/>
    <w:rsid w:val="7D566756"/>
    <w:rsid w:val="7D571A39"/>
    <w:rsid w:val="7D5C2266"/>
    <w:rsid w:val="7D5E167D"/>
    <w:rsid w:val="7D606E90"/>
    <w:rsid w:val="7D6202AE"/>
    <w:rsid w:val="7D64630A"/>
    <w:rsid w:val="7D6D677B"/>
    <w:rsid w:val="7D6E4E23"/>
    <w:rsid w:val="7D6E65B5"/>
    <w:rsid w:val="7D6F6886"/>
    <w:rsid w:val="7D7005A5"/>
    <w:rsid w:val="7D7407EB"/>
    <w:rsid w:val="7D757672"/>
    <w:rsid w:val="7D780728"/>
    <w:rsid w:val="7D781EE5"/>
    <w:rsid w:val="7D8430D6"/>
    <w:rsid w:val="7D871898"/>
    <w:rsid w:val="7D873ABF"/>
    <w:rsid w:val="7D8E58A6"/>
    <w:rsid w:val="7D911F3E"/>
    <w:rsid w:val="7D943D0D"/>
    <w:rsid w:val="7D963888"/>
    <w:rsid w:val="7D975B0A"/>
    <w:rsid w:val="7D9817C8"/>
    <w:rsid w:val="7DA40410"/>
    <w:rsid w:val="7DA64EBC"/>
    <w:rsid w:val="7DA65F8D"/>
    <w:rsid w:val="7DA708E0"/>
    <w:rsid w:val="7DAB3863"/>
    <w:rsid w:val="7DAC32C6"/>
    <w:rsid w:val="7DAC5C80"/>
    <w:rsid w:val="7DAD2B79"/>
    <w:rsid w:val="7DAE26C5"/>
    <w:rsid w:val="7DB13127"/>
    <w:rsid w:val="7DB6253F"/>
    <w:rsid w:val="7DB6267E"/>
    <w:rsid w:val="7DB7631F"/>
    <w:rsid w:val="7DBA253B"/>
    <w:rsid w:val="7DBE3C22"/>
    <w:rsid w:val="7DC429F1"/>
    <w:rsid w:val="7DC556D4"/>
    <w:rsid w:val="7DC612F7"/>
    <w:rsid w:val="7DC648BF"/>
    <w:rsid w:val="7DC67B35"/>
    <w:rsid w:val="7DCE28B3"/>
    <w:rsid w:val="7DCF58D8"/>
    <w:rsid w:val="7DD335FB"/>
    <w:rsid w:val="7DD52E2F"/>
    <w:rsid w:val="7DDA6EAC"/>
    <w:rsid w:val="7DDC5831"/>
    <w:rsid w:val="7DE831D0"/>
    <w:rsid w:val="7DEB04EF"/>
    <w:rsid w:val="7DEB2BD6"/>
    <w:rsid w:val="7DF03F84"/>
    <w:rsid w:val="7DF13AA8"/>
    <w:rsid w:val="7DF406D7"/>
    <w:rsid w:val="7DF54ABF"/>
    <w:rsid w:val="7DFA40C9"/>
    <w:rsid w:val="7DFB1EBB"/>
    <w:rsid w:val="7DFE5DBE"/>
    <w:rsid w:val="7DFE618A"/>
    <w:rsid w:val="7DFF6F0F"/>
    <w:rsid w:val="7E051A32"/>
    <w:rsid w:val="7E05617C"/>
    <w:rsid w:val="7E061519"/>
    <w:rsid w:val="7E0B387F"/>
    <w:rsid w:val="7E0D76C6"/>
    <w:rsid w:val="7E11232A"/>
    <w:rsid w:val="7E153987"/>
    <w:rsid w:val="7E181234"/>
    <w:rsid w:val="7E1A3DCF"/>
    <w:rsid w:val="7E1D01DE"/>
    <w:rsid w:val="7E1F1CB5"/>
    <w:rsid w:val="7E25522D"/>
    <w:rsid w:val="7E2C3B6F"/>
    <w:rsid w:val="7E356D8A"/>
    <w:rsid w:val="7E367033"/>
    <w:rsid w:val="7E3C2422"/>
    <w:rsid w:val="7E40780B"/>
    <w:rsid w:val="7E453A5A"/>
    <w:rsid w:val="7E454CCA"/>
    <w:rsid w:val="7E46233B"/>
    <w:rsid w:val="7E472C47"/>
    <w:rsid w:val="7E475132"/>
    <w:rsid w:val="7E47611B"/>
    <w:rsid w:val="7E49217E"/>
    <w:rsid w:val="7E49455D"/>
    <w:rsid w:val="7E52656F"/>
    <w:rsid w:val="7E527682"/>
    <w:rsid w:val="7E554B19"/>
    <w:rsid w:val="7E56337D"/>
    <w:rsid w:val="7E573E7A"/>
    <w:rsid w:val="7E59553B"/>
    <w:rsid w:val="7E5965D4"/>
    <w:rsid w:val="7E626CEE"/>
    <w:rsid w:val="7E64087B"/>
    <w:rsid w:val="7E6829C3"/>
    <w:rsid w:val="7E6A6700"/>
    <w:rsid w:val="7E784B9C"/>
    <w:rsid w:val="7E7A260F"/>
    <w:rsid w:val="7E7D25E2"/>
    <w:rsid w:val="7E830363"/>
    <w:rsid w:val="7E837996"/>
    <w:rsid w:val="7E8573DB"/>
    <w:rsid w:val="7E875227"/>
    <w:rsid w:val="7E87639D"/>
    <w:rsid w:val="7E92731C"/>
    <w:rsid w:val="7E930E6A"/>
    <w:rsid w:val="7E953C83"/>
    <w:rsid w:val="7E9A0922"/>
    <w:rsid w:val="7E9A76B5"/>
    <w:rsid w:val="7E9E2A56"/>
    <w:rsid w:val="7EA32E58"/>
    <w:rsid w:val="7EA35B4B"/>
    <w:rsid w:val="7EA4334A"/>
    <w:rsid w:val="7EA46C76"/>
    <w:rsid w:val="7EA507AB"/>
    <w:rsid w:val="7EA73FA9"/>
    <w:rsid w:val="7EA9347E"/>
    <w:rsid w:val="7EA9620B"/>
    <w:rsid w:val="7EAF6D7C"/>
    <w:rsid w:val="7EB063A0"/>
    <w:rsid w:val="7EB12C49"/>
    <w:rsid w:val="7EB26059"/>
    <w:rsid w:val="7EBB4387"/>
    <w:rsid w:val="7EBE22BB"/>
    <w:rsid w:val="7EBE49F6"/>
    <w:rsid w:val="7EBE7D65"/>
    <w:rsid w:val="7EC67C74"/>
    <w:rsid w:val="7EC77A89"/>
    <w:rsid w:val="7EC908FB"/>
    <w:rsid w:val="7ECA1A2C"/>
    <w:rsid w:val="7ECC229B"/>
    <w:rsid w:val="7ECD6277"/>
    <w:rsid w:val="7ED53350"/>
    <w:rsid w:val="7ED53FA9"/>
    <w:rsid w:val="7EDB349E"/>
    <w:rsid w:val="7EDF64E9"/>
    <w:rsid w:val="7EDF6DA6"/>
    <w:rsid w:val="7EE50305"/>
    <w:rsid w:val="7EE53D0B"/>
    <w:rsid w:val="7EE60C72"/>
    <w:rsid w:val="7EE65F51"/>
    <w:rsid w:val="7EEA5A0F"/>
    <w:rsid w:val="7EEB00C8"/>
    <w:rsid w:val="7EEC713D"/>
    <w:rsid w:val="7EF25A40"/>
    <w:rsid w:val="7EF56A60"/>
    <w:rsid w:val="7EF62705"/>
    <w:rsid w:val="7EFC2BD2"/>
    <w:rsid w:val="7EFF6B30"/>
    <w:rsid w:val="7F014A60"/>
    <w:rsid w:val="7F055C4B"/>
    <w:rsid w:val="7F0B4430"/>
    <w:rsid w:val="7F0D017C"/>
    <w:rsid w:val="7F0E4DF3"/>
    <w:rsid w:val="7F12450B"/>
    <w:rsid w:val="7F1A7C8D"/>
    <w:rsid w:val="7F1B61BB"/>
    <w:rsid w:val="7F1D3329"/>
    <w:rsid w:val="7F1E0D19"/>
    <w:rsid w:val="7F266360"/>
    <w:rsid w:val="7F270A51"/>
    <w:rsid w:val="7F2B188D"/>
    <w:rsid w:val="7F2F371C"/>
    <w:rsid w:val="7F2F4A00"/>
    <w:rsid w:val="7F370B6C"/>
    <w:rsid w:val="7F381288"/>
    <w:rsid w:val="7F4418B9"/>
    <w:rsid w:val="7F4B1010"/>
    <w:rsid w:val="7F533EDE"/>
    <w:rsid w:val="7F54519E"/>
    <w:rsid w:val="7F56612B"/>
    <w:rsid w:val="7F5730CA"/>
    <w:rsid w:val="7F5E197B"/>
    <w:rsid w:val="7F5F2A3E"/>
    <w:rsid w:val="7F5F370C"/>
    <w:rsid w:val="7F602C44"/>
    <w:rsid w:val="7F610AF7"/>
    <w:rsid w:val="7F663F64"/>
    <w:rsid w:val="7F6D01FA"/>
    <w:rsid w:val="7F6E4D38"/>
    <w:rsid w:val="7F772C11"/>
    <w:rsid w:val="7F7A06DA"/>
    <w:rsid w:val="7F8176CE"/>
    <w:rsid w:val="7F8259C2"/>
    <w:rsid w:val="7F831DA4"/>
    <w:rsid w:val="7F8738A2"/>
    <w:rsid w:val="7F8E2C9C"/>
    <w:rsid w:val="7F9B0172"/>
    <w:rsid w:val="7F9C369C"/>
    <w:rsid w:val="7F9C4299"/>
    <w:rsid w:val="7F9F7CA0"/>
    <w:rsid w:val="7FA1078A"/>
    <w:rsid w:val="7FA5062E"/>
    <w:rsid w:val="7FA60ED6"/>
    <w:rsid w:val="7FAC0553"/>
    <w:rsid w:val="7FB05D91"/>
    <w:rsid w:val="7FB10FB0"/>
    <w:rsid w:val="7FB22B9D"/>
    <w:rsid w:val="7FB3419F"/>
    <w:rsid w:val="7FB34695"/>
    <w:rsid w:val="7FB54B85"/>
    <w:rsid w:val="7FB55142"/>
    <w:rsid w:val="7FB8301B"/>
    <w:rsid w:val="7FB93947"/>
    <w:rsid w:val="7FB94DD2"/>
    <w:rsid w:val="7FC62240"/>
    <w:rsid w:val="7FCA214A"/>
    <w:rsid w:val="7FCA46E5"/>
    <w:rsid w:val="7FCA5F39"/>
    <w:rsid w:val="7FCC1F84"/>
    <w:rsid w:val="7FCD03A5"/>
    <w:rsid w:val="7FCF16FD"/>
    <w:rsid w:val="7FD00EB3"/>
    <w:rsid w:val="7FD148F8"/>
    <w:rsid w:val="7FD35351"/>
    <w:rsid w:val="7FD6220C"/>
    <w:rsid w:val="7FD731F4"/>
    <w:rsid w:val="7FDB5E30"/>
    <w:rsid w:val="7FDC5740"/>
    <w:rsid w:val="7FDD40A3"/>
    <w:rsid w:val="7FE11FCB"/>
    <w:rsid w:val="7FE16EE5"/>
    <w:rsid w:val="7FE92C52"/>
    <w:rsid w:val="7FED0189"/>
    <w:rsid w:val="7FED64EF"/>
    <w:rsid w:val="7FEF2597"/>
    <w:rsid w:val="7FF16B3F"/>
    <w:rsid w:val="7FF6171B"/>
    <w:rsid w:val="7FF80BED"/>
    <w:rsid w:val="7FF8266C"/>
    <w:rsid w:val="7FFA73C1"/>
    <w:rsid w:val="7FFF3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iPriority="1" w:semiHidden="0" w:name="heading 3"/>
    <w:lsdException w:qFormat="1" w:uiPriority="1"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104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71"/>
    <w:autoRedefine/>
    <w:qFormat/>
    <w:uiPriority w:val="1"/>
    <w:pPr>
      <w:keepNext/>
      <w:keepLines/>
      <w:numPr>
        <w:ilvl w:val="0"/>
        <w:numId w:val="1"/>
      </w:numPr>
      <w:tabs>
        <w:tab w:val="left" w:pos="432"/>
      </w:tabs>
      <w:ind w:firstLine="0" w:firstLineChars="0"/>
      <w:jc w:val="left"/>
      <w:outlineLvl w:val="0"/>
    </w:pPr>
    <w:rPr>
      <w:rFonts w:eastAsia="黑体"/>
      <w:b/>
      <w:kern w:val="44"/>
      <w:sz w:val="32"/>
    </w:rPr>
  </w:style>
  <w:style w:type="paragraph" w:styleId="3">
    <w:name w:val="heading 2"/>
    <w:basedOn w:val="1"/>
    <w:next w:val="1"/>
    <w:link w:val="82"/>
    <w:autoRedefine/>
    <w:unhideWhenUsed/>
    <w:qFormat/>
    <w:uiPriority w:val="1"/>
    <w:pPr>
      <w:keepNext/>
      <w:keepLines/>
      <w:numPr>
        <w:ilvl w:val="1"/>
        <w:numId w:val="1"/>
      </w:numPr>
      <w:tabs>
        <w:tab w:val="left" w:pos="432"/>
        <w:tab w:val="left" w:pos="575"/>
      </w:tabs>
      <w:adjustRightInd w:val="0"/>
      <w:snapToGrid w:val="0"/>
      <w:ind w:firstLine="0" w:firstLineChars="0"/>
      <w:outlineLvl w:val="1"/>
    </w:pPr>
    <w:rPr>
      <w:rFonts w:eastAsia="黑体"/>
      <w:b/>
      <w:sz w:val="28"/>
    </w:rPr>
  </w:style>
  <w:style w:type="paragraph" w:styleId="4">
    <w:name w:val="heading 3"/>
    <w:basedOn w:val="1"/>
    <w:next w:val="1"/>
    <w:link w:val="105"/>
    <w:autoRedefine/>
    <w:unhideWhenUsed/>
    <w:qFormat/>
    <w:uiPriority w:val="1"/>
    <w:pPr>
      <w:keepNext/>
      <w:keepLines/>
      <w:numPr>
        <w:ilvl w:val="2"/>
        <w:numId w:val="1"/>
      </w:numPr>
      <w:tabs>
        <w:tab w:val="left" w:pos="432"/>
        <w:tab w:val="left" w:pos="720"/>
      </w:tabs>
      <w:ind w:firstLine="0" w:firstLineChars="0"/>
      <w:outlineLvl w:val="2"/>
    </w:pPr>
    <w:rPr>
      <w:rFonts w:eastAsia="黑体"/>
    </w:rPr>
  </w:style>
  <w:style w:type="paragraph" w:styleId="5">
    <w:name w:val="heading 4"/>
    <w:basedOn w:val="1"/>
    <w:next w:val="6"/>
    <w:link w:val="197"/>
    <w:autoRedefine/>
    <w:unhideWhenUsed/>
    <w:qFormat/>
    <w:uiPriority w:val="1"/>
    <w:pPr>
      <w:keepNext/>
      <w:keepLines/>
      <w:numPr>
        <w:ilvl w:val="3"/>
        <w:numId w:val="1"/>
      </w:numPr>
      <w:ind w:firstLine="0" w:firstLineChars="0"/>
      <w:jc w:val="left"/>
      <w:outlineLvl w:val="3"/>
    </w:pPr>
  </w:style>
  <w:style w:type="paragraph" w:styleId="8">
    <w:name w:val="heading 5"/>
    <w:basedOn w:val="1"/>
    <w:next w:val="1"/>
    <w:autoRedefine/>
    <w:unhideWhenUsed/>
    <w:qFormat/>
    <w:uiPriority w:val="0"/>
    <w:pPr>
      <w:keepNext/>
      <w:keepLines/>
      <w:numPr>
        <w:ilvl w:val="4"/>
        <w:numId w:val="1"/>
      </w:numPr>
      <w:tabs>
        <w:tab w:val="left" w:pos="1008"/>
      </w:tabs>
      <w:spacing w:before="280" w:after="290" w:line="372" w:lineRule="auto"/>
      <w:ind w:firstLine="0" w:firstLineChars="0"/>
      <w:outlineLvl w:val="4"/>
    </w:pPr>
    <w:rPr>
      <w:b/>
    </w:rPr>
  </w:style>
  <w:style w:type="paragraph" w:styleId="9">
    <w:name w:val="heading 6"/>
    <w:basedOn w:val="1"/>
    <w:next w:val="1"/>
    <w:autoRedefine/>
    <w:unhideWhenUsed/>
    <w:qFormat/>
    <w:uiPriority w:val="0"/>
    <w:pPr>
      <w:keepNext/>
      <w:keepLines/>
      <w:numPr>
        <w:ilvl w:val="5"/>
        <w:numId w:val="1"/>
      </w:numPr>
      <w:tabs>
        <w:tab w:val="left" w:pos="1151"/>
      </w:tabs>
      <w:spacing w:before="240" w:after="64" w:line="317" w:lineRule="auto"/>
      <w:ind w:firstLine="0" w:firstLineChars="0"/>
      <w:outlineLvl w:val="5"/>
    </w:pPr>
    <w:rPr>
      <w:rFonts w:ascii="Arial" w:hAnsi="Arial" w:eastAsia="黑体"/>
      <w:b/>
    </w:rPr>
  </w:style>
  <w:style w:type="paragraph" w:styleId="10">
    <w:name w:val="heading 7"/>
    <w:basedOn w:val="1"/>
    <w:next w:val="1"/>
    <w:autoRedefine/>
    <w:unhideWhenUsed/>
    <w:qFormat/>
    <w:uiPriority w:val="0"/>
    <w:pPr>
      <w:keepNext/>
      <w:keepLines/>
      <w:numPr>
        <w:ilvl w:val="6"/>
        <w:numId w:val="1"/>
      </w:numPr>
      <w:tabs>
        <w:tab w:val="left" w:pos="1296"/>
      </w:tabs>
      <w:spacing w:before="240" w:after="64" w:line="317" w:lineRule="auto"/>
      <w:ind w:firstLine="0" w:firstLineChars="0"/>
      <w:outlineLvl w:val="6"/>
    </w:pPr>
    <w:rPr>
      <w:b/>
    </w:rPr>
  </w:style>
  <w:style w:type="paragraph" w:styleId="11">
    <w:name w:val="heading 8"/>
    <w:basedOn w:val="1"/>
    <w:next w:val="1"/>
    <w:autoRedefine/>
    <w:unhideWhenUsed/>
    <w:qFormat/>
    <w:uiPriority w:val="0"/>
    <w:pPr>
      <w:keepNext/>
      <w:keepLines/>
      <w:numPr>
        <w:ilvl w:val="7"/>
        <w:numId w:val="1"/>
      </w:numPr>
      <w:tabs>
        <w:tab w:val="left" w:pos="1440"/>
      </w:tabs>
      <w:spacing w:before="240" w:after="64" w:line="317" w:lineRule="auto"/>
      <w:ind w:firstLine="0" w:firstLineChars="0"/>
      <w:outlineLvl w:val="7"/>
    </w:pPr>
    <w:rPr>
      <w:rFonts w:ascii="Arial" w:hAnsi="Arial" w:eastAsia="黑体"/>
    </w:rPr>
  </w:style>
  <w:style w:type="paragraph" w:styleId="12">
    <w:name w:val="heading 9"/>
    <w:basedOn w:val="1"/>
    <w:next w:val="1"/>
    <w:autoRedefine/>
    <w:unhideWhenUsed/>
    <w:qFormat/>
    <w:uiPriority w:val="0"/>
    <w:pPr>
      <w:keepNext/>
      <w:keepLines/>
      <w:numPr>
        <w:ilvl w:val="8"/>
        <w:numId w:val="1"/>
      </w:numPr>
      <w:tabs>
        <w:tab w:val="left" w:pos="1583"/>
      </w:tabs>
      <w:spacing w:before="240" w:after="64" w:line="317" w:lineRule="auto"/>
      <w:ind w:firstLine="0" w:firstLineChars="0"/>
      <w:outlineLvl w:val="8"/>
    </w:pPr>
    <w:rPr>
      <w:rFonts w:ascii="Arial" w:hAnsi="Arial" w:eastAsia="黑体"/>
      <w:sz w:val="21"/>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6">
    <w:name w:val="Body Text First Indent"/>
    <w:basedOn w:val="7"/>
    <w:autoRedefine/>
    <w:qFormat/>
    <w:uiPriority w:val="0"/>
    <w:pPr>
      <w:ind w:firstLine="100" w:firstLineChars="100"/>
    </w:pPr>
    <w:rPr>
      <w:sz w:val="21"/>
    </w:rPr>
  </w:style>
  <w:style w:type="paragraph" w:styleId="7">
    <w:name w:val="Body Text"/>
    <w:basedOn w:val="1"/>
    <w:link w:val="192"/>
    <w:autoRedefine/>
    <w:qFormat/>
    <w:uiPriority w:val="99"/>
    <w:pPr>
      <w:spacing w:after="120"/>
    </w:pPr>
  </w:style>
  <w:style w:type="paragraph" w:styleId="13">
    <w:name w:val="toc 7"/>
    <w:basedOn w:val="1"/>
    <w:next w:val="1"/>
    <w:autoRedefine/>
    <w:qFormat/>
    <w:uiPriority w:val="0"/>
    <w:pPr>
      <w:ind w:left="2520" w:leftChars="1200"/>
    </w:pPr>
  </w:style>
  <w:style w:type="paragraph" w:styleId="14">
    <w:name w:val="table of authorities"/>
    <w:basedOn w:val="1"/>
    <w:next w:val="1"/>
    <w:autoRedefine/>
    <w:qFormat/>
    <w:uiPriority w:val="0"/>
    <w:pPr>
      <w:ind w:left="420" w:leftChars="200"/>
    </w:pPr>
  </w:style>
  <w:style w:type="paragraph" w:styleId="15">
    <w:name w:val="Normal Indent"/>
    <w:basedOn w:val="1"/>
    <w:next w:val="16"/>
    <w:link w:val="111"/>
    <w:autoRedefine/>
    <w:qFormat/>
    <w:uiPriority w:val="0"/>
    <w:rPr>
      <w:szCs w:val="20"/>
    </w:rPr>
  </w:style>
  <w:style w:type="paragraph" w:styleId="16">
    <w:name w:val="index 5"/>
    <w:basedOn w:val="1"/>
    <w:next w:val="1"/>
    <w:autoRedefine/>
    <w:qFormat/>
    <w:uiPriority w:val="0"/>
    <w:pPr>
      <w:ind w:left="1680"/>
    </w:pPr>
    <w:rPr>
      <w:rFonts w:ascii="Calibri" w:hAnsi="Calibri" w:cs="Times New Roman"/>
    </w:rPr>
  </w:style>
  <w:style w:type="paragraph" w:styleId="17">
    <w:name w:val="Document Map"/>
    <w:basedOn w:val="1"/>
    <w:link w:val="77"/>
    <w:autoRedefine/>
    <w:qFormat/>
    <w:uiPriority w:val="0"/>
    <w:rPr>
      <w:rFonts w:ascii="宋体"/>
      <w:sz w:val="18"/>
      <w:szCs w:val="18"/>
    </w:rPr>
  </w:style>
  <w:style w:type="paragraph" w:styleId="18">
    <w:name w:val="annotation text"/>
    <w:basedOn w:val="1"/>
    <w:link w:val="78"/>
    <w:autoRedefine/>
    <w:qFormat/>
    <w:uiPriority w:val="0"/>
    <w:pPr>
      <w:jc w:val="left"/>
    </w:pPr>
  </w:style>
  <w:style w:type="paragraph" w:styleId="19">
    <w:name w:val="Body Text Indent"/>
    <w:basedOn w:val="1"/>
    <w:link w:val="100"/>
    <w:autoRedefine/>
    <w:qFormat/>
    <w:uiPriority w:val="0"/>
    <w:pPr>
      <w:ind w:firstLine="720" w:firstLineChars="225"/>
    </w:pPr>
    <w:rPr>
      <w:rFonts w:ascii="仿宋_GB2312" w:eastAsia="仿宋_GB2312"/>
      <w:sz w:val="32"/>
      <w:szCs w:val="20"/>
    </w:rPr>
  </w:style>
  <w:style w:type="paragraph" w:styleId="20">
    <w:name w:val="Block Text"/>
    <w:basedOn w:val="1"/>
    <w:next w:val="1"/>
    <w:autoRedefine/>
    <w:qFormat/>
    <w:uiPriority w:val="0"/>
    <w:pPr>
      <w:ind w:left="113" w:right="113" w:firstLine="555"/>
      <w:jc w:val="left"/>
    </w:pPr>
    <w:rPr>
      <w:sz w:val="28"/>
    </w:rPr>
  </w:style>
  <w:style w:type="paragraph" w:styleId="21">
    <w:name w:val="toc 5"/>
    <w:basedOn w:val="1"/>
    <w:next w:val="1"/>
    <w:autoRedefine/>
    <w:qFormat/>
    <w:uiPriority w:val="0"/>
    <w:pPr>
      <w:ind w:left="1680" w:leftChars="800"/>
    </w:pPr>
  </w:style>
  <w:style w:type="paragraph" w:styleId="22">
    <w:name w:val="toc 3"/>
    <w:basedOn w:val="1"/>
    <w:next w:val="1"/>
    <w:autoRedefine/>
    <w:qFormat/>
    <w:uiPriority w:val="39"/>
    <w:pPr>
      <w:ind w:left="840" w:leftChars="400"/>
    </w:pPr>
  </w:style>
  <w:style w:type="paragraph" w:styleId="23">
    <w:name w:val="Plain Text"/>
    <w:basedOn w:val="1"/>
    <w:link w:val="116"/>
    <w:autoRedefine/>
    <w:qFormat/>
    <w:uiPriority w:val="0"/>
    <w:rPr>
      <w:rFonts w:ascii="宋体" w:hAnsi="Courier New"/>
      <w:szCs w:val="20"/>
    </w:rPr>
  </w:style>
  <w:style w:type="paragraph" w:styleId="24">
    <w:name w:val="toc 8"/>
    <w:basedOn w:val="1"/>
    <w:next w:val="1"/>
    <w:autoRedefine/>
    <w:qFormat/>
    <w:uiPriority w:val="0"/>
    <w:pPr>
      <w:ind w:left="2940" w:leftChars="1400"/>
    </w:pPr>
  </w:style>
  <w:style w:type="paragraph" w:styleId="25">
    <w:name w:val="Date"/>
    <w:basedOn w:val="1"/>
    <w:next w:val="1"/>
    <w:autoRedefine/>
    <w:qFormat/>
    <w:uiPriority w:val="0"/>
    <w:rPr>
      <w:color w:val="000000"/>
      <w:sz w:val="28"/>
      <w:szCs w:val="20"/>
    </w:rPr>
  </w:style>
  <w:style w:type="paragraph" w:styleId="26">
    <w:name w:val="Body Text Indent 2"/>
    <w:basedOn w:val="1"/>
    <w:autoRedefine/>
    <w:qFormat/>
    <w:uiPriority w:val="0"/>
    <w:pPr>
      <w:ind w:firstLine="822" w:firstLineChars="257"/>
    </w:pPr>
    <w:rPr>
      <w:rFonts w:ascii="宋体" w:hAnsi="新宋体"/>
      <w:sz w:val="32"/>
    </w:rPr>
  </w:style>
  <w:style w:type="paragraph" w:styleId="27">
    <w:name w:val="Balloon Text"/>
    <w:basedOn w:val="1"/>
    <w:link w:val="76"/>
    <w:autoRedefine/>
    <w:qFormat/>
    <w:uiPriority w:val="0"/>
    <w:pPr>
      <w:spacing w:line="240" w:lineRule="auto"/>
    </w:pPr>
    <w:rPr>
      <w:sz w:val="18"/>
      <w:szCs w:val="18"/>
    </w:rPr>
  </w:style>
  <w:style w:type="paragraph" w:styleId="28">
    <w:name w:val="footer"/>
    <w:basedOn w:val="1"/>
    <w:link w:val="67"/>
    <w:autoRedefine/>
    <w:qFormat/>
    <w:uiPriority w:val="99"/>
    <w:pPr>
      <w:tabs>
        <w:tab w:val="center" w:pos="4153"/>
        <w:tab w:val="right" w:pos="8306"/>
      </w:tabs>
      <w:snapToGrid w:val="0"/>
      <w:spacing w:line="240" w:lineRule="auto"/>
      <w:jc w:val="left"/>
    </w:pPr>
    <w:rPr>
      <w:sz w:val="18"/>
      <w:szCs w:val="18"/>
    </w:rPr>
  </w:style>
  <w:style w:type="paragraph" w:styleId="29">
    <w:name w:val="header"/>
    <w:basedOn w:val="1"/>
    <w:link w:val="66"/>
    <w:autoRedefine/>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0">
    <w:name w:val="toc 1"/>
    <w:basedOn w:val="1"/>
    <w:next w:val="1"/>
    <w:autoRedefine/>
    <w:qFormat/>
    <w:uiPriority w:val="39"/>
  </w:style>
  <w:style w:type="paragraph" w:styleId="31">
    <w:name w:val="toc 4"/>
    <w:basedOn w:val="1"/>
    <w:next w:val="1"/>
    <w:autoRedefine/>
    <w:qFormat/>
    <w:uiPriority w:val="0"/>
    <w:pPr>
      <w:ind w:left="1260" w:leftChars="600"/>
    </w:pPr>
  </w:style>
  <w:style w:type="paragraph" w:styleId="32">
    <w:name w:val="toc 6"/>
    <w:basedOn w:val="1"/>
    <w:next w:val="1"/>
    <w:autoRedefine/>
    <w:qFormat/>
    <w:uiPriority w:val="0"/>
    <w:pPr>
      <w:ind w:left="2100" w:leftChars="1000"/>
    </w:pPr>
  </w:style>
  <w:style w:type="paragraph" w:styleId="33">
    <w:name w:val="Body Text Indent 3"/>
    <w:basedOn w:val="1"/>
    <w:autoRedefine/>
    <w:qFormat/>
    <w:uiPriority w:val="0"/>
    <w:pPr>
      <w:ind w:left="420" w:leftChars="200"/>
    </w:pPr>
    <w:rPr>
      <w:sz w:val="16"/>
    </w:rPr>
  </w:style>
  <w:style w:type="paragraph" w:styleId="34">
    <w:name w:val="toc 2"/>
    <w:basedOn w:val="1"/>
    <w:next w:val="1"/>
    <w:autoRedefine/>
    <w:qFormat/>
    <w:uiPriority w:val="39"/>
    <w:pPr>
      <w:ind w:left="420" w:leftChars="200"/>
    </w:pPr>
  </w:style>
  <w:style w:type="paragraph" w:styleId="35">
    <w:name w:val="toc 9"/>
    <w:basedOn w:val="1"/>
    <w:next w:val="1"/>
    <w:autoRedefine/>
    <w:qFormat/>
    <w:uiPriority w:val="0"/>
    <w:pPr>
      <w:ind w:left="3360" w:leftChars="1600"/>
    </w:pPr>
  </w:style>
  <w:style w:type="paragraph" w:styleId="36">
    <w:name w:val="Body Text 2"/>
    <w:basedOn w:val="1"/>
    <w:autoRedefine/>
    <w:qFormat/>
    <w:uiPriority w:val="0"/>
    <w:pPr>
      <w:spacing w:after="120" w:line="480" w:lineRule="auto"/>
    </w:pPr>
  </w:style>
  <w:style w:type="paragraph" w:styleId="3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rPr>
  </w:style>
  <w:style w:type="paragraph" w:styleId="38">
    <w:name w:val="Normal (Web)"/>
    <w:basedOn w:val="1"/>
    <w:autoRedefine/>
    <w:qFormat/>
    <w:uiPriority w:val="99"/>
    <w:pPr>
      <w:spacing w:beforeAutospacing="1" w:afterAutospacing="1"/>
      <w:jc w:val="left"/>
    </w:pPr>
    <w:rPr>
      <w:rFonts w:cs="Times New Roman"/>
      <w:kern w:val="0"/>
    </w:rPr>
  </w:style>
  <w:style w:type="paragraph" w:styleId="39">
    <w:name w:val="Title"/>
    <w:basedOn w:val="1"/>
    <w:next w:val="1"/>
    <w:link w:val="124"/>
    <w:autoRedefine/>
    <w:qFormat/>
    <w:uiPriority w:val="0"/>
    <w:pPr>
      <w:spacing w:before="240" w:after="60"/>
      <w:jc w:val="center"/>
      <w:outlineLvl w:val="0"/>
    </w:pPr>
    <w:rPr>
      <w:rFonts w:asciiTheme="majorHAnsi" w:hAnsiTheme="majorHAnsi" w:eastAsiaTheme="majorEastAsia" w:cstheme="majorBidi"/>
      <w:b/>
      <w:bCs/>
      <w:sz w:val="32"/>
      <w:szCs w:val="32"/>
    </w:rPr>
  </w:style>
  <w:style w:type="paragraph" w:styleId="40">
    <w:name w:val="annotation subject"/>
    <w:basedOn w:val="18"/>
    <w:next w:val="18"/>
    <w:link w:val="79"/>
    <w:autoRedefine/>
    <w:qFormat/>
    <w:uiPriority w:val="0"/>
    <w:rPr>
      <w:b/>
      <w:bCs/>
    </w:rPr>
  </w:style>
  <w:style w:type="paragraph" w:styleId="41">
    <w:name w:val="Body Text First Indent 2"/>
    <w:basedOn w:val="15"/>
    <w:next w:val="1"/>
    <w:autoRedefine/>
    <w:qFormat/>
    <w:uiPriority w:val="0"/>
    <w:pPr>
      <w:tabs>
        <w:tab w:val="left" w:pos="2745"/>
      </w:tabs>
      <w:spacing w:after="120"/>
      <w:ind w:left="420" w:leftChars="200" w:firstLine="420"/>
    </w:pPr>
    <w:rPr>
      <w:sz w:val="21"/>
    </w:rPr>
  </w:style>
  <w:style w:type="table" w:styleId="43">
    <w:name w:val="Table Grid"/>
    <w:basedOn w:val="42"/>
    <w:autoRedefine/>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autoRedefine/>
    <w:qFormat/>
    <w:uiPriority w:val="0"/>
    <w:rPr>
      <w:b/>
    </w:rPr>
  </w:style>
  <w:style w:type="character" w:styleId="46">
    <w:name w:val="page number"/>
    <w:basedOn w:val="44"/>
    <w:autoRedefine/>
    <w:qFormat/>
    <w:uiPriority w:val="0"/>
    <w:rPr>
      <w:b/>
      <w:color w:val="000000"/>
      <w:sz w:val="21"/>
      <w:u w:color="000000"/>
      <w:lang w:val="en-US" w:eastAsia="zh-CN"/>
    </w:rPr>
  </w:style>
  <w:style w:type="character" w:styleId="47">
    <w:name w:val="FollowedHyperlink"/>
    <w:basedOn w:val="44"/>
    <w:autoRedefine/>
    <w:qFormat/>
    <w:uiPriority w:val="0"/>
    <w:rPr>
      <w:color w:val="666666"/>
      <w:sz w:val="18"/>
      <w:szCs w:val="18"/>
      <w:u w:val="none"/>
    </w:rPr>
  </w:style>
  <w:style w:type="character" w:styleId="48">
    <w:name w:val="Emphasis"/>
    <w:basedOn w:val="44"/>
    <w:autoRedefine/>
    <w:qFormat/>
    <w:uiPriority w:val="20"/>
  </w:style>
  <w:style w:type="character" w:styleId="49">
    <w:name w:val="HTML Definition"/>
    <w:basedOn w:val="44"/>
    <w:autoRedefine/>
    <w:qFormat/>
    <w:uiPriority w:val="0"/>
  </w:style>
  <w:style w:type="character" w:styleId="50">
    <w:name w:val="HTML Acronym"/>
    <w:basedOn w:val="44"/>
    <w:autoRedefine/>
    <w:qFormat/>
    <w:uiPriority w:val="0"/>
  </w:style>
  <w:style w:type="character" w:styleId="51">
    <w:name w:val="HTML Variable"/>
    <w:basedOn w:val="44"/>
    <w:autoRedefine/>
    <w:qFormat/>
    <w:uiPriority w:val="0"/>
  </w:style>
  <w:style w:type="character" w:styleId="52">
    <w:name w:val="Hyperlink"/>
    <w:basedOn w:val="44"/>
    <w:autoRedefine/>
    <w:qFormat/>
    <w:uiPriority w:val="99"/>
    <w:rPr>
      <w:color w:val="666666"/>
      <w:sz w:val="18"/>
      <w:szCs w:val="18"/>
      <w:u w:val="none"/>
    </w:rPr>
  </w:style>
  <w:style w:type="character" w:styleId="53">
    <w:name w:val="HTML Code"/>
    <w:basedOn w:val="44"/>
    <w:autoRedefine/>
    <w:qFormat/>
    <w:uiPriority w:val="0"/>
    <w:rPr>
      <w:rFonts w:ascii="monospace" w:hAnsi="monospace" w:eastAsia="monospace" w:cs="monospace"/>
      <w:sz w:val="21"/>
      <w:szCs w:val="21"/>
    </w:rPr>
  </w:style>
  <w:style w:type="character" w:styleId="54">
    <w:name w:val="annotation reference"/>
    <w:basedOn w:val="44"/>
    <w:autoRedefine/>
    <w:qFormat/>
    <w:uiPriority w:val="0"/>
    <w:rPr>
      <w:sz w:val="21"/>
      <w:szCs w:val="21"/>
    </w:rPr>
  </w:style>
  <w:style w:type="character" w:styleId="55">
    <w:name w:val="HTML Cite"/>
    <w:basedOn w:val="44"/>
    <w:autoRedefine/>
    <w:qFormat/>
    <w:uiPriority w:val="0"/>
  </w:style>
  <w:style w:type="character" w:styleId="56">
    <w:name w:val="HTML Keyboard"/>
    <w:basedOn w:val="44"/>
    <w:autoRedefine/>
    <w:qFormat/>
    <w:uiPriority w:val="0"/>
    <w:rPr>
      <w:rFonts w:hint="default" w:ascii="monospace" w:hAnsi="monospace" w:eastAsia="monospace" w:cs="monospace"/>
      <w:sz w:val="21"/>
      <w:szCs w:val="21"/>
    </w:rPr>
  </w:style>
  <w:style w:type="character" w:styleId="57">
    <w:name w:val="HTML Sample"/>
    <w:basedOn w:val="44"/>
    <w:autoRedefine/>
    <w:qFormat/>
    <w:uiPriority w:val="0"/>
    <w:rPr>
      <w:rFonts w:hint="default" w:ascii="monospace" w:hAnsi="monospace" w:eastAsia="monospace" w:cs="monospace"/>
      <w:sz w:val="21"/>
      <w:szCs w:val="21"/>
    </w:rPr>
  </w:style>
  <w:style w:type="paragraph" w:customStyle="1" w:styleId="58">
    <w:name w:val="Default"/>
    <w:next w:val="1"/>
    <w:autoRedefine/>
    <w:qFormat/>
    <w:uiPriority w:val="0"/>
    <w:pPr>
      <w:widowControl w:val="0"/>
      <w:autoSpaceDE w:val="0"/>
      <w:autoSpaceDN w:val="0"/>
      <w:adjustRightInd w:val="0"/>
    </w:pPr>
    <w:rPr>
      <w:rFonts w:ascii="华文细黑" w:hAnsi="Times New Roman" w:eastAsia="华文细黑" w:cs="Times New Roman"/>
      <w:color w:val="000000"/>
      <w:sz w:val="24"/>
      <w:szCs w:val="24"/>
      <w:lang w:val="en-US" w:eastAsia="zh-CN" w:bidi="ar-SA"/>
    </w:rPr>
  </w:style>
  <w:style w:type="paragraph" w:customStyle="1" w:styleId="59">
    <w:name w:val="样式 正文文本 + 首行缩进:  2 字符"/>
    <w:autoRedefine/>
    <w:qFormat/>
    <w:uiPriority w:val="99"/>
    <w:pPr>
      <w:spacing w:after="200" w:line="480" w:lineRule="exact"/>
      <w:ind w:firstLine="480" w:firstLineChars="200"/>
    </w:pPr>
    <w:rPr>
      <w:rFonts w:ascii="宋体" w:hAnsi="宋体" w:eastAsia="宋体" w:cs="Times New Roman"/>
      <w:sz w:val="24"/>
      <w:lang w:val="en-US" w:eastAsia="zh-CN" w:bidi="ar-SA"/>
    </w:rPr>
  </w:style>
  <w:style w:type="paragraph" w:customStyle="1" w:styleId="60">
    <w:name w:val="标题4"/>
    <w:basedOn w:val="1"/>
    <w:autoRedefine/>
    <w:qFormat/>
    <w:uiPriority w:val="0"/>
    <w:pPr>
      <w:adjustRightInd w:val="0"/>
      <w:snapToGrid w:val="0"/>
    </w:pPr>
    <w:rPr>
      <w:rFonts w:eastAsia="黑体"/>
    </w:rPr>
  </w:style>
  <w:style w:type="paragraph" w:customStyle="1" w:styleId="61">
    <w:name w:val="正文 首行缩进:  2 字符"/>
    <w:basedOn w:val="1"/>
    <w:autoRedefine/>
    <w:semiHidden/>
    <w:qFormat/>
    <w:uiPriority w:val="0"/>
    <w:pPr>
      <w:ind w:firstLine="560"/>
    </w:pPr>
    <w:rPr>
      <w:kern w:val="44"/>
    </w:rPr>
  </w:style>
  <w:style w:type="paragraph" w:customStyle="1" w:styleId="62">
    <w:name w:val="样式 样式 样式 四号 左侧:  1.53 厘米 + 首行缩进:  2 字符 + 居中 左侧:  2 字符 首行缩进:  2..."/>
    <w:basedOn w:val="63"/>
    <w:autoRedefine/>
    <w:qFormat/>
    <w:uiPriority w:val="0"/>
    <w:pPr>
      <w:jc w:val="center"/>
    </w:pPr>
  </w:style>
  <w:style w:type="paragraph" w:customStyle="1" w:styleId="63">
    <w:name w:val="样式 样式 四号 左侧:  1.53 厘米 + 首行缩进:  2 字符"/>
    <w:basedOn w:val="64"/>
    <w:autoRedefine/>
    <w:qFormat/>
    <w:uiPriority w:val="0"/>
    <w:pPr>
      <w:ind w:left="200" w:leftChars="200"/>
    </w:pPr>
    <w:rPr>
      <w:szCs w:val="20"/>
    </w:rPr>
  </w:style>
  <w:style w:type="paragraph" w:customStyle="1" w:styleId="64">
    <w:name w:val="样式 四号 左侧:  1.53 厘米"/>
    <w:basedOn w:val="1"/>
    <w:autoRedefine/>
    <w:qFormat/>
    <w:uiPriority w:val="0"/>
    <w:pPr>
      <w:adjustRightInd w:val="0"/>
    </w:pPr>
    <w:rPr>
      <w:w w:val="90"/>
      <w:sz w:val="28"/>
      <w:szCs w:val="28"/>
    </w:rPr>
  </w:style>
  <w:style w:type="character" w:customStyle="1" w:styleId="65">
    <w:name w:val="font01"/>
    <w:basedOn w:val="44"/>
    <w:autoRedefine/>
    <w:qFormat/>
    <w:uiPriority w:val="0"/>
    <w:rPr>
      <w:rFonts w:hint="eastAsia" w:ascii="宋体" w:hAnsi="宋体" w:eastAsia="宋体" w:cs="宋体"/>
      <w:b/>
      <w:color w:val="000000"/>
      <w:sz w:val="22"/>
      <w:szCs w:val="22"/>
      <w:u w:val="none"/>
    </w:rPr>
  </w:style>
  <w:style w:type="character" w:customStyle="1" w:styleId="66">
    <w:name w:val="页眉 字符"/>
    <w:basedOn w:val="44"/>
    <w:link w:val="29"/>
    <w:autoRedefine/>
    <w:qFormat/>
    <w:uiPriority w:val="99"/>
    <w:rPr>
      <w:rFonts w:cstheme="minorBidi"/>
      <w:kern w:val="2"/>
      <w:sz w:val="18"/>
      <w:szCs w:val="18"/>
    </w:rPr>
  </w:style>
  <w:style w:type="character" w:customStyle="1" w:styleId="67">
    <w:name w:val="页脚 字符"/>
    <w:basedOn w:val="44"/>
    <w:link w:val="28"/>
    <w:autoRedefine/>
    <w:qFormat/>
    <w:uiPriority w:val="99"/>
    <w:rPr>
      <w:rFonts w:cstheme="minorBidi"/>
      <w:kern w:val="2"/>
      <w:sz w:val="18"/>
      <w:szCs w:val="18"/>
    </w:rPr>
  </w:style>
  <w:style w:type="paragraph" w:customStyle="1" w:styleId="68">
    <w:name w:val="正文曹"/>
    <w:basedOn w:val="19"/>
    <w:autoRedefine/>
    <w:qFormat/>
    <w:uiPriority w:val="0"/>
    <w:pPr>
      <w:spacing w:line="540" w:lineRule="exact"/>
      <w:ind w:left="-28" w:firstLine="399" w:firstLineChars="150"/>
    </w:pPr>
    <w:rPr>
      <w:rFonts w:ascii="@仿宋_GB2312" w:hAnsi="@仿宋_GB2312" w:eastAsia="宋体" w:cs="@仿宋_GB2312"/>
      <w:snapToGrid w:val="0"/>
      <w:color w:val="FF00FF"/>
      <w:kern w:val="0"/>
      <w:sz w:val="24"/>
      <w:szCs w:val="24"/>
    </w:rPr>
  </w:style>
  <w:style w:type="character" w:customStyle="1" w:styleId="69">
    <w:name w:val="font11"/>
    <w:basedOn w:val="44"/>
    <w:autoRedefine/>
    <w:qFormat/>
    <w:uiPriority w:val="0"/>
    <w:rPr>
      <w:rFonts w:hint="eastAsia" w:ascii="宋体" w:hAnsi="宋体" w:eastAsia="宋体" w:cs="宋体"/>
      <w:color w:val="000000"/>
      <w:sz w:val="24"/>
      <w:szCs w:val="24"/>
      <w:u w:val="none"/>
    </w:rPr>
  </w:style>
  <w:style w:type="character" w:customStyle="1" w:styleId="70">
    <w:name w:val="font21"/>
    <w:basedOn w:val="44"/>
    <w:autoRedefine/>
    <w:qFormat/>
    <w:uiPriority w:val="0"/>
    <w:rPr>
      <w:rFonts w:hint="eastAsia" w:ascii="宋体" w:hAnsi="宋体" w:eastAsia="宋体" w:cs="宋体"/>
      <w:color w:val="000000"/>
      <w:sz w:val="24"/>
      <w:szCs w:val="24"/>
      <w:u w:val="none"/>
    </w:rPr>
  </w:style>
  <w:style w:type="character" w:customStyle="1" w:styleId="71">
    <w:name w:val="标题 1 字符"/>
    <w:link w:val="2"/>
    <w:autoRedefine/>
    <w:qFormat/>
    <w:uiPriority w:val="1"/>
    <w:rPr>
      <w:rFonts w:eastAsia="黑体" w:cstheme="minorBidi"/>
      <w:b/>
      <w:kern w:val="44"/>
      <w:sz w:val="32"/>
      <w:szCs w:val="24"/>
    </w:rPr>
  </w:style>
  <w:style w:type="character" w:customStyle="1" w:styleId="72">
    <w:name w:val="表格内字体 Char"/>
    <w:basedOn w:val="44"/>
    <w:autoRedefine/>
    <w:qFormat/>
    <w:uiPriority w:val="0"/>
    <w:rPr>
      <w:rFonts w:hint="eastAsia" w:ascii="宋体" w:hAnsi="宋体" w:eastAsia="宋体" w:cs="宋体"/>
      <w:kern w:val="2"/>
      <w:sz w:val="21"/>
      <w:szCs w:val="24"/>
      <w:lang w:val="en-US" w:eastAsia="zh-CN"/>
    </w:rPr>
  </w:style>
  <w:style w:type="paragraph" w:customStyle="1" w:styleId="73">
    <w:name w:val="表题"/>
    <w:basedOn w:val="1"/>
    <w:autoRedefine/>
    <w:qFormat/>
    <w:uiPriority w:val="0"/>
    <w:pPr>
      <w:ind w:left="960" w:hanging="480"/>
      <w:jc w:val="center"/>
    </w:pPr>
    <w:rPr>
      <w:rFonts w:hint="eastAsia" w:ascii="黑体" w:eastAsia="黑体" w:cs="Times New Roman"/>
      <w:b/>
    </w:rPr>
  </w:style>
  <w:style w:type="paragraph" w:customStyle="1" w:styleId="74">
    <w:name w:val="表格内字体"/>
    <w:basedOn w:val="1"/>
    <w:autoRedefine/>
    <w:qFormat/>
    <w:uiPriority w:val="0"/>
    <w:pPr>
      <w:jc w:val="center"/>
    </w:pPr>
    <w:rPr>
      <w:rFonts w:hint="eastAsia" w:ascii="宋体" w:cs="Times New Roman"/>
      <w:sz w:val="21"/>
      <w:szCs w:val="20"/>
    </w:rPr>
  </w:style>
  <w:style w:type="paragraph" w:customStyle="1" w:styleId="75">
    <w:name w:val="1 Char Char Char Char Char Char"/>
    <w:basedOn w:val="1"/>
    <w:autoRedefine/>
    <w:hidden/>
    <w:qFormat/>
    <w:uiPriority w:val="0"/>
    <w:rPr>
      <w:rFonts w:cs="Times New Roman"/>
      <w:sz w:val="21"/>
    </w:rPr>
  </w:style>
  <w:style w:type="character" w:customStyle="1" w:styleId="76">
    <w:name w:val="批注框文本 字符"/>
    <w:basedOn w:val="44"/>
    <w:link w:val="27"/>
    <w:autoRedefine/>
    <w:qFormat/>
    <w:uiPriority w:val="0"/>
    <w:rPr>
      <w:rFonts w:cstheme="minorBidi"/>
      <w:kern w:val="2"/>
      <w:sz w:val="18"/>
      <w:szCs w:val="18"/>
    </w:rPr>
  </w:style>
  <w:style w:type="character" w:customStyle="1" w:styleId="77">
    <w:name w:val="文档结构图 字符"/>
    <w:basedOn w:val="44"/>
    <w:link w:val="17"/>
    <w:autoRedefine/>
    <w:qFormat/>
    <w:uiPriority w:val="0"/>
    <w:rPr>
      <w:rFonts w:ascii="宋体" w:cstheme="minorBidi"/>
      <w:kern w:val="2"/>
      <w:sz w:val="18"/>
      <w:szCs w:val="18"/>
    </w:rPr>
  </w:style>
  <w:style w:type="character" w:customStyle="1" w:styleId="78">
    <w:name w:val="批注文字 字符"/>
    <w:basedOn w:val="44"/>
    <w:link w:val="18"/>
    <w:autoRedefine/>
    <w:qFormat/>
    <w:uiPriority w:val="0"/>
    <w:rPr>
      <w:rFonts w:cstheme="minorBidi"/>
      <w:kern w:val="2"/>
      <w:sz w:val="28"/>
      <w:szCs w:val="24"/>
    </w:rPr>
  </w:style>
  <w:style w:type="character" w:customStyle="1" w:styleId="79">
    <w:name w:val="批注主题 字符"/>
    <w:basedOn w:val="78"/>
    <w:link w:val="40"/>
    <w:autoRedefine/>
    <w:qFormat/>
    <w:uiPriority w:val="0"/>
    <w:rPr>
      <w:rFonts w:cstheme="minorBidi"/>
      <w:b/>
      <w:bCs/>
      <w:kern w:val="2"/>
      <w:sz w:val="28"/>
      <w:szCs w:val="24"/>
    </w:rPr>
  </w:style>
  <w:style w:type="paragraph" w:customStyle="1" w:styleId="80">
    <w:name w:val="我的表格格子"/>
    <w:basedOn w:val="1"/>
    <w:autoRedefine/>
    <w:qFormat/>
    <w:uiPriority w:val="0"/>
    <w:pPr>
      <w:spacing w:line="360" w:lineRule="exact"/>
      <w:ind w:firstLine="0" w:firstLineChars="0"/>
      <w:jc w:val="center"/>
    </w:pPr>
    <w:rPr>
      <w:rFonts w:hAnsi="宋体" w:cs="Times New Roman"/>
      <w:color w:val="000000"/>
      <w:sz w:val="21"/>
      <w:szCs w:val="20"/>
    </w:rPr>
  </w:style>
  <w:style w:type="paragraph" w:customStyle="1" w:styleId="81">
    <w:name w:val="地理段落"/>
    <w:basedOn w:val="1"/>
    <w:autoRedefine/>
    <w:qFormat/>
    <w:uiPriority w:val="0"/>
    <w:pPr>
      <w:adjustRightInd w:val="0"/>
      <w:snapToGrid w:val="0"/>
      <w:ind w:firstLine="200"/>
    </w:pPr>
  </w:style>
  <w:style w:type="character" w:customStyle="1" w:styleId="82">
    <w:name w:val="标题 2 字符"/>
    <w:link w:val="3"/>
    <w:autoRedefine/>
    <w:qFormat/>
    <w:uiPriority w:val="1"/>
    <w:rPr>
      <w:rFonts w:eastAsia="黑体" w:cstheme="minorBidi"/>
      <w:b/>
      <w:kern w:val="2"/>
      <w:sz w:val="28"/>
      <w:szCs w:val="24"/>
    </w:rPr>
  </w:style>
  <w:style w:type="character" w:customStyle="1" w:styleId="83">
    <w:name w:val="font41"/>
    <w:basedOn w:val="44"/>
    <w:autoRedefine/>
    <w:qFormat/>
    <w:uiPriority w:val="0"/>
    <w:rPr>
      <w:rFonts w:hint="default" w:ascii="Times New Roman" w:hAnsi="Times New Roman" w:cs="Times New Roman"/>
      <w:color w:val="000000"/>
      <w:sz w:val="24"/>
      <w:szCs w:val="24"/>
      <w:u w:val="none"/>
    </w:rPr>
  </w:style>
  <w:style w:type="character" w:customStyle="1" w:styleId="84">
    <w:name w:val="font71"/>
    <w:basedOn w:val="44"/>
    <w:autoRedefine/>
    <w:qFormat/>
    <w:uiPriority w:val="0"/>
    <w:rPr>
      <w:rFonts w:hint="eastAsia" w:ascii="宋体" w:hAnsi="宋体" w:eastAsia="宋体" w:cs="宋体"/>
      <w:color w:val="000000"/>
      <w:sz w:val="22"/>
      <w:szCs w:val="22"/>
      <w:u w:val="none"/>
    </w:rPr>
  </w:style>
  <w:style w:type="character" w:customStyle="1" w:styleId="85">
    <w:name w:val="font121"/>
    <w:basedOn w:val="44"/>
    <w:autoRedefine/>
    <w:qFormat/>
    <w:uiPriority w:val="0"/>
    <w:rPr>
      <w:rFonts w:hint="default" w:ascii="Times New Roman" w:hAnsi="Times New Roman" w:cs="Times New Roman"/>
      <w:color w:val="000000"/>
      <w:sz w:val="22"/>
      <w:szCs w:val="22"/>
      <w:u w:val="none"/>
    </w:rPr>
  </w:style>
  <w:style w:type="character" w:customStyle="1" w:styleId="86">
    <w:name w:val="font91"/>
    <w:basedOn w:val="44"/>
    <w:autoRedefine/>
    <w:qFormat/>
    <w:uiPriority w:val="0"/>
    <w:rPr>
      <w:rFonts w:hint="default" w:ascii="Times New Roman" w:hAnsi="Times New Roman" w:cs="Times New Roman"/>
      <w:color w:val="000000"/>
      <w:sz w:val="21"/>
      <w:szCs w:val="21"/>
      <w:u w:val="none"/>
      <w:vertAlign w:val="superscript"/>
    </w:rPr>
  </w:style>
  <w:style w:type="character" w:customStyle="1" w:styleId="87">
    <w:name w:val="font81"/>
    <w:basedOn w:val="44"/>
    <w:autoRedefine/>
    <w:qFormat/>
    <w:uiPriority w:val="0"/>
    <w:rPr>
      <w:rFonts w:hint="default" w:ascii="Times New Roman" w:hAnsi="Times New Roman" w:cs="Times New Roman"/>
      <w:color w:val="000000"/>
      <w:sz w:val="21"/>
      <w:szCs w:val="21"/>
      <w:u w:val="none"/>
    </w:rPr>
  </w:style>
  <w:style w:type="character" w:customStyle="1" w:styleId="88">
    <w:name w:val="font101"/>
    <w:basedOn w:val="44"/>
    <w:autoRedefine/>
    <w:qFormat/>
    <w:uiPriority w:val="0"/>
    <w:rPr>
      <w:rFonts w:hint="eastAsia" w:ascii="宋体" w:hAnsi="宋体" w:eastAsia="宋体" w:cs="宋体"/>
      <w:color w:val="000000"/>
      <w:sz w:val="21"/>
      <w:szCs w:val="21"/>
      <w:u w:val="none"/>
    </w:rPr>
  </w:style>
  <w:style w:type="paragraph" w:customStyle="1" w:styleId="89">
    <w:name w:val="王运锋正文"/>
    <w:basedOn w:val="90"/>
    <w:autoRedefine/>
    <w:qFormat/>
    <w:uiPriority w:val="0"/>
    <w:rPr>
      <w:rFonts w:cs="宋体"/>
      <w:color w:val="008000"/>
      <w:kern w:val="24"/>
      <w:szCs w:val="20"/>
    </w:rPr>
  </w:style>
  <w:style w:type="paragraph" w:customStyle="1" w:styleId="90">
    <w:name w:val="说明书"/>
    <w:basedOn w:val="1"/>
    <w:autoRedefine/>
    <w:qFormat/>
    <w:uiPriority w:val="0"/>
    <w:pPr>
      <w:spacing w:line="500" w:lineRule="exact"/>
      <w:ind w:firstLine="200"/>
      <w:jc w:val="left"/>
    </w:pPr>
    <w:rPr>
      <w:rFonts w:ascii="宋体" w:hAnsi="宋体"/>
    </w:rPr>
  </w:style>
  <w:style w:type="character" w:customStyle="1" w:styleId="91">
    <w:name w:val="font51"/>
    <w:basedOn w:val="44"/>
    <w:autoRedefine/>
    <w:qFormat/>
    <w:uiPriority w:val="0"/>
    <w:rPr>
      <w:rFonts w:hint="eastAsia" w:ascii="宋体" w:hAnsi="宋体" w:eastAsia="宋体" w:cs="宋体"/>
      <w:color w:val="000000"/>
      <w:sz w:val="24"/>
      <w:szCs w:val="24"/>
      <w:u w:val="none"/>
    </w:rPr>
  </w:style>
  <w:style w:type="paragraph" w:customStyle="1" w:styleId="92">
    <w:name w:val="表标"/>
    <w:basedOn w:val="1"/>
    <w:next w:val="1"/>
    <w:autoRedefine/>
    <w:qFormat/>
    <w:uiPriority w:val="0"/>
    <w:pPr>
      <w:keepNext/>
      <w:keepLines/>
      <w:widowControl/>
      <w:autoSpaceDE w:val="0"/>
      <w:autoSpaceDN w:val="0"/>
      <w:adjustRightInd w:val="0"/>
      <w:snapToGrid w:val="0"/>
      <w:spacing w:before="80" w:after="80" w:line="300" w:lineRule="auto"/>
      <w:jc w:val="center"/>
      <w:textAlignment w:val="baseline"/>
    </w:pPr>
    <w:rPr>
      <w:rFonts w:ascii="黑体" w:eastAsia="黑体"/>
      <w:color w:val="000000"/>
      <w:kern w:val="0"/>
    </w:rPr>
  </w:style>
  <w:style w:type="paragraph" w:customStyle="1" w:styleId="93">
    <w:name w:val="样式6"/>
    <w:basedOn w:val="3"/>
    <w:autoRedefine/>
    <w:qFormat/>
    <w:uiPriority w:val="0"/>
    <w:pPr>
      <w:keepLines w:val="0"/>
      <w:tabs>
        <w:tab w:val="left" w:pos="482"/>
      </w:tabs>
      <w:spacing w:line="500" w:lineRule="atLeast"/>
      <w:textAlignment w:val="baseline"/>
    </w:pPr>
    <w:rPr>
      <w:color w:val="000000"/>
      <w:kern w:val="0"/>
      <w:szCs w:val="20"/>
    </w:rPr>
  </w:style>
  <w:style w:type="paragraph" w:customStyle="1" w:styleId="94">
    <w:name w:val="正文文本缩进1"/>
    <w:basedOn w:val="1"/>
    <w:autoRedefine/>
    <w:qFormat/>
    <w:uiPriority w:val="0"/>
    <w:pPr>
      <w:ind w:firstLine="720" w:firstLineChars="225"/>
    </w:pPr>
    <w:rPr>
      <w:rFonts w:ascii="仿宋_GB2312" w:eastAsia="仿宋_GB2312"/>
      <w:sz w:val="32"/>
    </w:rPr>
  </w:style>
  <w:style w:type="character" w:customStyle="1" w:styleId="95">
    <w:name w:val="fontborder"/>
    <w:basedOn w:val="44"/>
    <w:autoRedefine/>
    <w:qFormat/>
    <w:uiPriority w:val="0"/>
    <w:rPr>
      <w:bdr w:val="single" w:color="000000" w:sz="6" w:space="0"/>
    </w:rPr>
  </w:style>
  <w:style w:type="character" w:customStyle="1" w:styleId="96">
    <w:name w:val="fontstrikethrough"/>
    <w:basedOn w:val="44"/>
    <w:autoRedefine/>
    <w:qFormat/>
    <w:uiPriority w:val="0"/>
    <w:rPr>
      <w:strike/>
    </w:rPr>
  </w:style>
  <w:style w:type="paragraph" w:customStyle="1" w:styleId="97">
    <w:name w:val="cucd-0"/>
    <w:autoRedefine/>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98">
    <w:name w:val="样式 样式 样式 首行缩进:  1.5 字符 + 首行缩进:  1.5 字符 + 首行缩进:  1.5 字符"/>
    <w:basedOn w:val="1"/>
    <w:autoRedefine/>
    <w:qFormat/>
    <w:uiPriority w:val="0"/>
    <w:pPr>
      <w:ind w:firstLine="150" w:firstLineChars="150"/>
    </w:pPr>
    <w:rPr>
      <w:rFonts w:cs="宋体"/>
    </w:rPr>
  </w:style>
  <w:style w:type="character" w:customStyle="1" w:styleId="99">
    <w:name w:val="apple-converted-space"/>
    <w:basedOn w:val="44"/>
    <w:autoRedefine/>
    <w:qFormat/>
    <w:uiPriority w:val="0"/>
  </w:style>
  <w:style w:type="character" w:customStyle="1" w:styleId="100">
    <w:name w:val="正文文本缩进 字符"/>
    <w:link w:val="19"/>
    <w:autoRedefine/>
    <w:qFormat/>
    <w:uiPriority w:val="0"/>
    <w:rPr>
      <w:rFonts w:ascii="仿宋_GB2312" w:eastAsia="仿宋_GB2312"/>
      <w:sz w:val="32"/>
      <w:szCs w:val="20"/>
    </w:rPr>
  </w:style>
  <w:style w:type="paragraph" w:customStyle="1" w:styleId="101">
    <w:name w:val="报告正文"/>
    <w:basedOn w:val="1"/>
    <w:autoRedefine/>
    <w:qFormat/>
    <w:uiPriority w:val="0"/>
    <w:pPr>
      <w:spacing w:line="500" w:lineRule="exact"/>
      <w:ind w:firstLine="200"/>
    </w:pPr>
    <w:rPr>
      <w:rFonts w:ascii="宋体"/>
      <w:spacing w:val="5"/>
    </w:rPr>
  </w:style>
  <w:style w:type="paragraph" w:customStyle="1" w:styleId="102">
    <w:name w:val="_Style 3"/>
    <w:basedOn w:val="1"/>
    <w:autoRedefine/>
    <w:qFormat/>
    <w:uiPriority w:val="0"/>
    <w:pPr>
      <w:ind w:firstLine="520"/>
    </w:pPr>
    <w:rPr>
      <w:rFonts w:ascii="黑体" w:hAnsi="Calibri" w:eastAsia="黑体"/>
      <w:szCs w:val="22"/>
    </w:rPr>
  </w:style>
  <w:style w:type="paragraph" w:customStyle="1" w:styleId="103">
    <w:name w:val="2"/>
    <w:basedOn w:val="1"/>
    <w:next w:val="33"/>
    <w:autoRedefine/>
    <w:qFormat/>
    <w:uiPriority w:val="0"/>
    <w:pPr>
      <w:ind w:firstLine="527"/>
    </w:pPr>
    <w:rPr>
      <w:szCs w:val="25"/>
    </w:rPr>
  </w:style>
  <w:style w:type="paragraph" w:customStyle="1" w:styleId="104">
    <w:name w:val="_Style 1"/>
    <w:basedOn w:val="1"/>
    <w:autoRedefine/>
    <w:qFormat/>
    <w:uiPriority w:val="0"/>
    <w:pPr>
      <w:ind w:firstLine="520"/>
    </w:pPr>
    <w:rPr>
      <w:rFonts w:ascii="黑体" w:hAnsi="Calibri" w:eastAsia="黑体"/>
      <w:szCs w:val="22"/>
    </w:rPr>
  </w:style>
  <w:style w:type="character" w:customStyle="1" w:styleId="105">
    <w:name w:val="标题 3 字符"/>
    <w:link w:val="4"/>
    <w:autoRedefine/>
    <w:qFormat/>
    <w:uiPriority w:val="1"/>
    <w:rPr>
      <w:rFonts w:eastAsia="黑体" w:cstheme="minorBidi"/>
      <w:kern w:val="2"/>
      <w:sz w:val="24"/>
      <w:szCs w:val="24"/>
    </w:rPr>
  </w:style>
  <w:style w:type="paragraph" w:customStyle="1" w:styleId="106">
    <w:name w:val="_Style 2"/>
    <w:basedOn w:val="1"/>
    <w:autoRedefine/>
    <w:qFormat/>
    <w:uiPriority w:val="0"/>
    <w:pPr>
      <w:ind w:firstLine="520"/>
    </w:pPr>
    <w:rPr>
      <w:rFonts w:ascii="黑体" w:hAnsi="Calibri" w:eastAsia="黑体"/>
      <w:szCs w:val="22"/>
    </w:rPr>
  </w:style>
  <w:style w:type="character" w:customStyle="1" w:styleId="107">
    <w:name w:val="正文首行缩进 Char"/>
    <w:autoRedefine/>
    <w:semiHidden/>
    <w:qFormat/>
    <w:uiPriority w:val="0"/>
    <w:rPr>
      <w:rFonts w:ascii="Arial" w:hAnsi="Arial" w:eastAsia="宋体"/>
      <w:snapToGrid w:val="0"/>
      <w:kern w:val="28"/>
      <w:sz w:val="24"/>
      <w:szCs w:val="24"/>
      <w:lang w:val="en-US" w:eastAsia="zh-CN" w:bidi="ar-SA"/>
    </w:rPr>
  </w:style>
  <w:style w:type="paragraph" w:customStyle="1" w:styleId="108">
    <w:name w:val="样式1"/>
    <w:basedOn w:val="1"/>
    <w:link w:val="117"/>
    <w:autoRedefine/>
    <w:qFormat/>
    <w:uiPriority w:val="0"/>
    <w:pPr>
      <w:widowControl/>
      <w:spacing w:line="440" w:lineRule="exact"/>
      <w:ind w:firstLine="200"/>
    </w:pPr>
    <w:rPr>
      <w:rFonts w:ascii="Arial" w:hAnsi="Arial"/>
      <w:snapToGrid w:val="0"/>
      <w:kern w:val="0"/>
    </w:rPr>
  </w:style>
  <w:style w:type="paragraph" w:customStyle="1" w:styleId="109">
    <w:name w:val="列出段落1"/>
    <w:basedOn w:val="1"/>
    <w:autoRedefine/>
    <w:qFormat/>
    <w:uiPriority w:val="34"/>
    <w:pPr>
      <w:ind w:firstLine="420"/>
    </w:pPr>
  </w:style>
  <w:style w:type="paragraph" w:customStyle="1" w:styleId="110">
    <w:name w:val="列出段落2"/>
    <w:basedOn w:val="1"/>
    <w:autoRedefine/>
    <w:qFormat/>
    <w:uiPriority w:val="99"/>
    <w:pPr>
      <w:ind w:firstLine="420"/>
    </w:pPr>
  </w:style>
  <w:style w:type="character" w:customStyle="1" w:styleId="111">
    <w:name w:val="正文缩进 字符"/>
    <w:link w:val="15"/>
    <w:autoRedefine/>
    <w:qFormat/>
    <w:uiPriority w:val="0"/>
    <w:rPr>
      <w:rFonts w:cstheme="minorBidi"/>
      <w:kern w:val="2"/>
      <w:sz w:val="24"/>
    </w:rPr>
  </w:style>
  <w:style w:type="character" w:customStyle="1" w:styleId="112">
    <w:name w:val="样式2 Char"/>
    <w:link w:val="113"/>
    <w:autoRedefine/>
    <w:qFormat/>
    <w:uiPriority w:val="0"/>
    <w:rPr>
      <w:sz w:val="24"/>
    </w:rPr>
  </w:style>
  <w:style w:type="paragraph" w:customStyle="1" w:styleId="113">
    <w:name w:val="样式2"/>
    <w:basedOn w:val="1"/>
    <w:link w:val="112"/>
    <w:autoRedefine/>
    <w:qFormat/>
    <w:uiPriority w:val="0"/>
    <w:pPr>
      <w:ind w:firstLine="200"/>
    </w:pPr>
    <w:rPr>
      <w:rFonts w:cs="Times New Roman"/>
      <w:kern w:val="0"/>
      <w:szCs w:val="20"/>
    </w:rPr>
  </w:style>
  <w:style w:type="character" w:customStyle="1" w:styleId="114">
    <w:name w:val="表格 Char"/>
    <w:link w:val="115"/>
    <w:autoRedefine/>
    <w:qFormat/>
    <w:uiPriority w:val="0"/>
    <w:rPr>
      <w:sz w:val="24"/>
    </w:rPr>
  </w:style>
  <w:style w:type="paragraph" w:customStyle="1" w:styleId="115">
    <w:name w:val="表格"/>
    <w:basedOn w:val="7"/>
    <w:next w:val="1"/>
    <w:link w:val="114"/>
    <w:autoRedefine/>
    <w:qFormat/>
    <w:uiPriority w:val="0"/>
    <w:pPr>
      <w:adjustRightInd w:val="0"/>
      <w:spacing w:line="400" w:lineRule="atLeast"/>
      <w:ind w:firstLine="0" w:firstLineChars="0"/>
      <w:jc w:val="center"/>
    </w:pPr>
    <w:rPr>
      <w:rFonts w:cs="Times New Roman"/>
      <w:kern w:val="0"/>
      <w:szCs w:val="20"/>
    </w:rPr>
  </w:style>
  <w:style w:type="character" w:customStyle="1" w:styleId="116">
    <w:name w:val="纯文本 字符"/>
    <w:link w:val="23"/>
    <w:autoRedefine/>
    <w:qFormat/>
    <w:uiPriority w:val="99"/>
    <w:rPr>
      <w:rFonts w:ascii="宋体" w:hAnsi="Courier New" w:cstheme="minorBidi"/>
      <w:kern w:val="2"/>
      <w:sz w:val="24"/>
    </w:rPr>
  </w:style>
  <w:style w:type="character" w:customStyle="1" w:styleId="117">
    <w:name w:val="样式1 Char"/>
    <w:link w:val="108"/>
    <w:autoRedefine/>
    <w:qFormat/>
    <w:uiPriority w:val="0"/>
    <w:rPr>
      <w:rFonts w:ascii="Arial" w:hAnsi="Arial" w:cstheme="minorBidi"/>
      <w:snapToGrid w:val="0"/>
      <w:sz w:val="24"/>
      <w:szCs w:val="24"/>
    </w:rPr>
  </w:style>
  <w:style w:type="paragraph" w:customStyle="1" w:styleId="118">
    <w:name w:val="reader-word-layer"/>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character" w:customStyle="1" w:styleId="119">
    <w:name w:val="正文1 Char"/>
    <w:link w:val="120"/>
    <w:autoRedefine/>
    <w:qFormat/>
    <w:uiPriority w:val="0"/>
    <w:rPr>
      <w:sz w:val="24"/>
    </w:rPr>
  </w:style>
  <w:style w:type="paragraph" w:customStyle="1" w:styleId="120">
    <w:name w:val="正文1"/>
    <w:basedOn w:val="1"/>
    <w:link w:val="119"/>
    <w:autoRedefine/>
    <w:qFormat/>
    <w:uiPriority w:val="0"/>
    <w:pPr>
      <w:adjustRightInd w:val="0"/>
      <w:snapToGrid w:val="0"/>
      <w:spacing w:line="440" w:lineRule="exact"/>
      <w:ind w:firstLine="200"/>
    </w:pPr>
    <w:rPr>
      <w:rFonts w:cs="Times New Roman"/>
      <w:kern w:val="0"/>
      <w:szCs w:val="20"/>
    </w:rPr>
  </w:style>
  <w:style w:type="character" w:customStyle="1" w:styleId="121">
    <w:name w:val="表头 Char Char Char"/>
    <w:link w:val="122"/>
    <w:autoRedefine/>
    <w:qFormat/>
    <w:uiPriority w:val="0"/>
    <w:rPr>
      <w:rFonts w:eastAsia="Cambria Math"/>
      <w:bCs/>
      <w:sz w:val="24"/>
      <w:szCs w:val="24"/>
      <w:lang w:val="zh-CN"/>
    </w:rPr>
  </w:style>
  <w:style w:type="paragraph" w:customStyle="1" w:styleId="122">
    <w:name w:val="表头"/>
    <w:basedOn w:val="1"/>
    <w:next w:val="1"/>
    <w:link w:val="121"/>
    <w:autoRedefine/>
    <w:qFormat/>
    <w:uiPriority w:val="0"/>
    <w:pPr>
      <w:adjustRightInd w:val="0"/>
      <w:snapToGrid w:val="0"/>
      <w:spacing w:before="60" w:after="60" w:line="240" w:lineRule="auto"/>
      <w:ind w:firstLine="0" w:firstLineChars="0"/>
      <w:jc w:val="center"/>
    </w:pPr>
    <w:rPr>
      <w:rFonts w:eastAsia="Cambria Math" w:cs="Times New Roman"/>
      <w:bCs/>
      <w:kern w:val="0"/>
      <w:lang w:val="zh-CN"/>
    </w:rPr>
  </w:style>
  <w:style w:type="paragraph" w:customStyle="1" w:styleId="123">
    <w:name w:val="武正文"/>
    <w:basedOn w:val="1"/>
    <w:autoRedefine/>
    <w:qFormat/>
    <w:uiPriority w:val="0"/>
    <w:pPr>
      <w:adjustRightInd w:val="0"/>
      <w:snapToGrid w:val="0"/>
      <w:ind w:firstLine="200"/>
    </w:pPr>
    <w:rPr>
      <w:rFonts w:hAnsi="宋体" w:cs="Times New Roman"/>
      <w:color w:val="000000"/>
    </w:rPr>
  </w:style>
  <w:style w:type="character" w:customStyle="1" w:styleId="124">
    <w:name w:val="标题 字符"/>
    <w:basedOn w:val="44"/>
    <w:link w:val="39"/>
    <w:autoRedefine/>
    <w:qFormat/>
    <w:uiPriority w:val="0"/>
    <w:rPr>
      <w:rFonts w:asciiTheme="majorHAnsi" w:hAnsiTheme="majorHAnsi" w:eastAsiaTheme="majorEastAsia" w:cstheme="majorBidi"/>
      <w:b/>
      <w:bCs/>
      <w:kern w:val="2"/>
      <w:sz w:val="32"/>
      <w:szCs w:val="32"/>
    </w:rPr>
  </w:style>
  <w:style w:type="paragraph" w:customStyle="1" w:styleId="125">
    <w:name w:val="TOC 标题1"/>
    <w:basedOn w:val="2"/>
    <w:next w:val="1"/>
    <w:autoRedefine/>
    <w:unhideWhenUsed/>
    <w:qFormat/>
    <w:uiPriority w:val="39"/>
    <w:pPr>
      <w:widowControl/>
      <w:numPr>
        <w:numId w:val="0"/>
      </w:numPr>
      <w:spacing w:before="480" w:line="276" w:lineRule="auto"/>
      <w:outlineLvl w:val="9"/>
    </w:pPr>
    <w:rPr>
      <w:rFonts w:asciiTheme="majorHAnsi" w:hAnsiTheme="majorHAnsi" w:eastAsiaTheme="majorEastAsia" w:cstheme="majorBidi"/>
      <w:bCs/>
      <w:color w:val="2E75B6" w:themeColor="accent1" w:themeShade="BF"/>
      <w:kern w:val="0"/>
      <w:sz w:val="28"/>
      <w:szCs w:val="28"/>
    </w:rPr>
  </w:style>
  <w:style w:type="character" w:customStyle="1" w:styleId="126">
    <w:name w:val="正文缩进 Char"/>
    <w:basedOn w:val="44"/>
    <w:autoRedefine/>
    <w:qFormat/>
    <w:uiPriority w:val="0"/>
    <w:rPr>
      <w:rFonts w:eastAsia="宋体"/>
      <w:kern w:val="2"/>
      <w:sz w:val="21"/>
      <w:szCs w:val="24"/>
      <w:lang w:val="en-US" w:eastAsia="zh-CN" w:bidi="ar-SA"/>
    </w:rPr>
  </w:style>
  <w:style w:type="paragraph" w:customStyle="1" w:styleId="127">
    <w:name w:val="正文四号"/>
    <w:basedOn w:val="1"/>
    <w:autoRedefine/>
    <w:qFormat/>
    <w:uiPriority w:val="0"/>
    <w:pPr>
      <w:adjustRightInd w:val="0"/>
      <w:snapToGrid w:val="0"/>
      <w:ind w:right="960" w:firstLine="0" w:firstLineChars="0"/>
      <w:jc w:val="center"/>
      <w:textAlignment w:val="baseline"/>
    </w:pPr>
    <w:rPr>
      <w:rFonts w:hAnsi="宋体" w:cs="Times New Roman"/>
      <w:b/>
      <w:color w:val="000000"/>
      <w:kern w:val="0"/>
      <w:szCs w:val="20"/>
    </w:rPr>
  </w:style>
  <w:style w:type="paragraph" w:customStyle="1" w:styleId="128">
    <w:name w:val="内容11"/>
    <w:basedOn w:val="23"/>
    <w:autoRedefine/>
    <w:qFormat/>
    <w:uiPriority w:val="0"/>
    <w:pPr>
      <w:adjustRightInd w:val="0"/>
      <w:ind w:right="-92" w:rightChars="-44" w:firstLine="415" w:firstLineChars="179"/>
      <w:textAlignment w:val="baseline"/>
    </w:pPr>
    <w:rPr>
      <w:rFonts w:hAnsi="宋体" w:cs="宋体"/>
      <w:spacing w:val="-4"/>
      <w:position w:val="6"/>
      <w:szCs w:val="24"/>
    </w:rPr>
  </w:style>
  <w:style w:type="paragraph" w:customStyle="1" w:styleId="129">
    <w:name w:val="样式 Times New Roman 加粗 两端对齐 首行缩进:  0.85 厘米 行距: 固定值 22 磅"/>
    <w:basedOn w:val="1"/>
    <w:autoRedefine/>
    <w:qFormat/>
    <w:uiPriority w:val="0"/>
    <w:pPr>
      <w:widowControl/>
      <w:spacing w:line="440" w:lineRule="exact"/>
      <w:ind w:firstLine="200"/>
    </w:pPr>
    <w:rPr>
      <w:rFonts w:cs="宋体"/>
      <w:b/>
      <w:bCs/>
      <w:kern w:val="0"/>
    </w:rPr>
  </w:style>
  <w:style w:type="paragraph" w:customStyle="1" w:styleId="130">
    <w:name w:val="xl28"/>
    <w:basedOn w:val="1"/>
    <w:autoRedefine/>
    <w:qFormat/>
    <w:uiPriority w:val="0"/>
    <w:pPr>
      <w:widowControl/>
      <w:pBdr>
        <w:bottom w:val="single" w:color="auto" w:sz="4" w:space="0"/>
        <w:right w:val="single" w:color="auto" w:sz="4" w:space="0"/>
      </w:pBdr>
      <w:spacing w:before="100" w:beforeAutospacing="1" w:after="100" w:afterAutospacing="1"/>
      <w:jc w:val="center"/>
      <w:textAlignment w:val="top"/>
    </w:pPr>
    <w:rPr>
      <w:kern w:val="0"/>
    </w:rPr>
  </w:style>
  <w:style w:type="paragraph" w:customStyle="1" w:styleId="131">
    <w:name w:val="列出段落3"/>
    <w:basedOn w:val="1"/>
    <w:autoRedefine/>
    <w:qFormat/>
    <w:uiPriority w:val="0"/>
    <w:pPr>
      <w:ind w:firstLine="420"/>
    </w:pPr>
    <w:rPr>
      <w:rFonts w:ascii="@仿宋_GB2312" w:hAnsi="@仿宋_GB2312" w:cs="@仿宋_GB2312"/>
      <w:szCs w:val="20"/>
    </w:rPr>
  </w:style>
  <w:style w:type="paragraph" w:customStyle="1" w:styleId="132">
    <w:name w:val="表文"/>
    <w:basedOn w:val="1"/>
    <w:next w:val="1"/>
    <w:autoRedefine/>
    <w:qFormat/>
    <w:uiPriority w:val="0"/>
    <w:pPr>
      <w:spacing w:line="360" w:lineRule="exact"/>
      <w:ind w:firstLine="200"/>
      <w:jc w:val="center"/>
    </w:pPr>
    <w:rPr>
      <w:kern w:val="0"/>
      <w:szCs w:val="20"/>
    </w:rPr>
  </w:style>
  <w:style w:type="paragraph" w:customStyle="1" w:styleId="133">
    <w:name w:val="正文(首行缩进)"/>
    <w:basedOn w:val="1"/>
    <w:autoRedefine/>
    <w:qFormat/>
    <w:uiPriority w:val="0"/>
    <w:pPr>
      <w:adjustRightInd w:val="0"/>
      <w:snapToGrid w:val="0"/>
      <w:ind w:firstLine="200"/>
    </w:pPr>
    <w:rPr>
      <w:rFonts w:eastAsia="Sim Sun"/>
      <w:snapToGrid w:val="0"/>
      <w:kern w:val="0"/>
    </w:rPr>
  </w:style>
  <w:style w:type="paragraph" w:customStyle="1" w:styleId="134">
    <w:name w:val="样式 样式 样式 样式 正文 + 首行缩进:  2 字符 + 首行缩进:  2 字符 + 首行缩进:  2 字符 +"/>
    <w:basedOn w:val="1"/>
    <w:autoRedefine/>
    <w:qFormat/>
    <w:uiPriority w:val="0"/>
    <w:pPr>
      <w:ind w:firstLine="200"/>
    </w:pPr>
    <w:rPr>
      <w:rFonts w:ascii="宋体" w:hAnsi="宋体" w:cs="宋体"/>
      <w:kern w:val="0"/>
    </w:rPr>
  </w:style>
  <w:style w:type="paragraph" w:customStyle="1" w:styleId="135">
    <w:name w:val="xl32"/>
    <w:basedOn w:val="1"/>
    <w:autoRedefine/>
    <w:qFormat/>
    <w:uiPriority w:val="0"/>
    <w:pPr>
      <w:widowControl/>
      <w:pBdr>
        <w:left w:val="single" w:color="auto" w:sz="4" w:space="0"/>
        <w:bottom w:val="single" w:color="auto" w:sz="4" w:space="0"/>
        <w:right w:val="single" w:color="auto" w:sz="4" w:space="0"/>
      </w:pBdr>
      <w:spacing w:before="100" w:after="100"/>
      <w:jc w:val="center"/>
    </w:pPr>
    <w:rPr>
      <w:rFonts w:ascii="仿宋_GB2312" w:hAnsi="宋体" w:eastAsia="仿宋_GB2312"/>
      <w:kern w:val="0"/>
      <w:szCs w:val="20"/>
    </w:rPr>
  </w:style>
  <w:style w:type="paragraph" w:customStyle="1" w:styleId="136">
    <w:name w:val="标题111"/>
    <w:basedOn w:val="1"/>
    <w:autoRedefine/>
    <w:qFormat/>
    <w:uiPriority w:val="0"/>
    <w:rPr>
      <w:b/>
    </w:rPr>
  </w:style>
  <w:style w:type="paragraph" w:customStyle="1" w:styleId="137">
    <w:name w:val="文"/>
    <w:basedOn w:val="1"/>
    <w:autoRedefine/>
    <w:qFormat/>
    <w:uiPriority w:val="0"/>
    <w:pPr>
      <w:ind w:firstLine="480"/>
    </w:pPr>
  </w:style>
  <w:style w:type="paragraph" w:customStyle="1" w:styleId="138">
    <w:name w:val="正文2"/>
    <w:basedOn w:val="1"/>
    <w:autoRedefine/>
    <w:qFormat/>
    <w:uiPriority w:val="0"/>
    <w:pPr>
      <w:ind w:firstLine="480"/>
    </w:pPr>
    <w:rPr>
      <w:rFonts w:ascii="宋体" w:hAnsi="宋体"/>
    </w:rPr>
  </w:style>
  <w:style w:type="paragraph" w:customStyle="1" w:styleId="139">
    <w:name w:val="5zw"/>
    <w:basedOn w:val="1"/>
    <w:autoRedefine/>
    <w:qFormat/>
    <w:uiPriority w:val="0"/>
    <w:pPr>
      <w:autoSpaceDE w:val="0"/>
      <w:autoSpaceDN w:val="0"/>
      <w:adjustRightInd w:val="0"/>
      <w:ind w:firstLine="480"/>
    </w:pPr>
    <w:rPr>
      <w:snapToGrid w:val="0"/>
      <w:kern w:val="0"/>
    </w:rPr>
  </w:style>
  <w:style w:type="paragraph" w:customStyle="1" w:styleId="140">
    <w:name w:val="ae正文zzzzzzzz"/>
    <w:basedOn w:val="1"/>
    <w:link w:val="144"/>
    <w:autoRedefine/>
    <w:qFormat/>
    <w:uiPriority w:val="0"/>
    <w:pPr>
      <w:ind w:firstLine="1092"/>
    </w:pPr>
    <w:rPr>
      <w:kern w:val="0"/>
      <w:szCs w:val="20"/>
    </w:rPr>
  </w:style>
  <w:style w:type="paragraph" w:customStyle="1" w:styleId="141">
    <w:name w:val="a表内第一行zzzzzzzzzz"/>
    <w:basedOn w:val="142"/>
    <w:autoRedefine/>
    <w:qFormat/>
    <w:uiPriority w:val="0"/>
    <w:rPr>
      <w:b/>
    </w:rPr>
  </w:style>
  <w:style w:type="paragraph" w:customStyle="1" w:styleId="142">
    <w:name w:val="a表内格式zzzzzzz"/>
    <w:basedOn w:val="1"/>
    <w:next w:val="143"/>
    <w:autoRedefine/>
    <w:qFormat/>
    <w:uiPriority w:val="0"/>
    <w:pPr>
      <w:spacing w:line="300" w:lineRule="exact"/>
      <w:jc w:val="center"/>
    </w:pPr>
    <w:rPr>
      <w:rFonts w:cs="宋体"/>
      <w:szCs w:val="20"/>
    </w:rPr>
  </w:style>
  <w:style w:type="paragraph" w:customStyle="1" w:styleId="143">
    <w:name w:val="a表后第一行zzzzzzzzzzzzzz"/>
    <w:basedOn w:val="1"/>
    <w:autoRedefine/>
    <w:qFormat/>
    <w:uiPriority w:val="0"/>
    <w:pPr>
      <w:spacing w:before="50" w:beforeLines="50"/>
      <w:ind w:firstLine="1092"/>
    </w:pPr>
    <w:rPr>
      <w:rFonts w:cs="宋体"/>
      <w:szCs w:val="20"/>
    </w:rPr>
  </w:style>
  <w:style w:type="character" w:customStyle="1" w:styleId="144">
    <w:name w:val="ae正文zzzzzzzz Char"/>
    <w:link w:val="140"/>
    <w:autoRedefine/>
    <w:qFormat/>
    <w:uiPriority w:val="0"/>
    <w:rPr>
      <w:kern w:val="0"/>
      <w:sz w:val="24"/>
      <w:szCs w:val="20"/>
    </w:rPr>
  </w:style>
  <w:style w:type="paragraph" w:customStyle="1" w:styleId="145">
    <w:name w:val="样式 样式 正文（赵志杰） + 首行缩进:  0 字符 + 行距: 固定值 24 磅"/>
    <w:basedOn w:val="1"/>
    <w:autoRedefine/>
    <w:qFormat/>
    <w:uiPriority w:val="0"/>
    <w:pPr>
      <w:ind w:firstLine="200"/>
    </w:pPr>
    <w:rPr>
      <w:rFonts w:cs="宋体"/>
      <w:szCs w:val="20"/>
    </w:rPr>
  </w:style>
  <w:style w:type="paragraph" w:customStyle="1" w:styleId="146">
    <w:name w:val="正文缩进1"/>
    <w:basedOn w:val="1"/>
    <w:autoRedefine/>
    <w:qFormat/>
    <w:uiPriority w:val="0"/>
    <w:pPr>
      <w:adjustRightInd w:val="0"/>
      <w:spacing w:line="480" w:lineRule="atLeast"/>
      <w:ind w:firstLine="595"/>
      <w:textAlignment w:val="baseline"/>
    </w:pPr>
    <w:rPr>
      <w:kern w:val="0"/>
      <w:sz w:val="28"/>
      <w:szCs w:val="20"/>
    </w:rPr>
  </w:style>
  <w:style w:type="paragraph" w:customStyle="1" w:styleId="147">
    <w:name w:val="S正文段落"/>
    <w:basedOn w:val="1"/>
    <w:autoRedefine/>
    <w:qFormat/>
    <w:uiPriority w:val="0"/>
    <w:pPr>
      <w:snapToGrid w:val="0"/>
      <w:ind w:firstLine="200"/>
    </w:pPr>
    <w:rPr>
      <w:kern w:val="0"/>
    </w:rPr>
  </w:style>
  <w:style w:type="character" w:customStyle="1" w:styleId="148">
    <w:name w:val="font31"/>
    <w:autoRedefine/>
    <w:qFormat/>
    <w:uiPriority w:val="0"/>
    <w:rPr>
      <w:rFonts w:hint="default" w:ascii="Times New Roman" w:hAnsi="Times New Roman" w:cs="Times New Roman"/>
      <w:b/>
      <w:color w:val="000000"/>
      <w:sz w:val="21"/>
      <w:szCs w:val="21"/>
      <w:u w:val="none"/>
    </w:rPr>
  </w:style>
  <w:style w:type="character" w:customStyle="1" w:styleId="149">
    <w:name w:val="font61"/>
    <w:autoRedefine/>
    <w:qFormat/>
    <w:uiPriority w:val="0"/>
    <w:rPr>
      <w:rFonts w:hint="default" w:ascii="Times New Roman" w:hAnsi="Times New Roman" w:cs="Times New Roman"/>
      <w:color w:val="000000"/>
      <w:sz w:val="21"/>
      <w:szCs w:val="21"/>
      <w:u w:val="none"/>
      <w:vertAlign w:val="superscript"/>
    </w:rPr>
  </w:style>
  <w:style w:type="paragraph" w:customStyle="1" w:styleId="150">
    <w:name w:val="ac三级标题zzzzz"/>
    <w:basedOn w:val="1"/>
    <w:next w:val="140"/>
    <w:autoRedefine/>
    <w:qFormat/>
    <w:uiPriority w:val="0"/>
    <w:pPr>
      <w:keepNext/>
      <w:keepLines/>
      <w:ind w:firstLine="0" w:firstLineChars="0"/>
      <w:outlineLvl w:val="2"/>
    </w:pPr>
    <w:rPr>
      <w:rFonts w:eastAsia="黑体" w:cs="宋体"/>
      <w:bCs/>
      <w:szCs w:val="20"/>
    </w:rPr>
  </w:style>
  <w:style w:type="paragraph" w:customStyle="1" w:styleId="151">
    <w:name w:val="a表头zzzzzzzzzzzzzz"/>
    <w:basedOn w:val="1"/>
    <w:next w:val="141"/>
    <w:autoRedefine/>
    <w:qFormat/>
    <w:uiPriority w:val="0"/>
    <w:pPr>
      <w:spacing w:before="62" w:after="62"/>
      <w:jc w:val="center"/>
    </w:pPr>
    <w:rPr>
      <w:rFonts w:eastAsia="黑体" w:cs="宋体"/>
      <w:szCs w:val="20"/>
    </w:rPr>
  </w:style>
  <w:style w:type="character" w:customStyle="1" w:styleId="152">
    <w:name w:val="hover28"/>
    <w:basedOn w:val="44"/>
    <w:autoRedefine/>
    <w:qFormat/>
    <w:uiPriority w:val="0"/>
  </w:style>
  <w:style w:type="character" w:customStyle="1" w:styleId="153">
    <w:name w:val="bsharetext"/>
    <w:basedOn w:val="44"/>
    <w:autoRedefine/>
    <w:qFormat/>
    <w:uiPriority w:val="0"/>
  </w:style>
  <w:style w:type="paragraph" w:customStyle="1" w:styleId="154">
    <w:name w:val="表内"/>
    <w:basedOn w:val="1"/>
    <w:autoRedefine/>
    <w:qFormat/>
    <w:uiPriority w:val="0"/>
    <w:pPr>
      <w:spacing w:line="240" w:lineRule="auto"/>
      <w:ind w:firstLine="0" w:firstLineChars="0"/>
      <w:jc w:val="center"/>
    </w:pPr>
    <w:rPr>
      <w:sz w:val="21"/>
    </w:rPr>
  </w:style>
  <w:style w:type="paragraph" w:customStyle="1" w:styleId="155">
    <w:name w:val="No Spacing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6">
    <w:name w:val="2级标题2"/>
    <w:basedOn w:val="1"/>
    <w:autoRedefine/>
    <w:qFormat/>
    <w:uiPriority w:val="0"/>
    <w:pPr>
      <w:autoSpaceDE w:val="0"/>
      <w:autoSpaceDN w:val="0"/>
      <w:adjustRightInd w:val="0"/>
      <w:outlineLvl w:val="1"/>
    </w:pPr>
    <w:rPr>
      <w:rFonts w:ascii="仿宋_GB2312" w:hAnsi="仿宋_GB2312" w:cs="宋体"/>
      <w:b/>
      <w:sz w:val="30"/>
      <w:szCs w:val="30"/>
    </w:rPr>
  </w:style>
  <w:style w:type="paragraph" w:styleId="157">
    <w:name w:val="List Paragraph"/>
    <w:basedOn w:val="1"/>
    <w:autoRedefine/>
    <w:qFormat/>
    <w:uiPriority w:val="1"/>
    <w:pPr>
      <w:ind w:firstLine="420"/>
    </w:pPr>
  </w:style>
  <w:style w:type="paragraph" w:customStyle="1" w:styleId="158">
    <w:name w:val="样式 四号 首行缩进:  2 字符"/>
    <w:basedOn w:val="1"/>
    <w:autoRedefine/>
    <w:qFormat/>
    <w:uiPriority w:val="0"/>
    <w:pPr>
      <w:spacing w:line="480" w:lineRule="atLeast"/>
      <w:ind w:firstLine="200"/>
    </w:pPr>
  </w:style>
  <w:style w:type="paragraph" w:styleId="159">
    <w:name w:val="No Spacing"/>
    <w:next w:val="23"/>
    <w:autoRedefine/>
    <w:qFormat/>
    <w:uiPriority w:val="0"/>
    <w:pPr>
      <w:widowControl w:val="0"/>
      <w:tabs>
        <w:tab w:val="center" w:pos="501"/>
      </w:tabs>
      <w:snapToGrid w:val="0"/>
      <w:jc w:val="center"/>
    </w:pPr>
    <w:rPr>
      <w:rFonts w:ascii="Times New Roman" w:hAnsi="Times New Roman" w:eastAsia="宋体" w:cs="Times New Roman"/>
      <w:color w:val="000000"/>
      <w:sz w:val="21"/>
      <w:szCs w:val="21"/>
      <w:lang w:val="en-US" w:eastAsia="zh-CN" w:bidi="en-US"/>
    </w:rPr>
  </w:style>
  <w:style w:type="table" w:customStyle="1" w:styleId="160">
    <w:name w:val="TableGrid"/>
    <w:autoRedefine/>
    <w:qFormat/>
    <w:uiPriority w:val="0"/>
    <w:tblPr>
      <w:tblCellMar>
        <w:top w:w="0" w:type="dxa"/>
        <w:left w:w="0" w:type="dxa"/>
        <w:bottom w:w="0" w:type="dxa"/>
        <w:right w:w="0" w:type="dxa"/>
      </w:tblCellMar>
    </w:tblPr>
  </w:style>
  <w:style w:type="paragraph" w:customStyle="1" w:styleId="161">
    <w:name w:val="样式 正文文字 +"/>
    <w:basedOn w:val="7"/>
    <w:autoRedefine/>
    <w:qFormat/>
    <w:uiPriority w:val="0"/>
    <w:pPr>
      <w:widowControl/>
      <w:adjustRightInd w:val="0"/>
      <w:spacing w:before="60" w:after="60" w:line="264" w:lineRule="auto"/>
      <w:ind w:firstLine="110" w:firstLineChars="110"/>
      <w:jc w:val="left"/>
      <w:textAlignment w:val="baseline"/>
    </w:pPr>
    <w:rPr>
      <w:rFonts w:eastAsia="仿宋_GB2312"/>
      <w:szCs w:val="20"/>
    </w:rPr>
  </w:style>
  <w:style w:type="paragraph" w:customStyle="1" w:styleId="162">
    <w:name w:val="lyb表头"/>
    <w:basedOn w:val="1"/>
    <w:autoRedefine/>
    <w:qFormat/>
    <w:uiPriority w:val="0"/>
    <w:pPr>
      <w:jc w:val="center"/>
    </w:pPr>
    <w:rPr>
      <w:b/>
    </w:rPr>
  </w:style>
  <w:style w:type="table" w:customStyle="1" w:styleId="163">
    <w:name w:val="网格型c5"/>
    <w:basedOn w:val="42"/>
    <w:autoRedefine/>
    <w:qFormat/>
    <w:uiPriority w:val="39"/>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4">
    <w:name w:val="样式 正文@ + 首行缩进:  2 字符"/>
    <w:basedOn w:val="1"/>
    <w:autoRedefine/>
    <w:qFormat/>
    <w:uiPriority w:val="0"/>
    <w:pPr>
      <w:ind w:firstLine="200"/>
    </w:pPr>
    <w:rPr>
      <w:rFonts w:ascii="宋体" w:hAnsi="宋体" w:cs="宋体"/>
    </w:rPr>
  </w:style>
  <w:style w:type="paragraph" w:customStyle="1" w:styleId="165">
    <w:name w:val="Table Paragraph"/>
    <w:basedOn w:val="1"/>
    <w:autoRedefine/>
    <w:qFormat/>
    <w:uiPriority w:val="1"/>
  </w:style>
  <w:style w:type="character" w:customStyle="1" w:styleId="166">
    <w:name w:val="hover29"/>
    <w:basedOn w:val="44"/>
    <w:autoRedefine/>
    <w:qFormat/>
    <w:uiPriority w:val="0"/>
  </w:style>
  <w:style w:type="character" w:customStyle="1" w:styleId="167">
    <w:name w:val="hover"/>
    <w:basedOn w:val="44"/>
    <w:autoRedefine/>
    <w:qFormat/>
    <w:uiPriority w:val="0"/>
  </w:style>
  <w:style w:type="character" w:customStyle="1" w:styleId="168">
    <w:name w:val="radio-btn"/>
    <w:basedOn w:val="44"/>
    <w:autoRedefine/>
    <w:qFormat/>
    <w:uiPriority w:val="0"/>
  </w:style>
  <w:style w:type="character" w:customStyle="1" w:styleId="169">
    <w:name w:val="lable"/>
    <w:basedOn w:val="44"/>
    <w:autoRedefine/>
    <w:qFormat/>
    <w:uiPriority w:val="0"/>
    <w:rPr>
      <w:sz w:val="19"/>
      <w:szCs w:val="19"/>
    </w:rPr>
  </w:style>
  <w:style w:type="character" w:customStyle="1" w:styleId="170">
    <w:name w:val="hover34"/>
    <w:basedOn w:val="44"/>
    <w:autoRedefine/>
    <w:qFormat/>
    <w:uiPriority w:val="0"/>
  </w:style>
  <w:style w:type="character" w:customStyle="1" w:styleId="171">
    <w:name w:val="cur1"/>
    <w:basedOn w:val="44"/>
    <w:autoRedefine/>
    <w:qFormat/>
    <w:uiPriority w:val="0"/>
    <w:rPr>
      <w:color w:val="FFFFFF"/>
      <w:shd w:val="clear" w:color="auto" w:fill="0C79CC"/>
    </w:rPr>
  </w:style>
  <w:style w:type="character" w:customStyle="1" w:styleId="172">
    <w:name w:val="hover33"/>
    <w:basedOn w:val="44"/>
    <w:autoRedefine/>
    <w:qFormat/>
    <w:uiPriority w:val="0"/>
  </w:style>
  <w:style w:type="character" w:customStyle="1" w:styleId="173">
    <w:name w:val="hover30"/>
    <w:basedOn w:val="44"/>
    <w:autoRedefine/>
    <w:qFormat/>
    <w:uiPriority w:val="0"/>
  </w:style>
  <w:style w:type="character" w:customStyle="1" w:styleId="174">
    <w:name w:val="cur"/>
    <w:basedOn w:val="44"/>
    <w:autoRedefine/>
    <w:qFormat/>
    <w:uiPriority w:val="0"/>
    <w:rPr>
      <w:color w:val="FFFFFF"/>
      <w:shd w:val="clear" w:color="auto" w:fill="0C79CC"/>
    </w:rPr>
  </w:style>
  <w:style w:type="character" w:customStyle="1" w:styleId="175">
    <w:name w:val="hover31"/>
    <w:basedOn w:val="44"/>
    <w:autoRedefine/>
    <w:qFormat/>
    <w:uiPriority w:val="0"/>
  </w:style>
  <w:style w:type="character" w:customStyle="1" w:styleId="176">
    <w:name w:val="hover32"/>
    <w:basedOn w:val="44"/>
    <w:autoRedefine/>
    <w:qFormat/>
    <w:uiPriority w:val="0"/>
  </w:style>
  <w:style w:type="character" w:customStyle="1" w:styleId="177">
    <w:name w:val="tlewh"/>
    <w:basedOn w:val="44"/>
    <w:autoRedefine/>
    <w:qFormat/>
    <w:uiPriority w:val="0"/>
  </w:style>
  <w:style w:type="character" w:customStyle="1" w:styleId="178">
    <w:name w:val="current"/>
    <w:basedOn w:val="44"/>
    <w:autoRedefine/>
    <w:qFormat/>
    <w:uiPriority w:val="0"/>
    <w:rPr>
      <w:color w:val="D90606"/>
    </w:rPr>
  </w:style>
  <w:style w:type="character" w:customStyle="1" w:styleId="179">
    <w:name w:val="red"/>
    <w:basedOn w:val="44"/>
    <w:autoRedefine/>
    <w:qFormat/>
    <w:uiPriority w:val="0"/>
    <w:rPr>
      <w:color w:val="E91C1C"/>
    </w:rPr>
  </w:style>
  <w:style w:type="character" w:customStyle="1" w:styleId="180">
    <w:name w:val="red1"/>
    <w:basedOn w:val="44"/>
    <w:autoRedefine/>
    <w:qFormat/>
    <w:uiPriority w:val="0"/>
    <w:rPr>
      <w:color w:val="D90505"/>
    </w:rPr>
  </w:style>
  <w:style w:type="character" w:customStyle="1" w:styleId="181">
    <w:name w:val="red2"/>
    <w:basedOn w:val="44"/>
    <w:autoRedefine/>
    <w:qFormat/>
    <w:uiPriority w:val="0"/>
    <w:rPr>
      <w:color w:val="E91B1B"/>
    </w:rPr>
  </w:style>
  <w:style w:type="character" w:customStyle="1" w:styleId="182">
    <w:name w:val="gray"/>
    <w:basedOn w:val="44"/>
    <w:autoRedefine/>
    <w:qFormat/>
    <w:uiPriority w:val="0"/>
    <w:rPr>
      <w:color w:val="999999"/>
      <w:sz w:val="18"/>
      <w:szCs w:val="18"/>
    </w:rPr>
  </w:style>
  <w:style w:type="character" w:customStyle="1" w:styleId="183">
    <w:name w:val="on1"/>
    <w:basedOn w:val="44"/>
    <w:autoRedefine/>
    <w:qFormat/>
    <w:uiPriority w:val="0"/>
    <w:rPr>
      <w:color w:val="FFFFFF"/>
      <w:shd w:val="clear" w:color="auto" w:fill="D90606"/>
    </w:rPr>
  </w:style>
  <w:style w:type="character" w:customStyle="1" w:styleId="184">
    <w:name w:val="on"/>
    <w:basedOn w:val="44"/>
    <w:autoRedefine/>
    <w:qFormat/>
    <w:uiPriority w:val="0"/>
    <w:rPr>
      <w:color w:val="FFFFFF"/>
      <w:shd w:val="clear" w:color="auto" w:fill="D90606"/>
    </w:rPr>
  </w:style>
  <w:style w:type="character" w:customStyle="1" w:styleId="185">
    <w:name w:val="表格内字体 Char91"/>
    <w:autoRedefine/>
    <w:qFormat/>
    <w:uiPriority w:val="99"/>
    <w:rPr>
      <w:rFonts w:ascii="宋体" w:hAnsi="宋体" w:eastAsia="宋体"/>
      <w:kern w:val="2"/>
      <w:sz w:val="21"/>
      <w:szCs w:val="24"/>
      <w:lang w:val="en-US" w:eastAsia="zh-CN" w:bidi="ar-SA"/>
    </w:rPr>
  </w:style>
  <w:style w:type="paragraph" w:customStyle="1" w:styleId="186">
    <w:name w:val="表格头"/>
    <w:basedOn w:val="1"/>
    <w:link w:val="193"/>
    <w:autoRedefine/>
    <w:qFormat/>
    <w:uiPriority w:val="99"/>
    <w:pPr>
      <w:overflowPunct w:val="0"/>
      <w:autoSpaceDE w:val="0"/>
      <w:autoSpaceDN w:val="0"/>
      <w:jc w:val="center"/>
    </w:pPr>
    <w:rPr>
      <w:rFonts w:cs="Times New Roman"/>
      <w:b/>
      <w:color w:val="000000"/>
      <w:kern w:val="0"/>
    </w:rPr>
  </w:style>
  <w:style w:type="paragraph" w:customStyle="1" w:styleId="187">
    <w:name w:val="环评正文"/>
    <w:basedOn w:val="1"/>
    <w:autoRedefine/>
    <w:qFormat/>
    <w:uiPriority w:val="0"/>
    <w:pPr>
      <w:ind w:firstLine="200"/>
    </w:pPr>
  </w:style>
  <w:style w:type="table" w:customStyle="1" w:styleId="188">
    <w:name w:val="Table Normal"/>
    <w:autoRedefine/>
    <w:semiHidden/>
    <w:unhideWhenUsed/>
    <w:qFormat/>
    <w:uiPriority w:val="0"/>
    <w:tblPr>
      <w:tblCellMar>
        <w:top w:w="0" w:type="dxa"/>
        <w:left w:w="0" w:type="dxa"/>
        <w:bottom w:w="0" w:type="dxa"/>
        <w:right w:w="0" w:type="dxa"/>
      </w:tblCellMar>
    </w:tblPr>
  </w:style>
  <w:style w:type="paragraph" w:customStyle="1" w:styleId="189">
    <w:name w:val="报告表格"/>
    <w:basedOn w:val="1"/>
    <w:autoRedefine/>
    <w:qFormat/>
    <w:uiPriority w:val="0"/>
    <w:pPr>
      <w:autoSpaceDE w:val="0"/>
      <w:autoSpaceDN w:val="0"/>
      <w:adjustRightInd w:val="0"/>
      <w:spacing w:before="40" w:after="40"/>
      <w:ind w:firstLine="200"/>
      <w:jc w:val="center"/>
      <w:textAlignment w:val="bottom"/>
    </w:pPr>
    <w:rPr>
      <w:kern w:val="0"/>
      <w:szCs w:val="20"/>
      <w:lang w:val="en-GB" w:eastAsia="zh-TW"/>
    </w:rPr>
  </w:style>
  <w:style w:type="paragraph" w:customStyle="1" w:styleId="190">
    <w:name w:val="萝卜"/>
    <w:basedOn w:val="1"/>
    <w:autoRedefine/>
    <w:qFormat/>
    <w:uiPriority w:val="0"/>
    <w:pPr>
      <w:tabs>
        <w:tab w:val="left" w:pos="540"/>
      </w:tabs>
      <w:ind w:firstLine="200"/>
    </w:pPr>
    <w:rPr>
      <w:kern w:val="24"/>
    </w:rPr>
  </w:style>
  <w:style w:type="paragraph" w:customStyle="1" w:styleId="191">
    <w:name w:val="Tab"/>
    <w:basedOn w:val="1"/>
    <w:autoRedefine/>
    <w:qFormat/>
    <w:uiPriority w:val="0"/>
    <w:pPr>
      <w:jc w:val="center"/>
    </w:pPr>
    <w:rPr>
      <w:kern w:val="0"/>
      <w:sz w:val="20"/>
    </w:rPr>
  </w:style>
  <w:style w:type="character" w:customStyle="1" w:styleId="192">
    <w:name w:val="正文文本 字符"/>
    <w:basedOn w:val="44"/>
    <w:link w:val="7"/>
    <w:autoRedefine/>
    <w:qFormat/>
    <w:uiPriority w:val="99"/>
    <w:rPr>
      <w:rFonts w:cstheme="minorBidi"/>
      <w:kern w:val="2"/>
      <w:sz w:val="24"/>
      <w:szCs w:val="24"/>
    </w:rPr>
  </w:style>
  <w:style w:type="character" w:customStyle="1" w:styleId="193">
    <w:name w:val="表格头 Char"/>
    <w:link w:val="186"/>
    <w:autoRedefine/>
    <w:qFormat/>
    <w:uiPriority w:val="99"/>
    <w:rPr>
      <w:b/>
      <w:color w:val="000000"/>
      <w:sz w:val="24"/>
      <w:szCs w:val="24"/>
    </w:rPr>
  </w:style>
  <w:style w:type="character" w:customStyle="1" w:styleId="194">
    <w:name w:val="正文3.5 Char Char"/>
    <w:link w:val="195"/>
    <w:autoRedefine/>
    <w:qFormat/>
    <w:uiPriority w:val="0"/>
    <w:rPr>
      <w:snapToGrid w:val="0"/>
      <w:sz w:val="24"/>
      <w:szCs w:val="24"/>
    </w:rPr>
  </w:style>
  <w:style w:type="paragraph" w:customStyle="1" w:styleId="195">
    <w:name w:val="正文3.5"/>
    <w:basedOn w:val="1"/>
    <w:link w:val="194"/>
    <w:autoRedefine/>
    <w:qFormat/>
    <w:uiPriority w:val="0"/>
    <w:pPr>
      <w:adjustRightInd w:val="0"/>
      <w:snapToGrid w:val="0"/>
      <w:spacing w:line="427" w:lineRule="exact"/>
      <w:ind w:firstLine="480"/>
      <w:textAlignment w:val="bottom"/>
    </w:pPr>
    <w:rPr>
      <w:rFonts w:cs="Times New Roman"/>
      <w:snapToGrid w:val="0"/>
      <w:kern w:val="0"/>
    </w:rPr>
  </w:style>
  <w:style w:type="table" w:customStyle="1" w:styleId="196">
    <w:name w:val="Table Normal1"/>
    <w:basedOn w:val="42"/>
    <w:autoRedefine/>
    <w:qFormat/>
    <w:uiPriority w:val="0"/>
    <w:rPr>
      <w:rFonts w:eastAsia="Times New Roman"/>
    </w:rPr>
    <w:tblPr>
      <w:tblCellMar>
        <w:left w:w="0" w:type="dxa"/>
        <w:right w:w="0" w:type="dxa"/>
      </w:tblCellMar>
    </w:tblPr>
  </w:style>
  <w:style w:type="character" w:customStyle="1" w:styleId="197">
    <w:name w:val="标题 4 字符"/>
    <w:basedOn w:val="44"/>
    <w:link w:val="5"/>
    <w:autoRedefine/>
    <w:qFormat/>
    <w:uiPriority w:val="1"/>
    <w:rPr>
      <w:rFonts w:cstheme="minorBidi"/>
      <w:kern w:val="2"/>
      <w:sz w:val="24"/>
      <w:szCs w:val="24"/>
    </w:rPr>
  </w:style>
  <w:style w:type="character" w:customStyle="1" w:styleId="198">
    <w:name w:val="原文22"/>
    <w:autoRedefine/>
    <w:qFormat/>
    <w:uiPriority w:val="0"/>
    <w:rPr>
      <w:rFonts w:ascii="Times New Roman" w:hAnsi="Times New Roman" w:eastAsia="宋体"/>
      <w:color w:val="0000FF"/>
      <w:kern w:val="22"/>
      <w:sz w:val="22"/>
    </w:rPr>
  </w:style>
  <w:style w:type="paragraph" w:customStyle="1" w:styleId="199">
    <w:name w:val="22222"/>
    <w:basedOn w:val="1"/>
    <w:autoRedefine/>
    <w:qFormat/>
    <w:uiPriority w:val="0"/>
    <w:pPr>
      <w:spacing w:line="480" w:lineRule="exact"/>
      <w:ind w:firstLine="480"/>
    </w:pPr>
    <w:rPr>
      <w:rFonts w:hAnsi="宋体" w:cs="Times New Roman"/>
    </w:rPr>
  </w:style>
  <w:style w:type="paragraph" w:customStyle="1" w:styleId="200">
    <w:name w:val="Table Text"/>
    <w:basedOn w:val="1"/>
    <w:autoRedefine/>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1.wmf"/><Relationship Id="rId36" Type="http://schemas.openxmlformats.org/officeDocument/2006/relationships/image" Target="media/image20.pn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022116-DBB0-4FF0-B0B3-F510DC02CE9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147</Pages>
  <Words>94530</Words>
  <Characters>103646</Characters>
  <Lines>1010</Lines>
  <Paragraphs>284</Paragraphs>
  <TotalTime>6</TotalTime>
  <ScaleCrop>false</ScaleCrop>
  <LinksUpToDate>false</LinksUpToDate>
  <CharactersWithSpaces>104532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2018-09-07T08:31:00Z</dcterms:created>
  <dc:creator>WWY</dc:creator>
  <cp:lastModifiedBy>吴浩阁</cp:lastModifiedBy>
  <cp:lastPrinted>2024-01-25T04:48:27Z</cp:lastPrinted>
  <dcterms:modified xsi:type="dcterms:W3CDTF">2024-01-25T04:53:46Z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796E3A3F101E4BA0920F0377F1A8C003</vt:lpwstr>
  </property>
</Properties>
</file>