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sz w:val="32"/>
          <w:szCs w:val="32"/>
        </w:rPr>
      </w:pPr>
    </w:p>
    <w:p>
      <w:pPr>
        <w:ind w:firstLine="0" w:firstLineChars="0"/>
        <w:jc w:val="center"/>
        <w:rPr>
          <w:sz w:val="32"/>
          <w:szCs w:val="32"/>
        </w:rPr>
      </w:pPr>
    </w:p>
    <w:p>
      <w:pPr>
        <w:ind w:firstLine="0" w:firstLineChars="0"/>
        <w:jc w:val="center"/>
        <w:rPr>
          <w:sz w:val="32"/>
          <w:szCs w:val="32"/>
        </w:rPr>
      </w:pPr>
    </w:p>
    <w:p>
      <w:pPr>
        <w:ind w:firstLine="0" w:firstLineChars="0"/>
        <w:jc w:val="center"/>
        <w:rPr>
          <w:b/>
          <w:spacing w:val="-20"/>
          <w:sz w:val="44"/>
          <w:szCs w:val="44"/>
        </w:rPr>
      </w:pPr>
      <w:r>
        <w:rPr>
          <w:rFonts w:hint="eastAsia"/>
          <w:b/>
          <w:spacing w:val="-20"/>
          <w:sz w:val="44"/>
          <w:szCs w:val="44"/>
        </w:rPr>
        <w:t>陕西绿森园牧业有限公司种养殖项目</w:t>
      </w:r>
    </w:p>
    <w:p>
      <w:pPr>
        <w:ind w:firstLine="0" w:firstLineChars="0"/>
        <w:jc w:val="center"/>
        <w:rPr>
          <w:b/>
          <w:sz w:val="84"/>
          <w:szCs w:val="84"/>
          <w:lang w:val="zh-CN"/>
        </w:rPr>
      </w:pPr>
      <w:r>
        <w:rPr>
          <w:b/>
          <w:sz w:val="84"/>
          <w:szCs w:val="84"/>
          <w:lang w:val="zh-CN"/>
        </w:rPr>
        <w:t>环境影响报告书</w:t>
      </w:r>
    </w:p>
    <w:p>
      <w:pPr>
        <w:ind w:firstLine="0" w:firstLineChars="0"/>
        <w:jc w:val="center"/>
        <w:rPr>
          <w:rFonts w:eastAsia="黑体"/>
          <w:spacing w:val="20"/>
          <w:kern w:val="0"/>
          <w:sz w:val="40"/>
          <w:szCs w:val="52"/>
        </w:rPr>
      </w:pPr>
      <w:r>
        <w:rPr>
          <w:rFonts w:hint="eastAsia" w:eastAsia="黑体"/>
          <w:spacing w:val="20"/>
          <w:kern w:val="0"/>
          <w:sz w:val="40"/>
          <w:szCs w:val="52"/>
        </w:rPr>
        <w:t>（</w:t>
      </w:r>
      <w:r>
        <w:rPr>
          <w:rFonts w:eastAsia="黑体"/>
          <w:spacing w:val="20"/>
          <w:kern w:val="0"/>
          <w:sz w:val="40"/>
          <w:szCs w:val="52"/>
        </w:rPr>
        <w:t>报批稿</w:t>
      </w:r>
      <w:r>
        <w:rPr>
          <w:rFonts w:hint="eastAsia" w:eastAsia="黑体"/>
          <w:spacing w:val="20"/>
          <w:kern w:val="0"/>
          <w:sz w:val="40"/>
          <w:szCs w:val="52"/>
        </w:rPr>
        <w:t>）</w:t>
      </w: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0" w:firstLineChars="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rPr>
          <w:rFonts w:eastAsia="黑体"/>
          <w:spacing w:val="20"/>
          <w:kern w:val="0"/>
          <w:sz w:val="40"/>
          <w:szCs w:val="52"/>
        </w:rPr>
      </w:pPr>
    </w:p>
    <w:p>
      <w:pPr>
        <w:ind w:firstLine="0" w:firstLineChars="0"/>
        <w:jc w:val="center"/>
        <w:rPr>
          <w:b/>
          <w:sz w:val="32"/>
          <w:lang w:val="zh-CN"/>
        </w:rPr>
      </w:pPr>
      <w:r>
        <w:rPr>
          <w:b/>
          <w:sz w:val="32"/>
          <w:lang w:val="zh-CN"/>
        </w:rPr>
        <w:t>编制单位：西安君润环保科技工程有限公司</w:t>
      </w:r>
    </w:p>
    <w:p>
      <w:pPr>
        <w:ind w:firstLine="0" w:firstLineChars="0"/>
        <w:jc w:val="center"/>
        <w:rPr>
          <w:b/>
          <w:sz w:val="32"/>
        </w:rPr>
      </w:pPr>
      <w:r>
        <w:rPr>
          <w:b/>
          <w:sz w:val="32"/>
          <w:lang w:val="zh-CN"/>
        </w:rPr>
        <w:t>建设单位：</w:t>
      </w:r>
      <w:r>
        <w:rPr>
          <w:rFonts w:hint="eastAsia"/>
          <w:b/>
          <w:spacing w:val="44"/>
          <w:sz w:val="32"/>
          <w:lang w:val="zh-CN"/>
        </w:rPr>
        <w:t>陕西绿森园牧业</w:t>
      </w:r>
      <w:r>
        <w:rPr>
          <w:rFonts w:hint="eastAsia"/>
          <w:b/>
          <w:spacing w:val="44"/>
          <w:sz w:val="32"/>
        </w:rPr>
        <w:t>有限公司</w:t>
      </w:r>
    </w:p>
    <w:p>
      <w:pPr>
        <w:widowControl/>
        <w:ind w:firstLine="0" w:firstLineChars="0"/>
        <w:jc w:val="center"/>
        <w:rPr>
          <w:sz w:val="32"/>
          <w:szCs w:val="32"/>
        </w:rPr>
      </w:pPr>
    </w:p>
    <w:p>
      <w:pPr>
        <w:widowControl/>
        <w:ind w:firstLine="0" w:firstLineChars="0"/>
        <w:jc w:val="center"/>
        <w:rPr>
          <w:rFonts w:eastAsia="仿宋_GB2312"/>
          <w:b/>
          <w:sz w:val="28"/>
        </w:rPr>
      </w:pPr>
      <w:r>
        <w:rPr>
          <w:b/>
          <w:sz w:val="32"/>
          <w:szCs w:val="32"/>
        </w:rPr>
        <w:t>二〇</w:t>
      </w:r>
      <w:r>
        <w:rPr>
          <w:rFonts w:hint="eastAsia"/>
          <w:b/>
          <w:sz w:val="32"/>
          <w:szCs w:val="32"/>
        </w:rPr>
        <w:t>二二年九</w:t>
      </w:r>
      <w:r>
        <w:rPr>
          <w:b/>
          <w:sz w:val="32"/>
          <w:szCs w:val="32"/>
        </w:rPr>
        <w:t>月</w:t>
      </w:r>
    </w:p>
    <w:p>
      <w:pPr>
        <w:ind w:firstLine="3253" w:firstLineChars="900"/>
        <w:rPr>
          <w:b/>
          <w:sz w:val="36"/>
          <w:szCs w:val="36"/>
        </w:rPr>
      </w:pPr>
    </w:p>
    <w:p>
      <w:pPr>
        <w:ind w:firstLine="643"/>
        <w:rPr>
          <w:b/>
          <w:bCs/>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587" w:right="1587" w:bottom="1587" w:left="1587" w:header="567" w:footer="567" w:gutter="0"/>
          <w:cols w:space="720" w:num="1"/>
          <w:docGrid w:type="lines" w:linePitch="333" w:charSpace="0"/>
        </w:sectPr>
      </w:pPr>
    </w:p>
    <w:p>
      <w:pPr>
        <w:pStyle w:val="21"/>
        <w:tabs>
          <w:tab w:val="right" w:leader="dot" w:pos="8732"/>
        </w:tabs>
        <w:spacing w:after="166" w:afterLines="50" w:line="480" w:lineRule="exact"/>
        <w:jc w:val="center"/>
        <w:rPr>
          <w:rFonts w:ascii="黑体" w:hAnsi="黑体" w:eastAsia="黑体"/>
          <w:b/>
          <w:sz w:val="32"/>
          <w:szCs w:val="32"/>
        </w:rPr>
        <w:sectPr>
          <w:headerReference r:id="rId9" w:type="default"/>
          <w:footerReference r:id="rId10" w:type="default"/>
          <w:pgSz w:w="11906" w:h="16838"/>
          <w:pgMar w:top="1587" w:right="1587" w:bottom="1587" w:left="1587" w:header="851" w:footer="992" w:gutter="0"/>
          <w:pgNumType w:fmt="upperRoman" w:start="1"/>
          <w:cols w:space="720" w:num="1"/>
          <w:docGrid w:type="lines" w:linePitch="333" w:charSpace="0"/>
        </w:sectPr>
      </w:pPr>
    </w:p>
    <w:sdt>
      <w:sdtPr>
        <w:rPr>
          <w:rFonts w:ascii="Times New Roman" w:hAnsi="Times New Roman" w:eastAsia="宋体" w:cs="Times New Roman"/>
          <w:color w:val="auto"/>
          <w:kern w:val="2"/>
          <w:sz w:val="24"/>
          <w:szCs w:val="22"/>
          <w:lang w:val="zh-CN"/>
        </w:rPr>
        <w:id w:val="-1079360430"/>
        <w:docPartObj>
          <w:docPartGallery w:val="Table of Contents"/>
          <w:docPartUnique/>
        </w:docPartObj>
      </w:sdtPr>
      <w:sdtEndPr>
        <w:rPr>
          <w:rFonts w:ascii="Times New Roman" w:hAnsi="Times New Roman" w:eastAsia="宋体" w:cs="Times New Roman"/>
          <w:b/>
          <w:bCs/>
          <w:color w:val="auto"/>
          <w:kern w:val="2"/>
          <w:sz w:val="24"/>
          <w:szCs w:val="22"/>
          <w:lang w:val="zh-CN"/>
        </w:rPr>
      </w:sdtEndPr>
      <w:sdtContent>
        <w:p>
          <w:pPr>
            <w:pStyle w:val="100"/>
            <w:adjustRightInd w:val="0"/>
            <w:snapToGrid w:val="0"/>
            <w:spacing w:before="0"/>
            <w:jc w:val="center"/>
            <w:rPr>
              <w:rStyle w:val="94"/>
              <w:color w:val="auto"/>
              <w:sz w:val="32"/>
            </w:rPr>
          </w:pPr>
          <w:r>
            <w:rPr>
              <w:rStyle w:val="94"/>
              <w:color w:val="auto"/>
              <w:sz w:val="32"/>
            </w:rPr>
            <w:t>目录</w:t>
          </w:r>
        </w:p>
        <w:p>
          <w:pPr>
            <w:pStyle w:val="21"/>
            <w:tabs>
              <w:tab w:val="right" w:leader="dot" w:pos="8296"/>
            </w:tabs>
            <w:rPr>
              <w:rFonts w:asciiTheme="minorHAnsi" w:hAnsiTheme="minorHAnsi" w:eastAsiaTheme="minorEastAsia" w:cstheme="minorBidi"/>
              <w:sz w:val="21"/>
              <w:szCs w:val="22"/>
            </w:rPr>
          </w:pPr>
          <w:r>
            <w:fldChar w:fldCharType="begin"/>
          </w:r>
          <w:r>
            <w:instrText xml:space="preserve"> TOC \o "1-2" \h \z \u </w:instrText>
          </w:r>
          <w:r>
            <w:fldChar w:fldCharType="separate"/>
          </w:r>
          <w:r>
            <w:fldChar w:fldCharType="begin"/>
          </w:r>
          <w:r>
            <w:instrText xml:space="preserve"> HYPERLINK \l "_Toc108422212" </w:instrText>
          </w:r>
          <w:r>
            <w:fldChar w:fldCharType="separate"/>
          </w:r>
          <w:r>
            <w:rPr>
              <w:rStyle w:val="31"/>
              <w:color w:val="auto"/>
            </w:rPr>
            <w:t>1</w:t>
          </w:r>
          <w:r>
            <w:rPr>
              <w:rStyle w:val="31"/>
              <w:rFonts w:hint="eastAsia"/>
              <w:color w:val="auto"/>
            </w:rPr>
            <w:t xml:space="preserve"> 概述</w:t>
          </w:r>
          <w:r>
            <w:tab/>
          </w:r>
          <w:r>
            <w:fldChar w:fldCharType="begin"/>
          </w:r>
          <w:r>
            <w:instrText xml:space="preserve"> PAGEREF _Toc108422212 \h </w:instrText>
          </w:r>
          <w:r>
            <w:fldChar w:fldCharType="separate"/>
          </w:r>
          <w:r>
            <w:t>- 1 -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"_Toc108422213" </w:instrText>
          </w:r>
          <w:r>
            <w:fldChar w:fldCharType="separate"/>
          </w:r>
          <w:r>
            <w:rPr>
              <w:rStyle w:val="31"/>
              <w:color w:val="auto"/>
              <w14:scene3d w14:prst="orthographicFront">
                <w14:lightRig w14:rig="threePt" w14:dir="t">
                  <w14:rot w14:lat="0" w14:lon="0" w14:rev="0"/>
                </w14:lightRig>
              </w14:scene3d>
            </w:rPr>
            <w:t>1.1</w:t>
          </w:r>
          <w:r>
            <w:rPr>
              <w:rStyle w:val="31"/>
              <w:rFonts w:hint="eastAsia"/>
              <w:color w:val="auto"/>
            </w:rPr>
            <w:t xml:space="preserve"> 项目背景及由来</w:t>
          </w:r>
          <w:r>
            <w:tab/>
          </w:r>
          <w:r>
            <w:fldChar w:fldCharType="begin"/>
          </w:r>
          <w:r>
            <w:instrText xml:space="preserve"> PAGEREF _Toc108422213 \h </w:instrText>
          </w:r>
          <w:r>
            <w:fldChar w:fldCharType="separate"/>
          </w:r>
          <w:r>
            <w:t>- 1 -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"_Toc108422214" </w:instrText>
          </w:r>
          <w:r>
            <w:fldChar w:fldCharType="separate"/>
          </w:r>
          <w:r>
            <w:rPr>
              <w:rStyle w:val="31"/>
              <w:color w:val="auto"/>
              <w14:scene3d w14:prst="orthographicFront">
                <w14:lightRig w14:rig="threePt" w14:dir="t">
                  <w14:rot w14:lat="0" w14:lon="0" w14:rev="0"/>
                </w14:lightRig>
              </w14:scene3d>
            </w:rPr>
            <w:t>1.2</w:t>
          </w:r>
          <w:r>
            <w:rPr>
              <w:rStyle w:val="31"/>
              <w:rFonts w:hint="eastAsia"/>
              <w:color w:val="auto"/>
            </w:rPr>
            <w:t xml:space="preserve"> 分析判定相关情况</w:t>
          </w:r>
          <w:r>
            <w:tab/>
          </w:r>
          <w:r>
            <w:fldChar w:fldCharType="begin"/>
          </w:r>
          <w:r>
            <w:instrText xml:space="preserve"> PAGEREF _Toc108422214 \h </w:instrText>
          </w:r>
          <w:r>
            <w:fldChar w:fldCharType="separate"/>
          </w:r>
          <w:r>
            <w:t>- 2 -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"_Toc108422215" </w:instrText>
          </w:r>
          <w:r>
            <w:fldChar w:fldCharType="separate"/>
          </w:r>
          <w:r>
            <w:rPr>
              <w:rStyle w:val="31"/>
              <w:color w:val="auto"/>
              <w14:scene3d w14:prst="orthographicFront">
                <w14:lightRig w14:rig="threePt" w14:dir="t">
                  <w14:rot w14:lat="0" w14:lon="0" w14:rev="0"/>
                </w14:lightRig>
              </w14:scene3d>
            </w:rPr>
            <w:t>1.3</w:t>
          </w:r>
          <w:r>
            <w:rPr>
              <w:rStyle w:val="31"/>
              <w:rFonts w:hint="eastAsia"/>
              <w:color w:val="auto"/>
            </w:rPr>
            <w:t xml:space="preserve"> 建设项目特点</w:t>
          </w:r>
          <w:r>
            <w:tab/>
          </w:r>
          <w:r>
            <w:fldChar w:fldCharType="begin"/>
          </w:r>
          <w:r>
            <w:instrText xml:space="preserve"> PAGEREF _Toc108422215 \h </w:instrText>
          </w:r>
          <w:r>
            <w:fldChar w:fldCharType="separate"/>
          </w:r>
          <w:r>
            <w:t>- 14 -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"_Toc108422216" </w:instrText>
          </w:r>
          <w:r>
            <w:fldChar w:fldCharType="separate"/>
          </w:r>
          <w:r>
            <w:rPr>
              <w:rStyle w:val="31"/>
              <w:color w:val="auto"/>
              <w14:scene3d w14:prst="orthographicFront">
                <w14:lightRig w14:rig="threePt" w14:dir="t">
                  <w14:rot w14:lat="0" w14:lon="0" w14:rev="0"/>
                </w14:lightRig>
              </w14:scene3d>
            </w:rPr>
            <w:t>1.4</w:t>
          </w:r>
          <w:r>
            <w:rPr>
              <w:rStyle w:val="31"/>
              <w:rFonts w:hint="eastAsia"/>
              <w:color w:val="auto"/>
            </w:rPr>
            <w:t xml:space="preserve"> 环境影响评价过程</w:t>
          </w:r>
          <w:r>
            <w:tab/>
          </w:r>
          <w:r>
            <w:fldChar w:fldCharType="begin"/>
          </w:r>
          <w:r>
            <w:instrText xml:space="preserve"> PAGEREF _Toc108422216 \h </w:instrText>
          </w:r>
          <w:r>
            <w:fldChar w:fldCharType="separate"/>
          </w:r>
          <w:r>
            <w:t>- 14 -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"_Toc108422217" </w:instrText>
          </w:r>
          <w:r>
            <w:fldChar w:fldCharType="separate"/>
          </w:r>
          <w:r>
            <w:rPr>
              <w:rStyle w:val="31"/>
              <w:color w:val="auto"/>
              <w14:scene3d w14:prst="orthographicFront">
                <w14:lightRig w14:rig="threePt" w14:dir="t">
                  <w14:rot w14:lat="0" w14:lon="0" w14:rev="0"/>
                </w14:lightRig>
              </w14:scene3d>
            </w:rPr>
            <w:t>1.5</w:t>
          </w:r>
          <w:r>
            <w:rPr>
              <w:rStyle w:val="31"/>
              <w:rFonts w:hint="eastAsia"/>
              <w:color w:val="auto"/>
            </w:rPr>
            <w:t xml:space="preserve"> 关注的主要环境问题</w:t>
          </w:r>
          <w:r>
            <w:tab/>
          </w:r>
          <w:r>
            <w:fldChar w:fldCharType="begin"/>
          </w:r>
          <w:r>
            <w:instrText xml:space="preserve"> PAGEREF _Toc108422217 \h </w:instrText>
          </w:r>
          <w:r>
            <w:fldChar w:fldCharType="separate"/>
          </w:r>
          <w:r>
            <w:t>- 15 -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"_Toc108422218" </w:instrText>
          </w:r>
          <w:r>
            <w:fldChar w:fldCharType="separate"/>
          </w:r>
          <w:r>
            <w:rPr>
              <w:rStyle w:val="31"/>
              <w:color w:val="auto"/>
              <w14:scene3d w14:prst="orthographicFront">
                <w14:lightRig w14:rig="threePt" w14:dir="t">
                  <w14:rot w14:lat="0" w14:lon="0" w14:rev="0"/>
                </w14:lightRig>
              </w14:scene3d>
            </w:rPr>
            <w:t>1.6</w:t>
          </w:r>
          <w:r>
            <w:rPr>
              <w:rStyle w:val="31"/>
              <w:rFonts w:hint="eastAsia"/>
              <w:color w:val="auto"/>
            </w:rPr>
            <w:t xml:space="preserve"> 环境影响评价的主要结论</w:t>
          </w:r>
          <w:r>
            <w:tab/>
          </w:r>
          <w:r>
            <w:fldChar w:fldCharType="begin"/>
          </w:r>
          <w:r>
            <w:instrText xml:space="preserve"> PAGEREF _Toc108422218 \h </w:instrText>
          </w:r>
          <w:r>
            <w:fldChar w:fldCharType="separate"/>
          </w:r>
          <w:r>
            <w:t>- 16 -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"_Toc108422219" </w:instrText>
          </w:r>
          <w:r>
            <w:fldChar w:fldCharType="separate"/>
          </w:r>
          <w:r>
            <w:rPr>
              <w:rStyle w:val="31"/>
              <w:color w:val="auto"/>
            </w:rPr>
            <w:t>2</w:t>
          </w:r>
          <w:r>
            <w:rPr>
              <w:rStyle w:val="31"/>
              <w:rFonts w:hint="eastAsia"/>
              <w:color w:val="auto"/>
            </w:rPr>
            <w:t xml:space="preserve"> 总则</w:t>
          </w:r>
          <w:r>
            <w:tab/>
          </w:r>
          <w:r>
            <w:fldChar w:fldCharType="begin"/>
          </w:r>
          <w:r>
            <w:instrText xml:space="preserve"> PAGEREF _Toc108422219 \h </w:instrText>
          </w:r>
          <w:r>
            <w:fldChar w:fldCharType="separate"/>
          </w:r>
          <w:r>
            <w:t>- 17 -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"_Toc108422220" </w:instrText>
          </w:r>
          <w:r>
            <w:fldChar w:fldCharType="separate"/>
          </w:r>
          <w:r>
            <w:rPr>
              <w:rStyle w:val="31"/>
              <w:color w:val="auto"/>
              <w14:scene3d w14:prst="orthographicFront">
                <w14:lightRig w14:rig="threePt" w14:dir="t">
                  <w14:rot w14:lat="0" w14:lon="0" w14:rev="0"/>
                </w14:lightRig>
              </w14:scene3d>
            </w:rPr>
            <w:t>2.1</w:t>
          </w:r>
          <w:r>
            <w:rPr>
              <w:rStyle w:val="31"/>
              <w:rFonts w:hint="eastAsia"/>
              <w:color w:val="auto"/>
            </w:rPr>
            <w:t xml:space="preserve"> 编制依据</w:t>
          </w:r>
          <w:r>
            <w:tab/>
          </w:r>
          <w:r>
            <w:fldChar w:fldCharType="begin"/>
          </w:r>
          <w:r>
            <w:instrText xml:space="preserve"> PAGEREF _Toc108422220 \h </w:instrText>
          </w:r>
          <w:r>
            <w:fldChar w:fldCharType="separate"/>
          </w:r>
          <w:r>
            <w:t>- 17 -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"_Toc108422221" </w:instrText>
          </w:r>
          <w:r>
            <w:fldChar w:fldCharType="separate"/>
          </w:r>
          <w:r>
            <w:rPr>
              <w:rStyle w:val="31"/>
              <w:color w:val="auto"/>
              <w14:scene3d w14:prst="orthographicFront">
                <w14:lightRig w14:rig="threePt" w14:dir="t">
                  <w14:rot w14:lat="0" w14:lon="0" w14:rev="0"/>
                </w14:lightRig>
              </w14:scene3d>
            </w:rPr>
            <w:t>2.2</w:t>
          </w:r>
          <w:r>
            <w:rPr>
              <w:rStyle w:val="31"/>
              <w:rFonts w:hint="eastAsia"/>
              <w:color w:val="auto"/>
            </w:rPr>
            <w:t xml:space="preserve"> 评价目的和原则</w:t>
          </w:r>
          <w:r>
            <w:tab/>
          </w:r>
          <w:r>
            <w:fldChar w:fldCharType="begin"/>
          </w:r>
          <w:r>
            <w:instrText xml:space="preserve"> PAGEREF _Toc108422221 \h </w:instrText>
          </w:r>
          <w:r>
            <w:fldChar w:fldCharType="separate"/>
          </w:r>
          <w:r>
            <w:t>- 21 -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"_Toc108422222" </w:instrText>
          </w:r>
          <w:r>
            <w:fldChar w:fldCharType="separate"/>
          </w:r>
          <w:r>
            <w:rPr>
              <w:rStyle w:val="31"/>
              <w:color w:val="auto"/>
              <w14:scene3d w14:prst="orthographicFront">
                <w14:lightRig w14:rig="threePt" w14:dir="t">
                  <w14:rot w14:lat="0" w14:lon="0" w14:rev="0"/>
                </w14:lightRig>
              </w14:scene3d>
            </w:rPr>
            <w:t>2.3</w:t>
          </w:r>
          <w:r>
            <w:rPr>
              <w:rStyle w:val="31"/>
              <w:rFonts w:hint="eastAsia"/>
              <w:color w:val="auto"/>
            </w:rPr>
            <w:t xml:space="preserve"> 环境影响识别与评价因子筛选</w:t>
          </w:r>
          <w:r>
            <w:tab/>
          </w:r>
          <w:r>
            <w:fldChar w:fldCharType="begin"/>
          </w:r>
          <w:r>
            <w:instrText xml:space="preserve"> PAGEREF _Toc108422222 \h </w:instrText>
          </w:r>
          <w:r>
            <w:fldChar w:fldCharType="separate"/>
          </w:r>
          <w:r>
            <w:t>- 22 -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"_Toc108422223" </w:instrText>
          </w:r>
          <w:r>
            <w:fldChar w:fldCharType="separate"/>
          </w:r>
          <w:r>
            <w:rPr>
              <w:rStyle w:val="31"/>
              <w:color w:val="auto"/>
              <w14:scene3d w14:prst="orthographicFront">
                <w14:lightRig w14:rig="threePt" w14:dir="t">
                  <w14:rot w14:lat="0" w14:lon="0" w14:rev="0"/>
                </w14:lightRig>
              </w14:scene3d>
            </w:rPr>
            <w:t>2.4</w:t>
          </w:r>
          <w:r>
            <w:rPr>
              <w:rStyle w:val="31"/>
              <w:rFonts w:hint="eastAsia"/>
              <w:color w:val="auto"/>
            </w:rPr>
            <w:t xml:space="preserve"> 评价标准</w:t>
          </w:r>
          <w:r>
            <w:tab/>
          </w:r>
          <w:r>
            <w:fldChar w:fldCharType="begin"/>
          </w:r>
          <w:r>
            <w:instrText xml:space="preserve"> PAGEREF _Toc108422223 \h </w:instrText>
          </w:r>
          <w:r>
            <w:fldChar w:fldCharType="separate"/>
          </w:r>
          <w:r>
            <w:t>- 23 -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"_Toc108422224" </w:instrText>
          </w:r>
          <w:r>
            <w:fldChar w:fldCharType="separate"/>
          </w:r>
          <w:r>
            <w:rPr>
              <w:rStyle w:val="31"/>
              <w:color w:val="auto"/>
              <w14:scene3d w14:prst="orthographicFront">
                <w14:lightRig w14:rig="threePt" w14:dir="t">
                  <w14:rot w14:lat="0" w14:lon="0" w14:rev="0"/>
                </w14:lightRig>
              </w14:scene3d>
            </w:rPr>
            <w:t>2.5</w:t>
          </w:r>
          <w:r>
            <w:rPr>
              <w:rStyle w:val="31"/>
              <w:rFonts w:hint="eastAsia"/>
              <w:color w:val="auto"/>
            </w:rPr>
            <w:t xml:space="preserve"> 评价工作等级和评价范围</w:t>
          </w:r>
          <w:r>
            <w:tab/>
          </w:r>
          <w:r>
            <w:fldChar w:fldCharType="begin"/>
          </w:r>
          <w:r>
            <w:instrText xml:space="preserve"> PAGEREF _Toc108422224 \h </w:instrText>
          </w:r>
          <w:r>
            <w:fldChar w:fldCharType="separate"/>
          </w:r>
          <w:r>
            <w:t>- 27 -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"_Toc108422225" </w:instrText>
          </w:r>
          <w:r>
            <w:fldChar w:fldCharType="separate"/>
          </w:r>
          <w:r>
            <w:rPr>
              <w:rStyle w:val="31"/>
              <w:color w:val="auto"/>
              <w14:scene3d w14:prst="orthographicFront">
                <w14:lightRig w14:rig="threePt" w14:dir="t">
                  <w14:rot w14:lat="0" w14:lon="0" w14:rev="0"/>
                </w14:lightRig>
              </w14:scene3d>
            </w:rPr>
            <w:t>2.6</w:t>
          </w:r>
          <w:r>
            <w:rPr>
              <w:rStyle w:val="31"/>
              <w:rFonts w:hint="eastAsia"/>
              <w:color w:val="auto"/>
            </w:rPr>
            <w:t xml:space="preserve"> 相关规划及环境功能区划</w:t>
          </w:r>
          <w:r>
            <w:tab/>
          </w:r>
          <w:r>
            <w:fldChar w:fldCharType="begin"/>
          </w:r>
          <w:r>
            <w:instrText xml:space="preserve"> PAGEREF _Toc108422225 \h </w:instrText>
          </w:r>
          <w:r>
            <w:fldChar w:fldCharType="separate"/>
          </w:r>
          <w:r>
            <w:t>- 31 -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"_Toc108422226" </w:instrText>
          </w:r>
          <w:r>
            <w:fldChar w:fldCharType="separate"/>
          </w:r>
          <w:r>
            <w:rPr>
              <w:rStyle w:val="31"/>
              <w:color w:val="auto"/>
              <w14:scene3d w14:prst="orthographicFront">
                <w14:lightRig w14:rig="threePt" w14:dir="t">
                  <w14:rot w14:lat="0" w14:lon="0" w14:rev="0"/>
                </w14:lightRig>
              </w14:scene3d>
            </w:rPr>
            <w:t>2.7</w:t>
          </w:r>
          <w:r>
            <w:rPr>
              <w:rStyle w:val="31"/>
              <w:rFonts w:hint="eastAsia"/>
              <w:color w:val="auto"/>
            </w:rPr>
            <w:t xml:space="preserve"> 环境保护目标</w:t>
          </w:r>
          <w:r>
            <w:tab/>
          </w:r>
          <w:r>
            <w:fldChar w:fldCharType="begin"/>
          </w:r>
          <w:r>
            <w:instrText xml:space="preserve"> PAGEREF _Toc108422226 \h </w:instrText>
          </w:r>
          <w:r>
            <w:fldChar w:fldCharType="separate"/>
          </w:r>
          <w:r>
            <w:t>- 32 -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"_Toc108422227" </w:instrText>
          </w:r>
          <w:r>
            <w:fldChar w:fldCharType="separate"/>
          </w:r>
          <w:r>
            <w:rPr>
              <w:rStyle w:val="31"/>
              <w:color w:val="auto"/>
            </w:rPr>
            <w:t>3</w:t>
          </w:r>
          <w:r>
            <w:rPr>
              <w:rStyle w:val="31"/>
              <w:rFonts w:hint="eastAsia"/>
              <w:color w:val="auto"/>
            </w:rPr>
            <w:t xml:space="preserve"> 建设项目工程分析</w:t>
          </w:r>
          <w:r>
            <w:tab/>
          </w:r>
          <w:r>
            <w:fldChar w:fldCharType="begin"/>
          </w:r>
          <w:r>
            <w:instrText xml:space="preserve"> PAGEREF _Toc108422227 \h </w:instrText>
          </w:r>
          <w:r>
            <w:fldChar w:fldCharType="separate"/>
          </w:r>
          <w:r>
            <w:t>- 33 -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"_Toc108422228" </w:instrText>
          </w:r>
          <w:r>
            <w:fldChar w:fldCharType="separate"/>
          </w:r>
          <w:r>
            <w:rPr>
              <w:rStyle w:val="31"/>
              <w:color w:val="auto"/>
              <w14:scene3d w14:prst="orthographicFront">
                <w14:lightRig w14:rig="threePt" w14:dir="t">
                  <w14:rot w14:lat="0" w14:lon="0" w14:rev="0"/>
                </w14:lightRig>
              </w14:scene3d>
            </w:rPr>
            <w:t>3.1</w:t>
          </w:r>
          <w:r>
            <w:rPr>
              <w:rStyle w:val="31"/>
              <w:rFonts w:hint="eastAsia"/>
              <w:color w:val="auto"/>
            </w:rPr>
            <w:t xml:space="preserve"> 项目概况</w:t>
          </w:r>
          <w:r>
            <w:tab/>
          </w:r>
          <w:r>
            <w:fldChar w:fldCharType="begin"/>
          </w:r>
          <w:r>
            <w:instrText xml:space="preserve"> PAGEREF _Toc108422228 \h </w:instrText>
          </w:r>
          <w:r>
            <w:fldChar w:fldCharType="separate"/>
          </w:r>
          <w:r>
            <w:t>- 33 -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"_Toc108422229" </w:instrText>
          </w:r>
          <w:r>
            <w:fldChar w:fldCharType="separate"/>
          </w:r>
          <w:r>
            <w:rPr>
              <w:rStyle w:val="31"/>
              <w:color w:val="auto"/>
              <w14:scene3d w14:prst="orthographicFront">
                <w14:lightRig w14:rig="threePt" w14:dir="t">
                  <w14:rot w14:lat="0" w14:lon="0" w14:rev="0"/>
                </w14:lightRig>
              </w14:scene3d>
            </w:rPr>
            <w:t>3.2</w:t>
          </w:r>
          <w:r>
            <w:rPr>
              <w:rStyle w:val="31"/>
              <w:rFonts w:hint="eastAsia"/>
              <w:color w:val="auto"/>
            </w:rPr>
            <w:t xml:space="preserve"> 影响因素分析</w:t>
          </w:r>
          <w:r>
            <w:tab/>
          </w:r>
          <w:r>
            <w:fldChar w:fldCharType="begin"/>
          </w:r>
          <w:r>
            <w:instrText xml:space="preserve"> PAGEREF _Toc108422229 \h </w:instrText>
          </w:r>
          <w:r>
            <w:fldChar w:fldCharType="separate"/>
          </w:r>
          <w:r>
            <w:t>- 43 -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"_Toc108422230" </w:instrText>
          </w:r>
          <w:r>
            <w:fldChar w:fldCharType="separate"/>
          </w:r>
          <w:r>
            <w:rPr>
              <w:rStyle w:val="31"/>
              <w:color w:val="auto"/>
              <w14:scene3d w14:prst="orthographicFront">
                <w14:lightRig w14:rig="threePt" w14:dir="t">
                  <w14:rot w14:lat="0" w14:lon="0" w14:rev="0"/>
                </w14:lightRig>
              </w14:scene3d>
            </w:rPr>
            <w:t>3.3</w:t>
          </w:r>
          <w:r>
            <w:rPr>
              <w:rStyle w:val="31"/>
              <w:rFonts w:hint="eastAsia"/>
              <w:color w:val="auto"/>
            </w:rPr>
            <w:t xml:space="preserve"> 污染源强核算</w:t>
          </w:r>
          <w:r>
            <w:tab/>
          </w:r>
          <w:r>
            <w:fldChar w:fldCharType="begin"/>
          </w:r>
          <w:r>
            <w:instrText xml:space="preserve"> PAGEREF _Toc108422230 \h </w:instrText>
          </w:r>
          <w:r>
            <w:fldChar w:fldCharType="separate"/>
          </w:r>
          <w:r>
            <w:t>- 56 -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"_Toc108422231" </w:instrText>
          </w:r>
          <w:r>
            <w:fldChar w:fldCharType="separate"/>
          </w:r>
          <w:r>
            <w:rPr>
              <w:rStyle w:val="31"/>
              <w:color w:val="auto"/>
            </w:rPr>
            <w:t>4</w:t>
          </w:r>
          <w:r>
            <w:rPr>
              <w:rStyle w:val="31"/>
              <w:rFonts w:hint="eastAsia"/>
              <w:color w:val="auto"/>
            </w:rPr>
            <w:t xml:space="preserve"> 环境现状调查与评价</w:t>
          </w:r>
          <w:r>
            <w:tab/>
          </w:r>
          <w:r>
            <w:fldChar w:fldCharType="begin"/>
          </w:r>
          <w:r>
            <w:instrText xml:space="preserve"> PAGEREF _Toc108422231 \h </w:instrText>
          </w:r>
          <w:r>
            <w:fldChar w:fldCharType="separate"/>
          </w:r>
          <w:r>
            <w:t>- 73 -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"_Toc108422232" </w:instrText>
          </w:r>
          <w:r>
            <w:fldChar w:fldCharType="separate"/>
          </w:r>
          <w:r>
            <w:rPr>
              <w:rStyle w:val="31"/>
              <w:color w:val="auto"/>
              <w14:scene3d w14:prst="orthographicFront">
                <w14:lightRig w14:rig="threePt" w14:dir="t">
                  <w14:rot w14:lat="0" w14:lon="0" w14:rev="0"/>
                </w14:lightRig>
              </w14:scene3d>
            </w:rPr>
            <w:t>4.1</w:t>
          </w:r>
          <w:r>
            <w:rPr>
              <w:rStyle w:val="31"/>
              <w:rFonts w:hint="eastAsia"/>
              <w:color w:val="auto"/>
            </w:rPr>
            <w:t xml:space="preserve"> 自然环境现状调查</w:t>
          </w:r>
          <w:r>
            <w:tab/>
          </w:r>
          <w:r>
            <w:fldChar w:fldCharType="begin"/>
          </w:r>
          <w:r>
            <w:instrText xml:space="preserve"> PAGEREF _Toc108422232 \h </w:instrText>
          </w:r>
          <w:r>
            <w:fldChar w:fldCharType="separate"/>
          </w:r>
          <w:r>
            <w:t>- 73 -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"_Toc108422233" </w:instrText>
          </w:r>
          <w:r>
            <w:fldChar w:fldCharType="separate"/>
          </w:r>
          <w:r>
            <w:rPr>
              <w:rStyle w:val="31"/>
              <w:color w:val="auto"/>
              <w14:scene3d w14:prst="orthographicFront">
                <w14:lightRig w14:rig="threePt" w14:dir="t">
                  <w14:rot w14:lat="0" w14:lon="0" w14:rev="0"/>
                </w14:lightRig>
              </w14:scene3d>
            </w:rPr>
            <w:t>4.2</w:t>
          </w:r>
          <w:r>
            <w:rPr>
              <w:rStyle w:val="31"/>
              <w:rFonts w:hint="eastAsia"/>
              <w:color w:val="auto"/>
            </w:rPr>
            <w:t xml:space="preserve"> 环境空气质量现状调查与评价</w:t>
          </w:r>
          <w:r>
            <w:tab/>
          </w:r>
          <w:r>
            <w:fldChar w:fldCharType="begin"/>
          </w:r>
          <w:r>
            <w:instrText xml:space="preserve"> PAGEREF _Toc108422233 \h </w:instrText>
          </w:r>
          <w:r>
            <w:fldChar w:fldCharType="separate"/>
          </w:r>
          <w:r>
            <w:t>- 77 -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"_Toc108422234" </w:instrText>
          </w:r>
          <w:r>
            <w:fldChar w:fldCharType="separate"/>
          </w:r>
          <w:r>
            <w:rPr>
              <w:rStyle w:val="31"/>
              <w:color w:val="auto"/>
              <w14:scene3d w14:prst="orthographicFront">
                <w14:lightRig w14:rig="threePt" w14:dir="t">
                  <w14:rot w14:lat="0" w14:lon="0" w14:rev="0"/>
                </w14:lightRig>
              </w14:scene3d>
            </w:rPr>
            <w:t>4.3</w:t>
          </w:r>
          <w:r>
            <w:rPr>
              <w:rStyle w:val="31"/>
              <w:rFonts w:hint="eastAsia"/>
              <w:color w:val="auto"/>
            </w:rPr>
            <w:t xml:space="preserve"> 区域污染源调查</w:t>
          </w:r>
          <w:r>
            <w:tab/>
          </w:r>
          <w:r>
            <w:fldChar w:fldCharType="begin"/>
          </w:r>
          <w:r>
            <w:instrText xml:space="preserve"> PAGEREF _Toc108422234 \h </w:instrText>
          </w:r>
          <w:r>
            <w:fldChar w:fldCharType="separate"/>
          </w:r>
          <w:r>
            <w:t>- 88 -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"_Toc108422235" </w:instrText>
          </w:r>
          <w:r>
            <w:fldChar w:fldCharType="separate"/>
          </w:r>
          <w:r>
            <w:rPr>
              <w:rStyle w:val="31"/>
              <w:color w:val="auto"/>
            </w:rPr>
            <w:t>5</w:t>
          </w:r>
          <w:r>
            <w:rPr>
              <w:rStyle w:val="31"/>
              <w:rFonts w:hint="eastAsia"/>
              <w:color w:val="auto"/>
            </w:rPr>
            <w:t xml:space="preserve"> 环境影响预测与评价</w:t>
          </w:r>
          <w:r>
            <w:tab/>
          </w:r>
          <w:r>
            <w:fldChar w:fldCharType="begin"/>
          </w:r>
          <w:r>
            <w:instrText xml:space="preserve"> PAGEREF _Toc108422235 \h </w:instrText>
          </w:r>
          <w:r>
            <w:fldChar w:fldCharType="separate"/>
          </w:r>
          <w:r>
            <w:t>- 89 -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"_Toc108422236" </w:instrText>
          </w:r>
          <w:r>
            <w:fldChar w:fldCharType="separate"/>
          </w:r>
          <w:r>
            <w:rPr>
              <w:rStyle w:val="31"/>
              <w:color w:val="auto"/>
              <w14:scene3d w14:prst="orthographicFront">
                <w14:lightRig w14:rig="threePt" w14:dir="t">
                  <w14:rot w14:lat="0" w14:lon="0" w14:rev="0"/>
                </w14:lightRig>
              </w14:scene3d>
            </w:rPr>
            <w:t>5.1</w:t>
          </w:r>
          <w:r>
            <w:rPr>
              <w:rStyle w:val="31"/>
              <w:rFonts w:hint="eastAsia"/>
              <w:color w:val="auto"/>
            </w:rPr>
            <w:t xml:space="preserve"> 施工期环境影响分析</w:t>
          </w:r>
          <w:r>
            <w:tab/>
          </w:r>
          <w:r>
            <w:fldChar w:fldCharType="begin"/>
          </w:r>
          <w:r>
            <w:instrText xml:space="preserve"> PAGEREF _Toc108422236 \h </w:instrText>
          </w:r>
          <w:r>
            <w:fldChar w:fldCharType="separate"/>
          </w:r>
          <w:r>
            <w:t>- 89 -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"_Toc108422237" </w:instrText>
          </w:r>
          <w:r>
            <w:fldChar w:fldCharType="separate"/>
          </w:r>
          <w:r>
            <w:rPr>
              <w:rStyle w:val="31"/>
              <w:color w:val="auto"/>
              <w14:scene3d w14:prst="orthographicFront">
                <w14:lightRig w14:rig="threePt" w14:dir="t">
                  <w14:rot w14:lat="0" w14:lon="0" w14:rev="0"/>
                </w14:lightRig>
              </w14:scene3d>
            </w:rPr>
            <w:t>5.2</w:t>
          </w:r>
          <w:r>
            <w:rPr>
              <w:rStyle w:val="31"/>
              <w:rFonts w:hint="eastAsia"/>
              <w:color w:val="auto"/>
            </w:rPr>
            <w:t xml:space="preserve"> 运营期环境影响预测与评价</w:t>
          </w:r>
          <w:r>
            <w:tab/>
          </w:r>
          <w:r>
            <w:fldChar w:fldCharType="begin"/>
          </w:r>
          <w:r>
            <w:instrText xml:space="preserve"> PAGEREF _Toc108422237 \h </w:instrText>
          </w:r>
          <w:r>
            <w:fldChar w:fldCharType="separate"/>
          </w:r>
          <w:r>
            <w:t>- 89 -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"_Toc108422238" </w:instrText>
          </w:r>
          <w:r>
            <w:fldChar w:fldCharType="separate"/>
          </w:r>
          <w:r>
            <w:rPr>
              <w:rStyle w:val="31"/>
              <w:color w:val="auto"/>
            </w:rPr>
            <w:t>6</w:t>
          </w:r>
          <w:r>
            <w:rPr>
              <w:rStyle w:val="31"/>
              <w:rFonts w:hint="eastAsia"/>
              <w:color w:val="auto"/>
            </w:rPr>
            <w:t xml:space="preserve"> 环境风险评价</w:t>
          </w:r>
          <w:r>
            <w:tab/>
          </w:r>
          <w:r>
            <w:fldChar w:fldCharType="begin"/>
          </w:r>
          <w:r>
            <w:instrText xml:space="preserve"> PAGEREF _Toc108422238 \h </w:instrText>
          </w:r>
          <w:r>
            <w:fldChar w:fldCharType="separate"/>
          </w:r>
          <w:r>
            <w:t>- 117 -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"_Toc108422239" </w:instrText>
          </w:r>
          <w:r>
            <w:fldChar w:fldCharType="separate"/>
          </w:r>
          <w:r>
            <w:rPr>
              <w:rStyle w:val="31"/>
              <w:color w:val="auto"/>
              <w14:scene3d w14:prst="orthographicFront">
                <w14:lightRig w14:rig="threePt" w14:dir="t">
                  <w14:rot w14:lat="0" w14:lon="0" w14:rev="0"/>
                </w14:lightRig>
              </w14:scene3d>
            </w:rPr>
            <w:t>6.1</w:t>
          </w:r>
          <w:r>
            <w:rPr>
              <w:rStyle w:val="31"/>
              <w:rFonts w:hint="eastAsia"/>
              <w:color w:val="auto"/>
            </w:rPr>
            <w:t xml:space="preserve"> 评价目的</w:t>
          </w:r>
          <w:r>
            <w:tab/>
          </w:r>
          <w:r>
            <w:fldChar w:fldCharType="begin"/>
          </w:r>
          <w:r>
            <w:instrText xml:space="preserve"> PAGEREF _Toc108422239 \h </w:instrText>
          </w:r>
          <w:r>
            <w:fldChar w:fldCharType="separate"/>
          </w:r>
          <w:r>
            <w:t>- 117 -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"_Toc108422240" </w:instrText>
          </w:r>
          <w:r>
            <w:fldChar w:fldCharType="separate"/>
          </w:r>
          <w:r>
            <w:rPr>
              <w:rStyle w:val="31"/>
              <w:color w:val="auto"/>
              <w14:scene3d w14:prst="orthographicFront">
                <w14:lightRig w14:rig="threePt" w14:dir="t">
                  <w14:rot w14:lat="0" w14:lon="0" w14:rev="0"/>
                </w14:lightRig>
              </w14:scene3d>
            </w:rPr>
            <w:t>6.2</w:t>
          </w:r>
          <w:r>
            <w:rPr>
              <w:rStyle w:val="31"/>
              <w:rFonts w:hint="eastAsia"/>
              <w:color w:val="auto"/>
            </w:rPr>
            <w:t xml:space="preserve"> 评价原则</w:t>
          </w:r>
          <w:r>
            <w:tab/>
          </w:r>
          <w:r>
            <w:fldChar w:fldCharType="begin"/>
          </w:r>
          <w:r>
            <w:instrText xml:space="preserve"> PAGEREF _Toc108422240 \h </w:instrText>
          </w:r>
          <w:r>
            <w:fldChar w:fldCharType="separate"/>
          </w:r>
          <w:r>
            <w:t>- 117 -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"_Toc108422241" </w:instrText>
          </w:r>
          <w:r>
            <w:fldChar w:fldCharType="separate"/>
          </w:r>
          <w:r>
            <w:rPr>
              <w:rStyle w:val="31"/>
              <w:color w:val="auto"/>
              <w14:scene3d w14:prst="orthographicFront">
                <w14:lightRig w14:rig="threePt" w14:dir="t">
                  <w14:rot w14:lat="0" w14:lon="0" w14:rev="0"/>
                </w14:lightRig>
              </w14:scene3d>
            </w:rPr>
            <w:t>6.3</w:t>
          </w:r>
          <w:r>
            <w:rPr>
              <w:rStyle w:val="31"/>
              <w:rFonts w:hint="eastAsia"/>
              <w:color w:val="auto"/>
            </w:rPr>
            <w:t xml:space="preserve"> 风险调查</w:t>
          </w:r>
          <w:r>
            <w:tab/>
          </w:r>
          <w:r>
            <w:fldChar w:fldCharType="begin"/>
          </w:r>
          <w:r>
            <w:instrText xml:space="preserve"> PAGEREF _Toc108422241 \h </w:instrText>
          </w:r>
          <w:r>
            <w:fldChar w:fldCharType="separate"/>
          </w:r>
          <w:r>
            <w:t>- 117 -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"_Toc108422242" </w:instrText>
          </w:r>
          <w:r>
            <w:fldChar w:fldCharType="separate"/>
          </w:r>
          <w:r>
            <w:rPr>
              <w:rStyle w:val="31"/>
              <w:color w:val="auto"/>
              <w14:scene3d w14:prst="orthographicFront">
                <w14:lightRig w14:rig="threePt" w14:dir="t">
                  <w14:rot w14:lat="0" w14:lon="0" w14:rev="0"/>
                </w14:lightRig>
              </w14:scene3d>
            </w:rPr>
            <w:t>6.4</w:t>
          </w:r>
          <w:r>
            <w:rPr>
              <w:rStyle w:val="31"/>
              <w:rFonts w:hint="eastAsia"/>
              <w:color w:val="auto"/>
            </w:rPr>
            <w:t xml:space="preserve"> 风险潜势初判</w:t>
          </w:r>
          <w:r>
            <w:tab/>
          </w:r>
          <w:r>
            <w:fldChar w:fldCharType="begin"/>
          </w:r>
          <w:r>
            <w:instrText xml:space="preserve"> PAGEREF _Toc108422242 \h </w:instrText>
          </w:r>
          <w:r>
            <w:fldChar w:fldCharType="separate"/>
          </w:r>
          <w:r>
            <w:t>- 119 -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"_Toc108422243" </w:instrText>
          </w:r>
          <w:r>
            <w:fldChar w:fldCharType="separate"/>
          </w:r>
          <w:r>
            <w:rPr>
              <w:rStyle w:val="31"/>
              <w:color w:val="auto"/>
              <w14:scene3d w14:prst="orthographicFront">
                <w14:lightRig w14:rig="threePt" w14:dir="t">
                  <w14:rot w14:lat="0" w14:lon="0" w14:rev="0"/>
                </w14:lightRig>
              </w14:scene3d>
            </w:rPr>
            <w:t>6.5</w:t>
          </w:r>
          <w:r>
            <w:rPr>
              <w:rStyle w:val="31"/>
              <w:rFonts w:hint="eastAsia"/>
              <w:color w:val="auto"/>
            </w:rPr>
            <w:t xml:space="preserve"> 环境风险评价等级</w:t>
          </w:r>
          <w:r>
            <w:tab/>
          </w:r>
          <w:r>
            <w:fldChar w:fldCharType="begin"/>
          </w:r>
          <w:r>
            <w:instrText xml:space="preserve"> PAGEREF _Toc108422243 \h </w:instrText>
          </w:r>
          <w:r>
            <w:fldChar w:fldCharType="separate"/>
          </w:r>
          <w:r>
            <w:t>- 120 -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"_Toc108422244" </w:instrText>
          </w:r>
          <w:r>
            <w:fldChar w:fldCharType="separate"/>
          </w:r>
          <w:r>
            <w:rPr>
              <w:rStyle w:val="31"/>
              <w:color w:val="auto"/>
              <w14:scene3d w14:prst="orthographicFront">
                <w14:lightRig w14:rig="threePt" w14:dir="t">
                  <w14:rot w14:lat="0" w14:lon="0" w14:rev="0"/>
                </w14:lightRig>
              </w14:scene3d>
            </w:rPr>
            <w:t>6.6</w:t>
          </w:r>
          <w:r>
            <w:rPr>
              <w:rStyle w:val="31"/>
              <w:rFonts w:hint="eastAsia"/>
              <w:color w:val="auto"/>
            </w:rPr>
            <w:t xml:space="preserve"> 风险识别</w:t>
          </w:r>
          <w:r>
            <w:tab/>
          </w:r>
          <w:r>
            <w:fldChar w:fldCharType="begin"/>
          </w:r>
          <w:r>
            <w:instrText xml:space="preserve"> PAGEREF _Toc108422244 \h </w:instrText>
          </w:r>
          <w:r>
            <w:fldChar w:fldCharType="separate"/>
          </w:r>
          <w:r>
            <w:t>- 120 -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"_Toc108422245" </w:instrText>
          </w:r>
          <w:r>
            <w:fldChar w:fldCharType="separate"/>
          </w:r>
          <w:r>
            <w:rPr>
              <w:rStyle w:val="31"/>
              <w:color w:val="auto"/>
              <w14:scene3d w14:prst="orthographicFront">
                <w14:lightRig w14:rig="threePt" w14:dir="t">
                  <w14:rot w14:lat="0" w14:lon="0" w14:rev="0"/>
                </w14:lightRig>
              </w14:scene3d>
            </w:rPr>
            <w:t>6.7</w:t>
          </w:r>
          <w:r>
            <w:rPr>
              <w:rStyle w:val="31"/>
              <w:rFonts w:hint="eastAsia"/>
              <w:color w:val="auto"/>
            </w:rPr>
            <w:t xml:space="preserve"> 环境风险分析</w:t>
          </w:r>
          <w:r>
            <w:tab/>
          </w:r>
          <w:r>
            <w:fldChar w:fldCharType="begin"/>
          </w:r>
          <w:r>
            <w:instrText xml:space="preserve"> PAGEREF _Toc108422245 \h </w:instrText>
          </w:r>
          <w:r>
            <w:fldChar w:fldCharType="separate"/>
          </w:r>
          <w:r>
            <w:t>- 121 -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"_Toc108422246" </w:instrText>
          </w:r>
          <w:r>
            <w:fldChar w:fldCharType="separate"/>
          </w:r>
          <w:r>
            <w:rPr>
              <w:rStyle w:val="31"/>
              <w:color w:val="auto"/>
              <w14:scene3d w14:prst="orthographicFront">
                <w14:lightRig w14:rig="threePt" w14:dir="t">
                  <w14:rot w14:lat="0" w14:lon="0" w14:rev="0"/>
                </w14:lightRig>
              </w14:scene3d>
            </w:rPr>
            <w:t>6.8</w:t>
          </w:r>
          <w:r>
            <w:rPr>
              <w:rStyle w:val="31"/>
              <w:rFonts w:hint="eastAsia"/>
              <w:color w:val="auto"/>
            </w:rPr>
            <w:t xml:space="preserve"> 风险防范措施</w:t>
          </w:r>
          <w:r>
            <w:tab/>
          </w:r>
          <w:r>
            <w:fldChar w:fldCharType="begin"/>
          </w:r>
          <w:r>
            <w:instrText xml:space="preserve"> PAGEREF _Toc108422246 \h </w:instrText>
          </w:r>
          <w:r>
            <w:fldChar w:fldCharType="separate"/>
          </w:r>
          <w:r>
            <w:t>- 122 -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"_Toc108422247" </w:instrText>
          </w:r>
          <w:r>
            <w:fldChar w:fldCharType="separate"/>
          </w:r>
          <w:r>
            <w:rPr>
              <w:rStyle w:val="31"/>
              <w:color w:val="auto"/>
              <w14:scene3d w14:prst="orthographicFront">
                <w14:lightRig w14:rig="threePt" w14:dir="t">
                  <w14:rot w14:lat="0" w14:lon="0" w14:rev="0"/>
                </w14:lightRig>
              </w14:scene3d>
            </w:rPr>
            <w:t>6.9</w:t>
          </w:r>
          <w:r>
            <w:rPr>
              <w:rStyle w:val="31"/>
              <w:rFonts w:hint="eastAsia"/>
              <w:color w:val="auto"/>
            </w:rPr>
            <w:t xml:space="preserve"> 风险事故应急预案</w:t>
          </w:r>
          <w:r>
            <w:tab/>
          </w:r>
          <w:r>
            <w:fldChar w:fldCharType="begin"/>
          </w:r>
          <w:r>
            <w:instrText xml:space="preserve"> PAGEREF _Toc108422247 \h </w:instrText>
          </w:r>
          <w:r>
            <w:fldChar w:fldCharType="separate"/>
          </w:r>
          <w:r>
            <w:t>- 124 -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"_Toc108422248" </w:instrText>
          </w:r>
          <w:r>
            <w:fldChar w:fldCharType="separate"/>
          </w:r>
          <w:r>
            <w:rPr>
              <w:rStyle w:val="31"/>
              <w:color w:val="auto"/>
              <w14:scene3d w14:prst="orthographicFront">
                <w14:lightRig w14:rig="threePt" w14:dir="t">
                  <w14:rot w14:lat="0" w14:lon="0" w14:rev="0"/>
                </w14:lightRig>
              </w14:scene3d>
            </w:rPr>
            <w:t>6.10</w:t>
          </w:r>
          <w:r>
            <w:rPr>
              <w:rStyle w:val="31"/>
              <w:rFonts w:hint="eastAsia"/>
              <w:color w:val="auto"/>
            </w:rPr>
            <w:t xml:space="preserve"> 风险评价小结</w:t>
          </w:r>
          <w:r>
            <w:tab/>
          </w:r>
          <w:r>
            <w:fldChar w:fldCharType="begin"/>
          </w:r>
          <w:r>
            <w:instrText xml:space="preserve"> PAGEREF _Toc108422248 \h </w:instrText>
          </w:r>
          <w:r>
            <w:fldChar w:fldCharType="separate"/>
          </w:r>
          <w:r>
            <w:t>- 125 -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"_Toc108422249" </w:instrText>
          </w:r>
          <w:r>
            <w:fldChar w:fldCharType="separate"/>
          </w:r>
          <w:r>
            <w:rPr>
              <w:rStyle w:val="31"/>
              <w:color w:val="auto"/>
            </w:rPr>
            <w:t>7</w:t>
          </w:r>
          <w:r>
            <w:rPr>
              <w:rStyle w:val="31"/>
              <w:rFonts w:hint="eastAsia"/>
              <w:color w:val="auto"/>
            </w:rPr>
            <w:t xml:space="preserve"> 环境保护措施及其可行性论证</w:t>
          </w:r>
          <w:r>
            <w:tab/>
          </w:r>
          <w:r>
            <w:fldChar w:fldCharType="begin"/>
          </w:r>
          <w:r>
            <w:instrText xml:space="preserve"> PAGEREF _Toc108422249 \h </w:instrText>
          </w:r>
          <w:r>
            <w:fldChar w:fldCharType="separate"/>
          </w:r>
          <w:r>
            <w:t>- 127 -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"_Toc108422250" </w:instrText>
          </w:r>
          <w:r>
            <w:fldChar w:fldCharType="separate"/>
          </w:r>
          <w:r>
            <w:rPr>
              <w:rStyle w:val="31"/>
              <w:color w:val="auto"/>
              <w14:scene3d w14:prst="orthographicFront">
                <w14:lightRig w14:rig="threePt" w14:dir="t">
                  <w14:rot w14:lat="0" w14:lon="0" w14:rev="0"/>
                </w14:lightRig>
              </w14:scene3d>
            </w:rPr>
            <w:t>7.1</w:t>
          </w:r>
          <w:r>
            <w:rPr>
              <w:rStyle w:val="31"/>
              <w:rFonts w:hint="eastAsia"/>
              <w:color w:val="auto"/>
            </w:rPr>
            <w:t xml:space="preserve"> 施工期污染防治措施及技术经济分析</w:t>
          </w:r>
          <w:r>
            <w:tab/>
          </w:r>
          <w:r>
            <w:fldChar w:fldCharType="begin"/>
          </w:r>
          <w:r>
            <w:instrText xml:space="preserve"> PAGEREF _Toc108422250 \h </w:instrText>
          </w:r>
          <w:r>
            <w:fldChar w:fldCharType="separate"/>
          </w:r>
          <w:r>
            <w:t>- 127 -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"_Toc108422251" </w:instrText>
          </w:r>
          <w:r>
            <w:fldChar w:fldCharType="separate"/>
          </w:r>
          <w:r>
            <w:rPr>
              <w:rStyle w:val="31"/>
              <w:color w:val="auto"/>
              <w14:scene3d w14:prst="orthographicFront">
                <w14:lightRig w14:rig="threePt" w14:dir="t">
                  <w14:rot w14:lat="0" w14:lon="0" w14:rev="0"/>
                </w14:lightRig>
              </w14:scene3d>
            </w:rPr>
            <w:t>7.2</w:t>
          </w:r>
          <w:r>
            <w:rPr>
              <w:rStyle w:val="31"/>
              <w:rFonts w:hint="eastAsia"/>
              <w:color w:val="auto"/>
            </w:rPr>
            <w:t xml:space="preserve"> 运营期污染防治措施及技术经济分析</w:t>
          </w:r>
          <w:r>
            <w:tab/>
          </w:r>
          <w:r>
            <w:fldChar w:fldCharType="begin"/>
          </w:r>
          <w:r>
            <w:instrText xml:space="preserve"> PAGEREF _Toc108422251 \h </w:instrText>
          </w:r>
          <w:r>
            <w:fldChar w:fldCharType="separate"/>
          </w:r>
          <w:r>
            <w:t>- 127 -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"_Toc108422252" </w:instrText>
          </w:r>
          <w:r>
            <w:fldChar w:fldCharType="separate"/>
          </w:r>
          <w:r>
            <w:rPr>
              <w:rStyle w:val="31"/>
              <w:color w:val="auto"/>
            </w:rPr>
            <w:t>8</w:t>
          </w:r>
          <w:r>
            <w:rPr>
              <w:rStyle w:val="31"/>
              <w:rFonts w:hint="eastAsia"/>
              <w:color w:val="auto"/>
            </w:rPr>
            <w:t xml:space="preserve"> 环境影响经济损益分析</w:t>
          </w:r>
          <w:r>
            <w:tab/>
          </w:r>
          <w:r>
            <w:fldChar w:fldCharType="begin"/>
          </w:r>
          <w:r>
            <w:instrText xml:space="preserve"> PAGEREF _Toc108422252 \h </w:instrText>
          </w:r>
          <w:r>
            <w:fldChar w:fldCharType="separate"/>
          </w:r>
          <w:r>
            <w:t>- 149 -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"_Toc108422253" </w:instrText>
          </w:r>
          <w:r>
            <w:fldChar w:fldCharType="separate"/>
          </w:r>
          <w:r>
            <w:rPr>
              <w:rStyle w:val="31"/>
              <w:color w:val="auto"/>
              <w14:scene3d w14:prst="orthographicFront">
                <w14:lightRig w14:rig="threePt" w14:dir="t">
                  <w14:rot w14:lat="0" w14:lon="0" w14:rev="0"/>
                </w14:lightRig>
              </w14:scene3d>
            </w:rPr>
            <w:t>8.1</w:t>
          </w:r>
          <w:r>
            <w:rPr>
              <w:rStyle w:val="31"/>
              <w:rFonts w:hint="eastAsia"/>
              <w:color w:val="auto"/>
            </w:rPr>
            <w:t xml:space="preserve"> 社会效益分析</w:t>
          </w:r>
          <w:r>
            <w:tab/>
          </w:r>
          <w:r>
            <w:fldChar w:fldCharType="begin"/>
          </w:r>
          <w:r>
            <w:instrText xml:space="preserve"> PAGEREF _Toc108422253 \h </w:instrText>
          </w:r>
          <w:r>
            <w:fldChar w:fldCharType="separate"/>
          </w:r>
          <w:r>
            <w:t>- 149 -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"_Toc108422254" </w:instrText>
          </w:r>
          <w:r>
            <w:fldChar w:fldCharType="separate"/>
          </w:r>
          <w:r>
            <w:rPr>
              <w:rStyle w:val="31"/>
              <w:color w:val="auto"/>
              <w14:scene3d w14:prst="orthographicFront">
                <w14:lightRig w14:rig="threePt" w14:dir="t">
                  <w14:rot w14:lat="0" w14:lon="0" w14:rev="0"/>
                </w14:lightRig>
              </w14:scene3d>
            </w:rPr>
            <w:t>8.2</w:t>
          </w:r>
          <w:r>
            <w:rPr>
              <w:rStyle w:val="31"/>
              <w:rFonts w:hint="eastAsia"/>
              <w:color w:val="auto"/>
            </w:rPr>
            <w:t xml:space="preserve"> 经济效益</w:t>
          </w:r>
          <w:r>
            <w:tab/>
          </w:r>
          <w:r>
            <w:fldChar w:fldCharType="begin"/>
          </w:r>
          <w:r>
            <w:instrText xml:space="preserve"> PAGEREF _Toc108422254 \h </w:instrText>
          </w:r>
          <w:r>
            <w:fldChar w:fldCharType="separate"/>
          </w:r>
          <w:r>
            <w:t>- 149 -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"_Toc108422255" </w:instrText>
          </w:r>
          <w:r>
            <w:fldChar w:fldCharType="separate"/>
          </w:r>
          <w:r>
            <w:rPr>
              <w:rStyle w:val="31"/>
              <w:color w:val="auto"/>
              <w14:scene3d w14:prst="orthographicFront">
                <w14:lightRig w14:rig="threePt" w14:dir="t">
                  <w14:rot w14:lat="0" w14:lon="0" w14:rev="0"/>
                </w14:lightRig>
              </w14:scene3d>
            </w:rPr>
            <w:t>8.3</w:t>
          </w:r>
          <w:r>
            <w:rPr>
              <w:rStyle w:val="31"/>
              <w:rFonts w:hint="eastAsia"/>
              <w:color w:val="auto"/>
            </w:rPr>
            <w:t xml:space="preserve"> 环境效益分析</w:t>
          </w:r>
          <w:r>
            <w:tab/>
          </w:r>
          <w:r>
            <w:fldChar w:fldCharType="begin"/>
          </w:r>
          <w:r>
            <w:instrText xml:space="preserve"> PAGEREF _Toc108422255 \h </w:instrText>
          </w:r>
          <w:r>
            <w:fldChar w:fldCharType="separate"/>
          </w:r>
          <w:r>
            <w:t>- 149 -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"_Toc108422256" </w:instrText>
          </w:r>
          <w:r>
            <w:fldChar w:fldCharType="separate"/>
          </w:r>
          <w:r>
            <w:rPr>
              <w:rStyle w:val="31"/>
              <w:color w:val="auto"/>
              <w14:scene3d w14:prst="orthographicFront">
                <w14:lightRig w14:rig="threePt" w14:dir="t">
                  <w14:rot w14:lat="0" w14:lon="0" w14:rev="0"/>
                </w14:lightRig>
              </w14:scene3d>
            </w:rPr>
            <w:t>8.4</w:t>
          </w:r>
          <w:r>
            <w:rPr>
              <w:rStyle w:val="31"/>
              <w:rFonts w:hint="eastAsia"/>
              <w:color w:val="auto"/>
            </w:rPr>
            <w:t xml:space="preserve"> 小结</w:t>
          </w:r>
          <w:r>
            <w:tab/>
          </w:r>
          <w:r>
            <w:fldChar w:fldCharType="begin"/>
          </w:r>
          <w:r>
            <w:instrText xml:space="preserve"> PAGEREF _Toc108422256 \h </w:instrText>
          </w:r>
          <w:r>
            <w:fldChar w:fldCharType="separate"/>
          </w:r>
          <w:r>
            <w:t>- 153 -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"_Toc108422257" </w:instrText>
          </w:r>
          <w:r>
            <w:fldChar w:fldCharType="separate"/>
          </w:r>
          <w:r>
            <w:rPr>
              <w:rStyle w:val="31"/>
              <w:color w:val="auto"/>
            </w:rPr>
            <w:t>9</w:t>
          </w:r>
          <w:r>
            <w:rPr>
              <w:rStyle w:val="31"/>
              <w:rFonts w:hint="eastAsia"/>
              <w:color w:val="auto"/>
            </w:rPr>
            <w:t xml:space="preserve"> 环境管理与监测计划</w:t>
          </w:r>
          <w:r>
            <w:tab/>
          </w:r>
          <w:r>
            <w:fldChar w:fldCharType="begin"/>
          </w:r>
          <w:r>
            <w:instrText xml:space="preserve"> PAGEREF _Toc108422257 \h </w:instrText>
          </w:r>
          <w:r>
            <w:fldChar w:fldCharType="separate"/>
          </w:r>
          <w:r>
            <w:t>- 155 -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"_Toc108422258" </w:instrText>
          </w:r>
          <w:r>
            <w:fldChar w:fldCharType="separate"/>
          </w:r>
          <w:r>
            <w:rPr>
              <w:rStyle w:val="31"/>
              <w:color w:val="auto"/>
              <w:u w:color="000000"/>
              <w14:scene3d w14:prst="orthographicFront">
                <w14:lightRig w14:rig="threePt" w14:dir="t">
                  <w14:rot w14:lat="0" w14:lon="0" w14:rev="0"/>
                </w14:lightRig>
              </w14:scene3d>
            </w:rPr>
            <w:t>9.1</w:t>
          </w:r>
          <w:r>
            <w:rPr>
              <w:rStyle w:val="31"/>
              <w:rFonts w:hint="eastAsia"/>
              <w:color w:val="auto"/>
              <w:u w:color="000000"/>
            </w:rPr>
            <w:t xml:space="preserve"> 环境管理</w:t>
          </w:r>
          <w:r>
            <w:tab/>
          </w:r>
          <w:r>
            <w:fldChar w:fldCharType="begin"/>
          </w:r>
          <w:r>
            <w:instrText xml:space="preserve"> PAGEREF _Toc108422258 \h </w:instrText>
          </w:r>
          <w:r>
            <w:fldChar w:fldCharType="separate"/>
          </w:r>
          <w:r>
            <w:t>- 155 -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"_Toc108422259" </w:instrText>
          </w:r>
          <w:r>
            <w:fldChar w:fldCharType="separate"/>
          </w:r>
          <w:r>
            <w:rPr>
              <w:rStyle w:val="31"/>
              <w:color w:val="auto"/>
              <w14:scene3d w14:prst="orthographicFront">
                <w14:lightRig w14:rig="threePt" w14:dir="t">
                  <w14:rot w14:lat="0" w14:lon="0" w14:rev="0"/>
                </w14:lightRig>
              </w14:scene3d>
            </w:rPr>
            <w:t>9.2</w:t>
          </w:r>
          <w:r>
            <w:rPr>
              <w:rStyle w:val="31"/>
              <w:rFonts w:hint="eastAsia"/>
              <w:color w:val="auto"/>
            </w:rPr>
            <w:t xml:space="preserve"> 污染物排放管理</w:t>
          </w:r>
          <w:r>
            <w:tab/>
          </w:r>
          <w:r>
            <w:fldChar w:fldCharType="begin"/>
          </w:r>
          <w:r>
            <w:instrText xml:space="preserve"> PAGEREF _Toc108422259 \h </w:instrText>
          </w:r>
          <w:r>
            <w:fldChar w:fldCharType="separate"/>
          </w:r>
          <w:r>
            <w:t>- 157 -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"_Toc108422260" </w:instrText>
          </w:r>
          <w:r>
            <w:fldChar w:fldCharType="separate"/>
          </w:r>
          <w:r>
            <w:rPr>
              <w:rStyle w:val="31"/>
              <w:snapToGrid w:val="0"/>
              <w:color w:val="auto"/>
              <w14:scene3d w14:prst="orthographicFront">
                <w14:lightRig w14:rig="threePt" w14:dir="t">
                  <w14:rot w14:lat="0" w14:lon="0" w14:rev="0"/>
                </w14:lightRig>
              </w14:scene3d>
            </w:rPr>
            <w:t>9.3</w:t>
          </w:r>
          <w:r>
            <w:rPr>
              <w:rStyle w:val="31"/>
              <w:rFonts w:hint="eastAsia"/>
              <w:snapToGrid w:val="0"/>
              <w:color w:val="auto"/>
            </w:rPr>
            <w:t xml:space="preserve"> 环境监测计划</w:t>
          </w:r>
          <w:r>
            <w:tab/>
          </w:r>
          <w:r>
            <w:fldChar w:fldCharType="begin"/>
          </w:r>
          <w:r>
            <w:instrText xml:space="preserve"> PAGEREF _Toc108422260 \h </w:instrText>
          </w:r>
          <w:r>
            <w:fldChar w:fldCharType="separate"/>
          </w:r>
          <w:r>
            <w:t>- 162 -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"_Toc108422261" </w:instrText>
          </w:r>
          <w:r>
            <w:fldChar w:fldCharType="separate"/>
          </w:r>
          <w:r>
            <w:rPr>
              <w:rStyle w:val="31"/>
              <w:color w:val="auto"/>
              <w14:scene3d w14:prst="orthographicFront">
                <w14:lightRig w14:rig="threePt" w14:dir="t">
                  <w14:rot w14:lat="0" w14:lon="0" w14:rev="0"/>
                </w14:lightRig>
              </w14:scene3d>
            </w:rPr>
            <w:t>9.4</w:t>
          </w:r>
          <w:r>
            <w:rPr>
              <w:rStyle w:val="31"/>
              <w:rFonts w:hint="eastAsia"/>
              <w:color w:val="auto"/>
            </w:rPr>
            <w:t xml:space="preserve"> 竣工环保验收清单</w:t>
          </w:r>
          <w:r>
            <w:tab/>
          </w:r>
          <w:r>
            <w:fldChar w:fldCharType="begin"/>
          </w:r>
          <w:r>
            <w:instrText xml:space="preserve"> PAGEREF _Toc108422261 \h </w:instrText>
          </w:r>
          <w:r>
            <w:fldChar w:fldCharType="separate"/>
          </w:r>
          <w:r>
            <w:t>- 163 -</w:t>
          </w:r>
          <w:r>
            <w:fldChar w:fldCharType="end"/>
          </w:r>
          <w:r>
            <w:fldChar w:fldCharType="end"/>
          </w:r>
        </w:p>
        <w:p>
          <w:pPr>
            <w:pStyle w:val="21"/>
            <w:tabs>
              <w:tab w:val="right" w:leader="dot" w:pos="8296"/>
            </w:tabs>
            <w:rPr>
              <w:rFonts w:asciiTheme="minorHAnsi" w:hAnsiTheme="minorHAnsi" w:eastAsiaTheme="minorEastAsia" w:cstheme="minorBidi"/>
              <w:sz w:val="21"/>
              <w:szCs w:val="22"/>
            </w:rPr>
          </w:pPr>
          <w:r>
            <w:fldChar w:fldCharType="begin"/>
          </w:r>
          <w:r>
            <w:instrText xml:space="preserve"> HYPERLINK \l "_Toc108422262" </w:instrText>
          </w:r>
          <w:r>
            <w:fldChar w:fldCharType="separate"/>
          </w:r>
          <w:r>
            <w:rPr>
              <w:rStyle w:val="31"/>
              <w:color w:val="auto"/>
            </w:rPr>
            <w:t>10</w:t>
          </w:r>
          <w:r>
            <w:rPr>
              <w:rStyle w:val="31"/>
              <w:rFonts w:hint="eastAsia"/>
              <w:color w:val="auto"/>
            </w:rPr>
            <w:t xml:space="preserve"> 结论和建议</w:t>
          </w:r>
          <w:r>
            <w:tab/>
          </w:r>
          <w:r>
            <w:fldChar w:fldCharType="begin"/>
          </w:r>
          <w:r>
            <w:instrText xml:space="preserve"> PAGEREF _Toc108422262 \h </w:instrText>
          </w:r>
          <w:r>
            <w:fldChar w:fldCharType="separate"/>
          </w:r>
          <w:r>
            <w:t>- 167 -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"_Toc108422263" </w:instrText>
          </w:r>
          <w:r>
            <w:fldChar w:fldCharType="separate"/>
          </w:r>
          <w:r>
            <w:rPr>
              <w:rStyle w:val="31"/>
              <w:color w:val="auto"/>
              <w14:scene3d w14:prst="orthographicFront">
                <w14:lightRig w14:rig="threePt" w14:dir="t">
                  <w14:rot w14:lat="0" w14:lon="0" w14:rev="0"/>
                </w14:lightRig>
              </w14:scene3d>
            </w:rPr>
            <w:t>10.1</w:t>
          </w:r>
          <w:r>
            <w:rPr>
              <w:rStyle w:val="31"/>
              <w:rFonts w:hint="eastAsia"/>
              <w:color w:val="auto"/>
            </w:rPr>
            <w:t xml:space="preserve"> 项目概况</w:t>
          </w:r>
          <w:r>
            <w:tab/>
          </w:r>
          <w:r>
            <w:fldChar w:fldCharType="begin"/>
          </w:r>
          <w:r>
            <w:instrText xml:space="preserve"> PAGEREF _Toc108422263 \h </w:instrText>
          </w:r>
          <w:r>
            <w:fldChar w:fldCharType="separate"/>
          </w:r>
          <w:r>
            <w:t>- 167 -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"_Toc108422264" </w:instrText>
          </w:r>
          <w:r>
            <w:fldChar w:fldCharType="separate"/>
          </w:r>
          <w:r>
            <w:rPr>
              <w:rStyle w:val="31"/>
              <w:color w:val="auto"/>
              <w14:scene3d w14:prst="orthographicFront">
                <w14:lightRig w14:rig="threePt" w14:dir="t">
                  <w14:rot w14:lat="0" w14:lon="0" w14:rev="0"/>
                </w14:lightRig>
              </w14:scene3d>
            </w:rPr>
            <w:t>10.2</w:t>
          </w:r>
          <w:r>
            <w:rPr>
              <w:rStyle w:val="31"/>
              <w:rFonts w:hint="eastAsia"/>
              <w:color w:val="auto"/>
            </w:rPr>
            <w:t xml:space="preserve"> 环境质量现状结论</w:t>
          </w:r>
          <w:r>
            <w:tab/>
          </w:r>
          <w:r>
            <w:fldChar w:fldCharType="begin"/>
          </w:r>
          <w:r>
            <w:instrText xml:space="preserve"> PAGEREF _Toc108422264 \h </w:instrText>
          </w:r>
          <w:r>
            <w:fldChar w:fldCharType="separate"/>
          </w:r>
          <w:r>
            <w:t>- 167 -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"_Toc108422265" </w:instrText>
          </w:r>
          <w:r>
            <w:fldChar w:fldCharType="separate"/>
          </w:r>
          <w:r>
            <w:rPr>
              <w:rStyle w:val="31"/>
              <w:color w:val="auto"/>
              <w14:scene3d w14:prst="orthographicFront">
                <w14:lightRig w14:rig="threePt" w14:dir="t">
                  <w14:rot w14:lat="0" w14:lon="0" w14:rev="0"/>
                </w14:lightRig>
              </w14:scene3d>
            </w:rPr>
            <w:t>10.3</w:t>
          </w:r>
          <w:r>
            <w:rPr>
              <w:rStyle w:val="31"/>
              <w:rFonts w:hint="eastAsia"/>
              <w:color w:val="auto"/>
            </w:rPr>
            <w:t xml:space="preserve"> 运营期环境影响分析及保护措施</w:t>
          </w:r>
          <w:r>
            <w:tab/>
          </w:r>
          <w:r>
            <w:fldChar w:fldCharType="begin"/>
          </w:r>
          <w:r>
            <w:instrText xml:space="preserve"> PAGEREF _Toc108422265 \h </w:instrText>
          </w:r>
          <w:r>
            <w:fldChar w:fldCharType="separate"/>
          </w:r>
          <w:r>
            <w:t>- 168 -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"_Toc108422266" </w:instrText>
          </w:r>
          <w:r>
            <w:fldChar w:fldCharType="separate"/>
          </w:r>
          <w:r>
            <w:rPr>
              <w:rStyle w:val="31"/>
              <w:color w:val="auto"/>
              <w:kern w:val="0"/>
              <w14:scene3d w14:prst="orthographicFront">
                <w14:lightRig w14:rig="threePt" w14:dir="t">
                  <w14:rot w14:lat="0" w14:lon="0" w14:rev="0"/>
                </w14:lightRig>
              </w14:scene3d>
            </w:rPr>
            <w:t>10.4</w:t>
          </w:r>
          <w:r>
            <w:rPr>
              <w:rStyle w:val="31"/>
              <w:rFonts w:hint="eastAsia"/>
              <w:color w:val="auto"/>
              <w:kern w:val="0"/>
            </w:rPr>
            <w:t xml:space="preserve"> 公众参与</w:t>
          </w:r>
          <w:r>
            <w:tab/>
          </w:r>
          <w:r>
            <w:fldChar w:fldCharType="begin"/>
          </w:r>
          <w:r>
            <w:instrText xml:space="preserve"> PAGEREF _Toc108422266 \h </w:instrText>
          </w:r>
          <w:r>
            <w:fldChar w:fldCharType="separate"/>
          </w:r>
          <w:r>
            <w:t>- 169 -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"_Toc108422267" </w:instrText>
          </w:r>
          <w:r>
            <w:fldChar w:fldCharType="separate"/>
          </w:r>
          <w:r>
            <w:rPr>
              <w:rStyle w:val="31"/>
              <w:color w:val="auto"/>
              <w14:scene3d w14:prst="orthographicFront">
                <w14:lightRig w14:rig="threePt" w14:dir="t">
                  <w14:rot w14:lat="0" w14:lon="0" w14:rev="0"/>
                </w14:lightRig>
              </w14:scene3d>
            </w:rPr>
            <w:t>10.5</w:t>
          </w:r>
          <w:r>
            <w:rPr>
              <w:rStyle w:val="31"/>
              <w:rFonts w:hint="eastAsia"/>
              <w:color w:val="auto"/>
            </w:rPr>
            <w:t xml:space="preserve"> 总结论</w:t>
          </w:r>
          <w:r>
            <w:tab/>
          </w:r>
          <w:r>
            <w:fldChar w:fldCharType="begin"/>
          </w:r>
          <w:r>
            <w:instrText xml:space="preserve"> PAGEREF _Toc108422267 \h </w:instrText>
          </w:r>
          <w:r>
            <w:fldChar w:fldCharType="separate"/>
          </w:r>
          <w:r>
            <w:t>- 169 -</w:t>
          </w:r>
          <w:r>
            <w:fldChar w:fldCharType="end"/>
          </w:r>
          <w:r>
            <w:fldChar w:fldCharType="end"/>
          </w:r>
        </w:p>
        <w:p>
          <w:pPr>
            <w:pStyle w:val="23"/>
            <w:ind w:firstLine="480"/>
            <w:rPr>
              <w:rFonts w:asciiTheme="minorHAnsi" w:hAnsiTheme="minorHAnsi" w:eastAsiaTheme="minorEastAsia" w:cstheme="minorBidi"/>
              <w:sz w:val="21"/>
            </w:rPr>
          </w:pPr>
          <w:r>
            <w:fldChar w:fldCharType="begin"/>
          </w:r>
          <w:r>
            <w:instrText xml:space="preserve"> HYPERLINK \l "_Toc108422268" </w:instrText>
          </w:r>
          <w:r>
            <w:fldChar w:fldCharType="separate"/>
          </w:r>
          <w:r>
            <w:rPr>
              <w:rStyle w:val="31"/>
              <w:color w:val="auto"/>
              <w14:scene3d w14:prst="orthographicFront">
                <w14:lightRig w14:rig="threePt" w14:dir="t">
                  <w14:rot w14:lat="0" w14:lon="0" w14:rev="0"/>
                </w14:lightRig>
              </w14:scene3d>
            </w:rPr>
            <w:t>10.6</w:t>
          </w:r>
          <w:r>
            <w:rPr>
              <w:rStyle w:val="31"/>
              <w:rFonts w:hint="eastAsia"/>
              <w:color w:val="auto"/>
            </w:rPr>
            <w:t xml:space="preserve"> 要求和建议</w:t>
          </w:r>
          <w:r>
            <w:tab/>
          </w:r>
          <w:r>
            <w:fldChar w:fldCharType="begin"/>
          </w:r>
          <w:r>
            <w:instrText xml:space="preserve"> PAGEREF _Toc108422268 \h </w:instrText>
          </w:r>
          <w:r>
            <w:fldChar w:fldCharType="separate"/>
          </w:r>
          <w:r>
            <w:t>- 169 -</w:t>
          </w:r>
          <w:r>
            <w:fldChar w:fldCharType="end"/>
          </w:r>
          <w:r>
            <w:fldChar w:fldCharType="end"/>
          </w:r>
        </w:p>
        <w:p>
          <w:pPr>
            <w:ind w:firstLine="0" w:firstLineChars="0"/>
            <w:rPr>
              <w:b/>
              <w:bCs/>
              <w:lang w:val="zh-CN"/>
            </w:rPr>
          </w:pPr>
          <w:r>
            <w:fldChar w:fldCharType="end"/>
          </w:r>
        </w:p>
      </w:sdtContent>
    </w:sdt>
    <w:p>
      <w:pPr>
        <w:ind w:firstLine="0" w:firstLineChars="0"/>
      </w:pPr>
      <w:r>
        <w:rPr>
          <w:szCs w:val="24"/>
        </w:rPr>
        <w:fldChar w:fldCharType="begin"/>
      </w:r>
      <w:r>
        <w:instrText xml:space="preserve"> TOC \o "1-2" \h \z \u </w:instrText>
      </w:r>
      <w:r>
        <w:rPr>
          <w:szCs w:val="24"/>
        </w:rPr>
        <w:fldChar w:fldCharType="separate"/>
      </w:r>
    </w:p>
    <w:p>
      <w:pPr>
        <w:adjustRightInd/>
        <w:snapToGrid/>
        <w:ind w:firstLine="0" w:firstLineChars="0"/>
        <w:rPr>
          <w:b/>
        </w:rPr>
      </w:pPr>
      <w:r>
        <w:rPr>
          <w:rFonts w:hint="eastAsia"/>
          <w:b/>
        </w:rPr>
        <w:t>附图</w:t>
      </w:r>
      <w:r>
        <w:rPr>
          <w:b/>
        </w:rPr>
        <w:t>：</w:t>
      </w:r>
    </w:p>
    <w:p>
      <w:pPr>
        <w:adjustRightInd/>
        <w:snapToGrid/>
        <w:ind w:firstLine="480"/>
      </w:pPr>
      <w:r>
        <w:rPr>
          <w:rFonts w:hint="eastAsia"/>
        </w:rPr>
        <w:t>图2.7-1：</w:t>
      </w:r>
      <w:r>
        <w:t>评价范围及敏感目标</w:t>
      </w:r>
    </w:p>
    <w:p>
      <w:pPr>
        <w:adjustRightInd/>
        <w:snapToGrid/>
        <w:ind w:firstLine="480"/>
      </w:pPr>
      <w:r>
        <w:rPr>
          <w:rFonts w:hint="eastAsia"/>
        </w:rPr>
        <w:t>图3.</w:t>
      </w:r>
      <w:r>
        <w:t>1</w:t>
      </w:r>
      <w:r>
        <w:rPr>
          <w:rFonts w:hint="eastAsia"/>
        </w:rPr>
        <w:t>-1：</w:t>
      </w:r>
      <w:r>
        <w:t>项目地理位置图</w:t>
      </w:r>
    </w:p>
    <w:p>
      <w:pPr>
        <w:adjustRightInd/>
        <w:snapToGrid/>
        <w:ind w:firstLine="480"/>
        <w:rPr>
          <w:bCs/>
        </w:rPr>
      </w:pPr>
      <w:r>
        <w:rPr>
          <w:rFonts w:hint="eastAsia"/>
        </w:rPr>
        <w:t>图3.</w:t>
      </w:r>
      <w:r>
        <w:t>1</w:t>
      </w:r>
      <w:r>
        <w:rPr>
          <w:rFonts w:hint="eastAsia"/>
        </w:rPr>
        <w:t>-2：</w:t>
      </w:r>
      <w:r>
        <w:rPr>
          <w:rFonts w:hint="eastAsia"/>
          <w:bCs/>
        </w:rPr>
        <w:t>养殖</w:t>
      </w:r>
      <w:r>
        <w:rPr>
          <w:bCs/>
        </w:rPr>
        <w:t>区</w:t>
      </w:r>
      <w:r>
        <w:rPr>
          <w:rFonts w:hint="eastAsia"/>
          <w:bCs/>
        </w:rPr>
        <w:t>整体平面布置示意</w:t>
      </w:r>
      <w:r>
        <w:rPr>
          <w:bCs/>
        </w:rPr>
        <w:t>图</w:t>
      </w:r>
    </w:p>
    <w:p>
      <w:pPr>
        <w:adjustRightInd/>
        <w:snapToGrid/>
        <w:ind w:firstLine="480"/>
      </w:pPr>
      <w:r>
        <w:rPr>
          <w:rFonts w:hint="eastAsia"/>
        </w:rPr>
        <w:t>图</w:t>
      </w:r>
      <w:r>
        <w:t>4</w:t>
      </w:r>
      <w:r>
        <w:rPr>
          <w:rFonts w:hint="eastAsia"/>
        </w:rPr>
        <w:t>.2-1：大气</w:t>
      </w:r>
      <w:r>
        <w:t>、地表水、土壤、噪声</w:t>
      </w:r>
      <w:r>
        <w:rPr>
          <w:rFonts w:hint="eastAsia"/>
        </w:rPr>
        <w:t>监测</w:t>
      </w:r>
      <w:r>
        <w:t>点位图</w:t>
      </w:r>
    </w:p>
    <w:p>
      <w:pPr>
        <w:adjustRightInd/>
        <w:snapToGrid/>
        <w:ind w:firstLine="480"/>
      </w:pPr>
      <w:r>
        <w:rPr>
          <w:rFonts w:hint="eastAsia"/>
        </w:rPr>
        <w:t>图4.2-2：</w:t>
      </w:r>
      <w:r>
        <w:t>项目地下水监测点位图</w:t>
      </w:r>
    </w:p>
    <w:p>
      <w:pPr>
        <w:adjustRightInd/>
        <w:snapToGrid/>
        <w:ind w:firstLine="480"/>
      </w:pPr>
      <w:r>
        <w:rPr>
          <w:rFonts w:hint="eastAsia"/>
        </w:rPr>
        <w:t>图7.2-1：</w:t>
      </w:r>
      <w:r>
        <w:t>项目分区防渗图</w:t>
      </w:r>
    </w:p>
    <w:p>
      <w:pPr>
        <w:adjustRightInd/>
        <w:snapToGrid/>
        <w:ind w:firstLine="480"/>
      </w:pPr>
    </w:p>
    <w:p>
      <w:pPr>
        <w:adjustRightInd/>
        <w:snapToGrid/>
        <w:ind w:firstLine="0" w:firstLineChars="0"/>
        <w:rPr>
          <w:b/>
        </w:rPr>
      </w:pPr>
      <w:r>
        <w:rPr>
          <w:rFonts w:hint="eastAsia"/>
          <w:b/>
        </w:rPr>
        <w:t>附件</w:t>
      </w:r>
      <w:r>
        <w:rPr>
          <w:b/>
        </w:rPr>
        <w:t>：</w:t>
      </w:r>
    </w:p>
    <w:p>
      <w:pPr>
        <w:adjustRightInd/>
        <w:snapToGrid/>
        <w:ind w:firstLine="480"/>
      </w:pPr>
      <w:r>
        <w:rPr>
          <w:rFonts w:hint="eastAsia"/>
        </w:rPr>
        <w:t>附件1：《陕西绿森园牧业有限公司种养殖项目</w:t>
      </w:r>
      <w:r>
        <w:t>环评委托书</w:t>
      </w:r>
      <w:r>
        <w:rPr>
          <w:rFonts w:hint="eastAsia"/>
        </w:rPr>
        <w:t>》</w:t>
      </w:r>
    </w:p>
    <w:p>
      <w:pPr>
        <w:adjustRightInd/>
        <w:snapToGrid/>
        <w:ind w:firstLine="480"/>
      </w:pPr>
      <w:r>
        <w:rPr>
          <w:rFonts w:hint="eastAsia"/>
        </w:rPr>
        <w:t>附件2：</w:t>
      </w:r>
      <w:r>
        <w:t>陕西省企业投资项目备案确认书</w:t>
      </w:r>
    </w:p>
    <w:p>
      <w:pPr>
        <w:adjustRightInd/>
        <w:snapToGrid/>
        <w:ind w:firstLine="480"/>
      </w:pPr>
      <w:r>
        <w:rPr>
          <w:rFonts w:hint="eastAsia"/>
        </w:rPr>
        <w:t>附件3：</w:t>
      </w:r>
      <w:r>
        <w:t>关口镇人民政府关于对陕西绿森园牧业有限公司设施农用地备案批复的通知</w:t>
      </w:r>
    </w:p>
    <w:p>
      <w:pPr>
        <w:adjustRightInd/>
        <w:snapToGrid/>
        <w:ind w:firstLine="480"/>
      </w:pPr>
      <w:r>
        <w:rPr>
          <w:rFonts w:hint="eastAsia"/>
        </w:rPr>
        <w:t>附件4：陕西绿森园牧业有限公司种养殖项目</w:t>
      </w:r>
      <w:r>
        <w:t>环评现状监测</w:t>
      </w:r>
    </w:p>
    <w:p>
      <w:pPr>
        <w:adjustRightInd/>
        <w:snapToGrid/>
        <w:ind w:firstLine="480"/>
      </w:pPr>
      <w:r>
        <w:rPr>
          <w:rFonts w:hint="eastAsia"/>
        </w:rPr>
        <w:t>附件5：农村土地经营权转包（出租）合同</w:t>
      </w:r>
    </w:p>
    <w:p>
      <w:pPr>
        <w:adjustRightInd/>
        <w:snapToGrid/>
        <w:ind w:firstLine="480"/>
      </w:pPr>
      <w:r>
        <w:rPr>
          <w:rFonts w:hint="eastAsia"/>
        </w:rPr>
        <w:t>附件6：安康市</w:t>
      </w:r>
      <w:r>
        <w:t>生态环境局行政</w:t>
      </w:r>
      <w:r>
        <w:rPr>
          <w:rFonts w:hint="eastAsia"/>
        </w:rPr>
        <w:t>行政</w:t>
      </w:r>
      <w:r>
        <w:t>处罚决定书；</w:t>
      </w:r>
    </w:p>
    <w:p>
      <w:pPr>
        <w:adjustRightInd/>
        <w:snapToGrid/>
        <w:ind w:firstLine="480"/>
      </w:pPr>
      <w:r>
        <w:rPr>
          <w:rFonts w:hint="eastAsia"/>
        </w:rPr>
        <w:t>附件7：缴费</w:t>
      </w:r>
      <w:r>
        <w:t>通知单</w:t>
      </w:r>
    </w:p>
    <w:p>
      <w:pPr>
        <w:adjustRightInd/>
        <w:snapToGrid/>
        <w:ind w:firstLine="480"/>
      </w:pPr>
    </w:p>
    <w:p>
      <w:pPr>
        <w:adjustRightInd/>
        <w:snapToGrid/>
        <w:ind w:firstLine="0" w:firstLineChars="0"/>
        <w:rPr>
          <w:b/>
        </w:rPr>
      </w:pPr>
      <w:r>
        <w:rPr>
          <w:rFonts w:hint="eastAsia"/>
          <w:b/>
        </w:rPr>
        <w:t>附表：</w:t>
      </w:r>
    </w:p>
    <w:p>
      <w:pPr>
        <w:adjustRightInd/>
        <w:snapToGrid/>
        <w:ind w:firstLine="480"/>
      </w:pPr>
      <w:r>
        <w:rPr>
          <w:rFonts w:hint="eastAsia"/>
        </w:rPr>
        <w:t>附表1：大气环境影响评价自查表</w:t>
      </w:r>
    </w:p>
    <w:p>
      <w:pPr>
        <w:adjustRightInd/>
        <w:snapToGrid/>
        <w:ind w:firstLine="480"/>
      </w:pPr>
      <w:r>
        <w:rPr>
          <w:rFonts w:hint="eastAsia"/>
        </w:rPr>
        <w:t>附表2：地表水环境影响评价自查表</w:t>
      </w:r>
    </w:p>
    <w:p>
      <w:pPr>
        <w:adjustRightInd/>
        <w:snapToGrid/>
        <w:ind w:firstLine="480"/>
      </w:pPr>
      <w:r>
        <w:rPr>
          <w:rFonts w:hint="eastAsia"/>
        </w:rPr>
        <w:t>附表3：土壤环境影响评价自查表</w:t>
      </w:r>
    </w:p>
    <w:p>
      <w:pPr>
        <w:pStyle w:val="23"/>
        <w:spacing w:line="500" w:lineRule="exact"/>
        <w:ind w:firstLine="420"/>
        <w:rPr>
          <w:rFonts w:asciiTheme="minorHAnsi" w:hAnsiTheme="minorHAnsi" w:eastAsiaTheme="minorEastAsia" w:cstheme="minorBidi"/>
          <w:sz w:val="21"/>
        </w:rPr>
      </w:pPr>
    </w:p>
    <w:p>
      <w:pPr>
        <w:spacing w:line="240" w:lineRule="auto"/>
        <w:ind w:firstLine="0" w:firstLineChars="0"/>
      </w:pPr>
      <w:r>
        <w:fldChar w:fldCharType="end"/>
      </w:r>
    </w:p>
    <w:p>
      <w:pPr>
        <w:ind w:firstLine="480"/>
      </w:pPr>
    </w:p>
    <w:p>
      <w:pPr>
        <w:ind w:firstLine="480"/>
      </w:pPr>
    </w:p>
    <w:p>
      <w:pPr>
        <w:ind w:firstLine="480"/>
      </w:pPr>
      <w:r>
        <w:br w:type="column"/>
      </w:r>
    </w:p>
    <w:p>
      <w:pPr>
        <w:ind w:firstLine="480"/>
      </w:pPr>
    </w:p>
    <w:p>
      <w:pPr>
        <w:ind w:firstLine="480"/>
      </w:pPr>
    </w:p>
    <w:p>
      <w:pPr>
        <w:ind w:firstLine="480"/>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992" w:footer="992" w:gutter="0"/>
          <w:pgNumType w:fmt="upperRoman" w:start="1"/>
          <w:cols w:space="425" w:num="1"/>
          <w:docGrid w:type="lines" w:linePitch="326" w:charSpace="0"/>
        </w:sectPr>
      </w:pPr>
    </w:p>
    <w:p>
      <w:pPr>
        <w:pStyle w:val="2"/>
      </w:pPr>
      <w:bookmarkStart w:id="0" w:name="_Toc488102141"/>
      <w:bookmarkStart w:id="1" w:name="_Toc108422212"/>
      <w:r>
        <w:rPr>
          <w:rFonts w:hint="eastAsia"/>
        </w:rPr>
        <w:t>概述</w:t>
      </w:r>
      <w:bookmarkEnd w:id="0"/>
      <w:bookmarkEnd w:id="1"/>
    </w:p>
    <w:p>
      <w:pPr>
        <w:pStyle w:val="3"/>
      </w:pPr>
      <w:bookmarkStart w:id="2" w:name="_Toc108422213"/>
      <w:r>
        <w:rPr>
          <w:rFonts w:hint="eastAsia"/>
        </w:rPr>
        <w:t>项目背景</w:t>
      </w:r>
      <w:r>
        <w:t>及</w:t>
      </w:r>
      <w:r>
        <w:rPr>
          <w:rFonts w:hint="eastAsia"/>
        </w:rPr>
        <w:t>由来</w:t>
      </w:r>
      <w:bookmarkEnd w:id="2"/>
    </w:p>
    <w:p>
      <w:pPr>
        <w:ind w:firstLine="480"/>
      </w:pPr>
      <w:r>
        <w:t>畜牧业是</w:t>
      </w:r>
      <w:r>
        <w:rPr>
          <w:rFonts w:hint="eastAsia"/>
        </w:rPr>
        <w:t>陕西省</w:t>
      </w:r>
      <w:r>
        <w:t>农业和农村经济的重要产业，</w:t>
      </w:r>
      <w:r>
        <w:rPr>
          <w:rFonts w:hint="eastAsia"/>
        </w:rPr>
        <w:t>生</w:t>
      </w:r>
      <w:r>
        <w:t>猪养殖是畜牧业的发展重点之一。</w:t>
      </w:r>
      <w:r>
        <w:rPr>
          <w:rFonts w:hint="eastAsia"/>
        </w:rPr>
        <w:t>农业部《关于加快调整畜牧业生产结构的实施意见》中指出，良种是提高畜产品质量和效益的基础，要继续加强畜禽良种工程建设，不断提高管理水平，完善繁育推广体系。陕西生猪养殖业近年有了较快发展，但目前仍存在基础母猪存栏少，仔猪供应水平相对较弱等问题，依靠外地调运仔猪发展生猪养殖的格局还没有从根本上改变。</w:t>
      </w:r>
    </w:p>
    <w:p>
      <w:pPr>
        <w:ind w:firstLine="480"/>
      </w:pPr>
      <w:r>
        <w:rPr>
          <w:rFonts w:hint="eastAsia"/>
        </w:rPr>
        <w:t>安康市旬阳市</w:t>
      </w:r>
      <w:r>
        <w:t>多山多丘陵的地理环境及特定的气候因素，有发展畜牧业的优势条件，畜牧业在整个农村经济发展中占有十分重要的地位。</w:t>
      </w:r>
      <w:r>
        <w:rPr>
          <w:rFonts w:hint="eastAsia"/>
        </w:rPr>
        <w:t>随着新农村建设的推进，加之养殖效益下降，养殖成本与风险较高等因素的影响，促使旬阳市散养户加速退出生猪养殖行业，生猪出栏量已不能满足市场需要。</w:t>
      </w:r>
    </w:p>
    <w:p>
      <w:pPr>
        <w:ind w:firstLine="480"/>
      </w:pPr>
      <w:r>
        <w:rPr>
          <w:rFonts w:hint="eastAsia"/>
        </w:rPr>
        <w:t>在此形势</w:t>
      </w:r>
      <w:r>
        <w:t>下，</w:t>
      </w:r>
      <w:r>
        <w:rPr>
          <w:rFonts w:hint="eastAsia"/>
        </w:rPr>
        <w:t>陕西绿森园牧业有限公司投资2985万元</w:t>
      </w:r>
      <w:r>
        <w:t>在</w:t>
      </w:r>
      <w:r>
        <w:rPr>
          <w:rFonts w:hint="eastAsia"/>
        </w:rPr>
        <w:t>旬阳市关口镇关坪</w:t>
      </w:r>
      <w:r>
        <w:t>村</w:t>
      </w:r>
      <w:r>
        <w:rPr>
          <w:rFonts w:hint="eastAsia"/>
        </w:rPr>
        <w:t>建设种养殖项目（以下</w:t>
      </w:r>
      <w:r>
        <w:t>简称</w:t>
      </w:r>
      <w:r>
        <w:rPr>
          <w:rFonts w:ascii="宋体" w:hAnsi="宋体"/>
        </w:rPr>
        <w:t>“</w:t>
      </w:r>
      <w:r>
        <w:rPr>
          <w:rFonts w:hint="eastAsia" w:ascii="宋体" w:hAnsi="宋体"/>
        </w:rPr>
        <w:t>本项目</w:t>
      </w:r>
      <w:r>
        <w:rPr>
          <w:rFonts w:ascii="宋体" w:hAnsi="宋体"/>
        </w:rPr>
        <w:t>”</w:t>
      </w:r>
      <w:r>
        <w:rPr>
          <w:rFonts w:hint="eastAsia"/>
        </w:rPr>
        <w:t>）进行</w:t>
      </w:r>
      <w:r>
        <w:t>规模化养殖</w:t>
      </w:r>
      <w:r>
        <w:rPr>
          <w:rFonts w:hint="eastAsia"/>
        </w:rPr>
        <w:t>，项目</w:t>
      </w:r>
      <w:r>
        <w:t>租赁土地约</w:t>
      </w:r>
      <w:r>
        <w:rPr>
          <w:rFonts w:hint="eastAsia"/>
        </w:rPr>
        <w:t>41.6065亩</w:t>
      </w:r>
      <w:r>
        <w:t>，建设年存栏5000头标准化生猪养殖场一个，</w:t>
      </w:r>
      <w:r>
        <w:rPr>
          <w:rFonts w:hint="eastAsia"/>
        </w:rPr>
        <w:t>包括</w:t>
      </w:r>
      <w:r>
        <w:t>圈舍、饲料加工、库房、消毒室等；修建污水处理</w:t>
      </w:r>
      <w:r>
        <w:rPr>
          <w:rFonts w:hint="eastAsia"/>
        </w:rPr>
        <w:t>设施</w:t>
      </w:r>
      <w:r>
        <w:t>，铺设园区道路及建设相关配套基础设施等</w:t>
      </w:r>
      <w:r>
        <w:rPr>
          <w:rFonts w:hint="eastAsia"/>
        </w:rPr>
        <w:t>。项目</w:t>
      </w:r>
      <w:r>
        <w:t>已于</w:t>
      </w:r>
      <w:r>
        <w:rPr>
          <w:rFonts w:hint="eastAsia"/>
        </w:rPr>
        <w:t>2020年4月28日</w:t>
      </w:r>
      <w:r>
        <w:t>取得陕西省企业投资项目备案确</w:t>
      </w:r>
      <w:r>
        <w:rPr>
          <w:rFonts w:hint="eastAsia"/>
        </w:rPr>
        <w:t>任</w:t>
      </w:r>
      <w:r>
        <w:t>书</w:t>
      </w:r>
      <w:r>
        <w:rPr>
          <w:rFonts w:hint="eastAsia"/>
        </w:rPr>
        <w:t>（项目</w:t>
      </w:r>
      <w:r>
        <w:t>代码</w:t>
      </w:r>
      <w:r>
        <w:rPr>
          <w:rFonts w:hint="eastAsia"/>
        </w:rPr>
        <w:t>：</w:t>
      </w:r>
      <w:r>
        <w:rPr>
          <w:lang w:val="zh-CN"/>
        </w:rPr>
        <w:t>2020-610928-03-03-025020</w:t>
      </w:r>
      <w:r>
        <w:rPr>
          <w:rFonts w:hint="eastAsia"/>
        </w:rPr>
        <w:t>）。</w:t>
      </w:r>
      <w:bookmarkStart w:id="3" w:name="_Toc488102144"/>
      <w:bookmarkStart w:id="4" w:name="_Toc488102143"/>
    </w:p>
    <w:p>
      <w:pPr>
        <w:ind w:firstLine="480"/>
      </w:pPr>
      <w:r>
        <w:rPr>
          <w:rFonts w:hint="eastAsia"/>
        </w:rPr>
        <w:t>本项目已于2020年11月开始建设，</w:t>
      </w:r>
      <w:r>
        <w:t>属于“</w:t>
      </w:r>
      <w:r>
        <w:rPr>
          <w:rFonts w:hint="eastAsia"/>
        </w:rPr>
        <w:t>未批先建</w:t>
      </w:r>
      <w:r>
        <w:t>”项目</w:t>
      </w:r>
      <w:r>
        <w:rPr>
          <w:rFonts w:hint="eastAsia"/>
        </w:rPr>
        <w:t>，2022年4月29日安康市</w:t>
      </w:r>
      <w:r>
        <w:t>生态环境局对</w:t>
      </w:r>
      <w:r>
        <w:rPr>
          <w:rFonts w:hint="eastAsia"/>
        </w:rPr>
        <w:t>建设</w:t>
      </w:r>
      <w:r>
        <w:t>单位“</w:t>
      </w:r>
      <w:r>
        <w:rPr>
          <w:rFonts w:hint="eastAsia"/>
        </w:rPr>
        <w:t>未批</w:t>
      </w:r>
      <w:r>
        <w:t>先建”</w:t>
      </w:r>
      <w:r>
        <w:rPr>
          <w:rFonts w:hint="eastAsia"/>
        </w:rPr>
        <w:t>违法</w:t>
      </w:r>
      <w:r>
        <w:t>行为</w:t>
      </w:r>
      <w:r>
        <w:rPr>
          <w:rFonts w:hint="eastAsia"/>
        </w:rPr>
        <w:t>出具</w:t>
      </w:r>
      <w:r>
        <w:t>了行政处罚决定书（</w:t>
      </w:r>
      <w:r>
        <w:rPr>
          <w:rFonts w:hint="eastAsia"/>
        </w:rPr>
        <w:t>陕</w:t>
      </w:r>
      <w:r>
        <w:t>G环</w:t>
      </w:r>
      <w:r>
        <w:rPr>
          <w:rFonts w:hint="eastAsia"/>
        </w:rPr>
        <w:t>罚[</w:t>
      </w:r>
      <w:r>
        <w:t>2022</w:t>
      </w:r>
      <w:r>
        <w:rPr>
          <w:rFonts w:hint="eastAsia"/>
        </w:rPr>
        <w:t>]</w:t>
      </w:r>
      <w:r>
        <w:t>27</w:t>
      </w:r>
      <w:r>
        <w:rPr>
          <w:rFonts w:hint="eastAsia"/>
        </w:rPr>
        <w:t>号</w:t>
      </w:r>
      <w:r>
        <w:t>）</w:t>
      </w:r>
      <w:r>
        <w:rPr>
          <w:rFonts w:hint="eastAsia"/>
        </w:rPr>
        <w:t>（见附件），建设</w:t>
      </w:r>
      <w:r>
        <w:t>单位</w:t>
      </w:r>
      <w:r>
        <w:rPr>
          <w:rFonts w:hint="eastAsia"/>
        </w:rPr>
        <w:t>于2022年5月25日一次性</w:t>
      </w:r>
      <w:r>
        <w:t>完成了缴款</w:t>
      </w:r>
      <w:r>
        <w:rPr>
          <w:rFonts w:hint="eastAsia"/>
        </w:rPr>
        <w:t>（缴费</w:t>
      </w:r>
      <w:r>
        <w:t>通知单见附件</w:t>
      </w:r>
      <w:r>
        <w:rPr>
          <w:rFonts w:hint="eastAsia"/>
        </w:rPr>
        <w:t>）。</w:t>
      </w:r>
    </w:p>
    <w:p>
      <w:pPr>
        <w:ind w:firstLine="480"/>
      </w:pPr>
      <w:r>
        <w:rPr>
          <w:rFonts w:hint="eastAsia"/>
        </w:rPr>
        <w:t>目前主体工程已基本建设完毕，现状</w:t>
      </w:r>
      <w:r>
        <w:t>养殖规模为年存栏</w:t>
      </w:r>
      <w:r>
        <w:rPr>
          <w:rFonts w:hint="eastAsia"/>
        </w:rPr>
        <w:t>2000头猪</w:t>
      </w:r>
      <w:r>
        <w:t>，</w:t>
      </w:r>
      <w:r>
        <w:rPr>
          <w:rFonts w:hint="eastAsia"/>
        </w:rPr>
        <w:t>并建设了1座6格1</w:t>
      </w:r>
      <w:r>
        <w:t>0</w:t>
      </w:r>
      <w:r>
        <w:rPr>
          <w:rFonts w:hint="eastAsia"/>
        </w:rPr>
        <w:t>00m</w:t>
      </w:r>
      <w:r>
        <w:rPr>
          <w:rFonts w:hint="eastAsia"/>
          <w:vertAlign w:val="superscript"/>
        </w:rPr>
        <w:t>3</w:t>
      </w:r>
      <w:r>
        <w:rPr>
          <w:rFonts w:hint="eastAsia"/>
        </w:rPr>
        <w:t>的厌氧发酵</w:t>
      </w:r>
      <w:r>
        <w:t>池</w:t>
      </w:r>
      <w:r>
        <w:rPr>
          <w:rFonts w:hint="eastAsia"/>
        </w:rPr>
        <w:t>用于收集处理养殖粪污废水，处理</w:t>
      </w:r>
      <w:r>
        <w:t>后</w:t>
      </w:r>
      <w:r>
        <w:rPr>
          <w:rFonts w:hint="eastAsia"/>
        </w:rPr>
        <w:t>沼液</w:t>
      </w:r>
      <w:r>
        <w:t>经管道</w:t>
      </w:r>
      <w:r>
        <w:rPr>
          <w:rFonts w:hint="eastAsia"/>
        </w:rPr>
        <w:t>输送至</w:t>
      </w:r>
      <w:r>
        <w:t>种植区</w:t>
      </w:r>
      <w:r>
        <w:rPr>
          <w:rFonts w:hint="eastAsia"/>
        </w:rPr>
        <w:t>施肥</w:t>
      </w:r>
      <w:r>
        <w:t>，现状</w:t>
      </w:r>
      <w:r>
        <w:rPr>
          <w:rFonts w:hint="eastAsia"/>
        </w:rPr>
        <w:t>除</w:t>
      </w:r>
      <w:r>
        <w:t>沼液暂存池</w:t>
      </w:r>
      <w:r>
        <w:rPr>
          <w:rFonts w:hint="eastAsia"/>
        </w:rPr>
        <w:t>、</w:t>
      </w:r>
      <w:r>
        <w:t>隔离舍、</w:t>
      </w:r>
      <w:r>
        <w:rPr>
          <w:rFonts w:hint="eastAsia"/>
        </w:rPr>
        <w:t>堆粪</w:t>
      </w:r>
      <w:r>
        <w:t>棚、</w:t>
      </w:r>
      <w:r>
        <w:rPr>
          <w:rFonts w:hint="eastAsia"/>
        </w:rPr>
        <w:t>危险废物</w:t>
      </w:r>
      <w:r>
        <w:t>暂存间</w:t>
      </w:r>
      <w:r>
        <w:rPr>
          <w:rFonts w:hint="eastAsia"/>
        </w:rPr>
        <w:t>等</w:t>
      </w:r>
      <w:r>
        <w:t>未建设</w:t>
      </w:r>
      <w:r>
        <w:rPr>
          <w:rFonts w:hint="eastAsia"/>
        </w:rPr>
        <w:t>外，</w:t>
      </w:r>
      <w:r>
        <w:t>其余部分已建成，</w:t>
      </w:r>
      <w:r>
        <w:rPr>
          <w:rFonts w:hint="eastAsia"/>
        </w:rPr>
        <w:t>本次环评包括已经建设完成的部分及本次工程未建设的部分。</w:t>
      </w:r>
    </w:p>
    <w:p>
      <w:pPr>
        <w:ind w:firstLine="480"/>
      </w:pPr>
      <w:r>
        <w:rPr>
          <w:rFonts w:hint="eastAsia"/>
        </w:rPr>
        <w:t>本项目建立标准化的生产系统，应用标准化的绿色、优质、高效养猪技术集成，在项目区进行“优质种猪及商品猪”的养殖。项目建成后带动贫困人口就业，增加收入；种养结合，间接带动种植业、农副产品加工业，可使贫困户收入持续稳定增长，同时实现企业增收的长期效益。</w:t>
      </w:r>
    </w:p>
    <w:p>
      <w:pPr>
        <w:pStyle w:val="3"/>
      </w:pPr>
      <w:bookmarkStart w:id="5" w:name="_Toc108422214"/>
      <w:r>
        <w:rPr>
          <w:rFonts w:hint="eastAsia"/>
        </w:rPr>
        <w:t>分析判定相关情况</w:t>
      </w:r>
      <w:bookmarkEnd w:id="3"/>
      <w:bookmarkEnd w:id="5"/>
    </w:p>
    <w:p>
      <w:pPr>
        <w:pStyle w:val="4"/>
      </w:pPr>
      <w:r>
        <w:rPr>
          <w:rFonts w:hint="eastAsia"/>
        </w:rPr>
        <w:t>产业政策相符性</w:t>
      </w:r>
    </w:p>
    <w:p>
      <w:pPr>
        <w:ind w:firstLine="480"/>
      </w:pPr>
      <w:r>
        <w:t>根据国家发展和改革委员会</w:t>
      </w:r>
      <w:r>
        <w:rPr>
          <w:rFonts w:hint="eastAsia"/>
        </w:rPr>
        <w:t>令</w:t>
      </w:r>
      <w:r>
        <w:t>第29号令《产业结构调整指导目录（2019年本）》，本项目属于第一类鼓励类</w:t>
      </w:r>
      <w:r>
        <w:rPr>
          <w:rFonts w:hint="eastAsia"/>
        </w:rPr>
        <w:t>：一</w:t>
      </w:r>
      <w:r>
        <w:t>、农林业第4条</w:t>
      </w:r>
      <w:r>
        <w:rPr>
          <w:rFonts w:asciiTheme="minorEastAsia" w:hAnsiTheme="minorEastAsia" w:eastAsiaTheme="minorEastAsia"/>
        </w:rPr>
        <w:t>“畜禽标准化规模养殖技术开发与应用”</w:t>
      </w:r>
      <w:r>
        <w:t>项目</w:t>
      </w:r>
      <w:r>
        <w:rPr>
          <w:rFonts w:hint="eastAsia"/>
        </w:rPr>
        <w:t>，</w:t>
      </w:r>
      <w:r>
        <w:t>符合国家产业政策。</w:t>
      </w:r>
    </w:p>
    <w:p>
      <w:pPr>
        <w:ind w:firstLine="480"/>
      </w:pPr>
      <w:r>
        <w:t>根据国家发展改革委、商务部关于印发《市场准入负面清单（2022年版）》的通知（发改体</w:t>
      </w:r>
      <w:r>
        <w:rPr>
          <w:rFonts w:hint="eastAsia"/>
        </w:rPr>
        <w:t>改</w:t>
      </w:r>
      <w:r>
        <w:t>规[2022]397号），本项目为</w:t>
      </w:r>
      <w:r>
        <w:rPr>
          <w:rFonts w:hint="eastAsia"/>
        </w:rPr>
        <w:t>畜禽</w:t>
      </w:r>
      <w:r>
        <w:t>养殖业，不属于其中的禁止</w:t>
      </w:r>
      <w:r>
        <w:rPr>
          <w:rFonts w:hint="eastAsia"/>
        </w:rPr>
        <w:t>准入</w:t>
      </w:r>
      <w:r>
        <w:t>类事项。</w:t>
      </w:r>
    </w:p>
    <w:p>
      <w:pPr>
        <w:pStyle w:val="79"/>
        <w:ind w:firstLine="480"/>
        <w:rPr>
          <w:rFonts w:cs="Times New Roman"/>
        </w:rPr>
      </w:pPr>
      <w:r>
        <w:rPr>
          <w:rFonts w:cs="Times New Roman"/>
        </w:rPr>
        <w:t>因此，项目的建设符合国家</w:t>
      </w:r>
      <w:r>
        <w:rPr>
          <w:rFonts w:hint="eastAsia" w:cs="Times New Roman"/>
        </w:rPr>
        <w:t>相关</w:t>
      </w:r>
      <w:r>
        <w:rPr>
          <w:rFonts w:cs="Times New Roman"/>
        </w:rPr>
        <w:t>政策。</w:t>
      </w:r>
    </w:p>
    <w:p>
      <w:pPr>
        <w:pStyle w:val="4"/>
      </w:pPr>
      <w:r>
        <w:rPr>
          <w:rFonts w:hint="eastAsia"/>
        </w:rPr>
        <w:t>选址可行性分析</w:t>
      </w:r>
    </w:p>
    <w:p>
      <w:pPr>
        <w:ind w:firstLine="480"/>
        <w:sectPr>
          <w:headerReference r:id="rId17" w:type="default"/>
          <w:footerReference r:id="rId19" w:type="default"/>
          <w:headerReference r:id="rId18" w:type="even"/>
          <w:footerReference r:id="rId20" w:type="even"/>
          <w:type w:val="oddPage"/>
          <w:pgSz w:w="11906" w:h="16838"/>
          <w:pgMar w:top="1440" w:right="1800" w:bottom="1440" w:left="1800" w:header="992" w:footer="992" w:gutter="0"/>
          <w:pgNumType w:fmt="numberInDash" w:start="1"/>
          <w:cols w:space="425" w:num="1"/>
          <w:docGrid w:type="lines" w:linePitch="326" w:charSpace="0"/>
        </w:sectPr>
      </w:pPr>
      <w:r>
        <w:t>本项目位于</w:t>
      </w:r>
      <w:r>
        <w:rPr>
          <w:rFonts w:hint="eastAsia"/>
        </w:rPr>
        <w:t>旬阳市关口镇关坪</w:t>
      </w:r>
      <w:r>
        <w:t>村，</w:t>
      </w:r>
      <w:r>
        <w:rPr>
          <w:rFonts w:hint="eastAsia"/>
        </w:rPr>
        <w:t>项目选址不在饮用水水源保护区、国家和省级风景名胜区、自然保护区、文物历史自然遗迹保护区及基本农田保护区范围内，项目不在</w:t>
      </w:r>
      <w:r>
        <w:rPr>
          <w:rFonts w:hint="eastAsia"/>
          <w:bCs/>
        </w:rPr>
        <w:t>《旬阳县</w:t>
      </w:r>
      <w:r>
        <w:rPr>
          <w:bCs/>
        </w:rPr>
        <w:t>畜禽养殖</w:t>
      </w:r>
      <w:r>
        <w:rPr>
          <w:rFonts w:hint="eastAsia"/>
          <w:bCs/>
        </w:rPr>
        <w:t>禁养区</w:t>
      </w:r>
      <w:r>
        <w:rPr>
          <w:bCs/>
        </w:rPr>
        <w:t>划分方案</w:t>
      </w:r>
      <w:r>
        <w:rPr>
          <w:rFonts w:hint="eastAsia"/>
          <w:bCs/>
        </w:rPr>
        <w:t>》（旬</w:t>
      </w:r>
      <w:r>
        <w:rPr>
          <w:bCs/>
        </w:rPr>
        <w:t>政</w:t>
      </w:r>
      <w:r>
        <w:rPr>
          <w:rFonts w:hint="eastAsia"/>
          <w:bCs/>
        </w:rPr>
        <w:t>发[</w:t>
      </w:r>
      <w:r>
        <w:rPr>
          <w:bCs/>
        </w:rPr>
        <w:t>2020</w:t>
      </w:r>
      <w:r>
        <w:rPr>
          <w:rFonts w:hint="eastAsia"/>
          <w:bCs/>
        </w:rPr>
        <w:t>]</w:t>
      </w:r>
      <w:r>
        <w:rPr>
          <w:bCs/>
        </w:rPr>
        <w:t>1</w:t>
      </w:r>
      <w:r>
        <w:rPr>
          <w:rFonts w:hint="eastAsia"/>
          <w:bCs/>
        </w:rPr>
        <w:t>号）</w:t>
      </w:r>
      <w:r>
        <w:rPr>
          <w:rFonts w:hint="eastAsia"/>
        </w:rPr>
        <w:t>规定的禁养区内。项目厂界外500m范围内（NW</w:t>
      </w:r>
      <w:r>
        <w:t>350m</w:t>
      </w:r>
      <w:r>
        <w:rPr>
          <w:rFonts w:hint="eastAsia"/>
        </w:rPr>
        <w:t>）有1家住户，不属于《畜禽养殖业污染防治技术规范》（HJ/T81-2001）中规定的城镇居民区等人口集中地区，根据《环境影响评价技术导则 大气环境》（</w:t>
      </w:r>
      <w:r>
        <w:t>HJ2.2-2018</w:t>
      </w:r>
      <w:r>
        <w:rPr>
          <w:rFonts w:hint="eastAsia"/>
        </w:rPr>
        <w:t>）对污染物大气环境影响预测结果，项目所在区域北高南低，全年盛行偏东风，同时考虑到项目所在地天然屏障、山体阻隔，项目建设对该住户影响较小；选址远离生活饮用水水源保护区和自然保护区、风景名胜区。选址周边为林地，不属于城市和城镇居民区，项目周边500m范围内无生活饮用水源地、动物屠宰加工场所、动物和动物产品集贸市场；项目周边1000m无种畜禽场，200m</w:t>
      </w:r>
      <w:r>
        <w:t>范围</w:t>
      </w:r>
      <w:r>
        <w:rPr>
          <w:rFonts w:hint="eastAsia"/>
        </w:rPr>
        <w:t>无动物诊疗场所、500</w:t>
      </w:r>
      <w:r>
        <w:t>m范围</w:t>
      </w:r>
      <w:r>
        <w:rPr>
          <w:rFonts w:hint="eastAsia"/>
        </w:rPr>
        <w:t>无其他动物饲养场（养殖小区）；项目周边3000 m范围内无动物隔离场所、无害化处理场所；综合分析，项目选址符合《畜禽养殖业污染防治技术规范》（HJ/T81-2001）</w:t>
      </w:r>
      <w:r>
        <w:t xml:space="preserve"> </w:t>
      </w:r>
      <w:r>
        <w:rPr>
          <w:rFonts w:hint="eastAsia"/>
        </w:rPr>
        <w:t>、《动物防疫条件审查办法》</w:t>
      </w:r>
      <w:r>
        <w:rPr>
          <w:rFonts w:hint="eastAsia"/>
          <w:sz w:val="23"/>
          <w:szCs w:val="23"/>
        </w:rPr>
        <w:t>（农业部</w:t>
      </w:r>
      <w:r>
        <w:rPr>
          <w:rFonts w:hint="eastAsia"/>
        </w:rPr>
        <w:t>令</w:t>
      </w:r>
      <w:r>
        <w:t>2010</w:t>
      </w:r>
      <w:r>
        <w:rPr>
          <w:rFonts w:hint="eastAsia"/>
        </w:rPr>
        <w:t>年第</w:t>
      </w:r>
      <w:r>
        <w:t>7</w:t>
      </w:r>
      <w:r>
        <w:rPr>
          <w:rFonts w:hint="eastAsia"/>
        </w:rPr>
        <w:t>号）、《畜禽规模养殖</w:t>
      </w:r>
    </w:p>
    <w:p>
      <w:pPr>
        <w:ind w:firstLine="0" w:firstLineChars="0"/>
      </w:pPr>
      <w:r>
        <w:rPr>
          <w:rFonts w:hint="eastAsia"/>
        </w:rPr>
        <w:t>污染防治条例》（国务院第643号）、《关于做好畜禽规模养殖项目环境影响评价管理工作的通知》（环办环评[2018]31号）、《旬阳县畜禽养殖禁养区划分方案》（旬政发[2020]1号）、《大中型</w:t>
      </w:r>
      <w:r>
        <w:t>家畜养殖场建设环境保护标准</w:t>
      </w:r>
      <w:r>
        <w:rPr>
          <w:rFonts w:hint="eastAsia"/>
        </w:rPr>
        <w:t>》（DB61/422-2008）要求</w:t>
      </w:r>
      <w:r>
        <w:rPr>
          <w:rFonts w:hint="eastAsia"/>
          <w:bCs/>
        </w:rPr>
        <w:t>，项目</w:t>
      </w:r>
      <w:r>
        <w:rPr>
          <w:bCs/>
        </w:rPr>
        <w:t>选址合理性分析</w:t>
      </w:r>
      <w:r>
        <w:rPr>
          <w:rFonts w:hint="eastAsia"/>
          <w:bCs/>
        </w:rPr>
        <w:t>见</w:t>
      </w:r>
      <w:r>
        <w:rPr>
          <w:bCs/>
        </w:rPr>
        <w:fldChar w:fldCharType="begin"/>
      </w:r>
      <w:r>
        <w:rPr>
          <w:bCs/>
        </w:rPr>
        <w:instrText xml:space="preserve"> REF _Ref36045180 \h  \* MERGEFORMAT </w:instrText>
      </w:r>
      <w:r>
        <w:rPr>
          <w:bCs/>
        </w:rPr>
        <w:fldChar w:fldCharType="separate"/>
      </w:r>
      <w:r>
        <w:rPr>
          <w:rFonts w:hint="eastAsia"/>
          <w:bCs/>
        </w:rPr>
        <w:t>表</w:t>
      </w:r>
      <w:r>
        <w:rPr>
          <w:bCs/>
        </w:rPr>
        <w:t>1.2</w:t>
      </w:r>
      <w:r>
        <w:rPr>
          <w:bCs/>
        </w:rPr>
        <w:noBreakHyphen/>
      </w:r>
      <w:r>
        <w:rPr>
          <w:bCs/>
        </w:rPr>
        <w:t>1</w:t>
      </w:r>
      <w:r>
        <w:rPr>
          <w:bCs/>
        </w:rPr>
        <w:fldChar w:fldCharType="end"/>
      </w:r>
      <w:r>
        <w:rPr>
          <w:rFonts w:hint="eastAsia"/>
          <w:bCs/>
        </w:rPr>
        <w:t>。</w:t>
      </w:r>
    </w:p>
    <w:p>
      <w:pPr>
        <w:pStyle w:val="41"/>
      </w:pPr>
      <w:bookmarkStart w:id="6" w:name="_Ref36045180"/>
      <w:bookmarkStart w:id="7" w:name="_Ref36045172"/>
      <w:r>
        <w:rPr>
          <w:rFonts w:hint="eastAsia" w:ascii="宋体" w:hAnsi="宋体" w:eastAsia="宋体" w:cs="宋体"/>
        </w:rPr>
        <w:t>表</w:t>
      </w:r>
      <w:r>
        <w:fldChar w:fldCharType="begin"/>
      </w:r>
      <w:r>
        <w:rPr>
          <w:rFonts w:hint="eastAsia"/>
        </w:rPr>
        <w:instrText xml:space="preserve">STYLEREF 2 \s</w:instrText>
      </w:r>
      <w:r>
        <w:fldChar w:fldCharType="separate"/>
      </w:r>
      <w:r>
        <w:t>1.2</w:t>
      </w:r>
      <w:r>
        <w:fldChar w:fldCharType="end"/>
      </w:r>
      <w:r>
        <w:noBreakHyphen/>
      </w:r>
      <w:r>
        <w:fldChar w:fldCharType="begin"/>
      </w:r>
      <w:r>
        <w:rPr>
          <w:rFonts w:hint="eastAsia"/>
        </w:rPr>
        <w:instrText xml:space="preserve">SEQ 表 \* ARABIC \s 2</w:instrText>
      </w:r>
      <w:r>
        <w:fldChar w:fldCharType="separate"/>
      </w:r>
      <w:r>
        <w:t>1</w:t>
      </w:r>
      <w:r>
        <w:fldChar w:fldCharType="end"/>
      </w:r>
      <w:bookmarkEnd w:id="6"/>
      <w:r>
        <w:rPr>
          <w:rFonts w:hint="eastAsia" w:ascii="宋体" w:hAnsi="宋体" w:eastAsia="宋体" w:cs="宋体"/>
        </w:rPr>
        <w:t>项目厂址选择合理性分析</w:t>
      </w:r>
      <w:bookmarkEnd w:id="7"/>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7229"/>
        <w:gridCol w:w="4251"/>
        <w:gridCol w:w="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545" w:type="dxa"/>
            <w:vAlign w:val="center"/>
          </w:tcPr>
          <w:p>
            <w:pPr>
              <w:pStyle w:val="40"/>
            </w:pPr>
            <w:r>
              <w:rPr>
                <w:rFonts w:hint="eastAsia"/>
              </w:rPr>
              <w:t>相关规范</w:t>
            </w:r>
            <w:r>
              <w:t>及标准</w:t>
            </w:r>
          </w:p>
        </w:tc>
        <w:tc>
          <w:tcPr>
            <w:tcW w:w="7229" w:type="dxa"/>
            <w:vAlign w:val="center"/>
          </w:tcPr>
          <w:p>
            <w:pPr>
              <w:pStyle w:val="40"/>
            </w:pPr>
            <w:r>
              <w:rPr>
                <w:rFonts w:hint="eastAsia"/>
              </w:rPr>
              <w:t>有关</w:t>
            </w:r>
            <w:r>
              <w:t>选址的具体规定</w:t>
            </w:r>
            <w:r>
              <w:rPr>
                <w:rFonts w:hint="eastAsia"/>
              </w:rPr>
              <w:t>与</w:t>
            </w:r>
            <w:r>
              <w:t>要求</w:t>
            </w:r>
          </w:p>
        </w:tc>
        <w:tc>
          <w:tcPr>
            <w:tcW w:w="4251" w:type="dxa"/>
            <w:vAlign w:val="center"/>
          </w:tcPr>
          <w:p>
            <w:pPr>
              <w:pStyle w:val="40"/>
            </w:pPr>
            <w:r>
              <w:rPr>
                <w:rFonts w:hint="eastAsia"/>
              </w:rPr>
              <w:t>本项目实际</w:t>
            </w:r>
            <w:r>
              <w:t>情况</w:t>
            </w:r>
          </w:p>
        </w:tc>
        <w:tc>
          <w:tcPr>
            <w:tcW w:w="903" w:type="dxa"/>
            <w:vAlign w:val="center"/>
          </w:tcPr>
          <w:p>
            <w:pPr>
              <w:pStyle w:val="4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restart"/>
            <w:vAlign w:val="center"/>
          </w:tcPr>
          <w:p>
            <w:pPr>
              <w:pStyle w:val="40"/>
              <w:jc w:val="both"/>
            </w:pPr>
            <w:r>
              <w:rPr>
                <w:bCs/>
              </w:rPr>
              <w:t>《</w:t>
            </w:r>
            <w:r>
              <w:rPr>
                <w:rFonts w:hint="eastAsia"/>
                <w:bCs/>
              </w:rPr>
              <w:t>畜禽</w:t>
            </w:r>
            <w:r>
              <w:rPr>
                <w:bCs/>
              </w:rPr>
              <w:t>养殖业污染防治技术</w:t>
            </w:r>
            <w:r>
              <w:rPr>
                <w:rFonts w:hint="eastAsia"/>
                <w:bCs/>
              </w:rPr>
              <w:t>规范</w:t>
            </w:r>
            <w:r>
              <w:rPr>
                <w:bCs/>
              </w:rPr>
              <w:t>》</w:t>
            </w:r>
            <w:r>
              <w:rPr>
                <w:rFonts w:hint="eastAsia"/>
                <w:bCs/>
              </w:rPr>
              <w:t>（</w:t>
            </w:r>
            <w:r>
              <w:rPr>
                <w:bCs/>
              </w:rPr>
              <w:t>HJ/T81-2001</w:t>
            </w:r>
            <w:r>
              <w:rPr>
                <w:rFonts w:hint="eastAsia"/>
                <w:bCs/>
              </w:rPr>
              <w:t>）</w:t>
            </w:r>
          </w:p>
        </w:tc>
        <w:tc>
          <w:tcPr>
            <w:tcW w:w="7229" w:type="dxa"/>
            <w:vAlign w:val="center"/>
          </w:tcPr>
          <w:p>
            <w:pPr>
              <w:pStyle w:val="40"/>
              <w:jc w:val="both"/>
            </w:pPr>
            <w:r>
              <w:rPr>
                <w:rFonts w:hint="eastAsia"/>
              </w:rPr>
              <w:t>3.1 禁止在下列区域内建设畜禽养殖场、养殖小区：3.1.1生活饮用水水源保护区，风景名胜区、自然保护区的核心区和缓冲区；3.1.2</w:t>
            </w:r>
            <w:r>
              <w:t xml:space="preserve"> </w:t>
            </w:r>
            <w:r>
              <w:rPr>
                <w:rFonts w:hint="eastAsia"/>
              </w:rPr>
              <w:t>城市</w:t>
            </w:r>
            <w:r>
              <w:t>和</w:t>
            </w:r>
            <w:r>
              <w:rPr>
                <w:rFonts w:hint="eastAsia"/>
              </w:rPr>
              <w:t>城镇居民区，</w:t>
            </w:r>
            <w:r>
              <w:t>包括文教可研区、医疗区、商业区、工业区、游览区等人口集中地区；</w:t>
            </w:r>
            <w:r>
              <w:rPr>
                <w:rFonts w:hint="eastAsia"/>
              </w:rPr>
              <w:t>3.1.3县级人民政府</w:t>
            </w:r>
            <w:r>
              <w:t>依法划定的</w:t>
            </w:r>
            <w:r>
              <w:rPr>
                <w:rFonts w:hint="eastAsia"/>
              </w:rPr>
              <w:t>禁</w:t>
            </w:r>
            <w:r>
              <w:t>养区域</w:t>
            </w:r>
            <w:r>
              <w:rPr>
                <w:rFonts w:hint="eastAsia"/>
              </w:rPr>
              <w:t>；3.1.4国家或地方法律、法规规定需特殊保护的其他</w:t>
            </w:r>
            <w:r>
              <w:t>区域</w:t>
            </w:r>
            <w:r>
              <w:rPr>
                <w:rFonts w:hint="eastAsia"/>
              </w:rPr>
              <w:t>。</w:t>
            </w:r>
          </w:p>
        </w:tc>
        <w:tc>
          <w:tcPr>
            <w:tcW w:w="4251" w:type="dxa"/>
            <w:vAlign w:val="center"/>
          </w:tcPr>
          <w:p>
            <w:pPr>
              <w:pStyle w:val="40"/>
              <w:jc w:val="both"/>
            </w:pPr>
            <w:r>
              <w:rPr>
                <w:rFonts w:hint="eastAsia"/>
              </w:rPr>
              <w:t>本项目地处农村，项目周围多为农田、林地</w:t>
            </w:r>
            <w:r>
              <w:t>，无特殊保护区</w:t>
            </w:r>
            <w:r>
              <w:rPr>
                <w:rFonts w:hint="eastAsia"/>
              </w:rPr>
              <w:t>，不属于生活</w:t>
            </w:r>
            <w:r>
              <w:t>饮用水水源保护区</w:t>
            </w:r>
            <w:r>
              <w:rPr>
                <w:rFonts w:hint="eastAsia"/>
              </w:rPr>
              <w:t>，项目</w:t>
            </w:r>
            <w:r>
              <w:t>不在</w:t>
            </w:r>
            <w:r>
              <w:rPr>
                <w:rFonts w:hint="eastAsia"/>
              </w:rPr>
              <w:t>旬阳市</w:t>
            </w:r>
            <w:r>
              <w:t>禁养区</w:t>
            </w:r>
            <w:r>
              <w:rPr>
                <w:rFonts w:hint="eastAsia"/>
              </w:rP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continue"/>
            <w:vAlign w:val="center"/>
          </w:tcPr>
          <w:p>
            <w:pPr>
              <w:pStyle w:val="40"/>
            </w:pPr>
          </w:p>
        </w:tc>
        <w:tc>
          <w:tcPr>
            <w:tcW w:w="7229" w:type="dxa"/>
            <w:vAlign w:val="center"/>
          </w:tcPr>
          <w:p>
            <w:pPr>
              <w:pStyle w:val="40"/>
              <w:jc w:val="both"/>
            </w:pPr>
            <w:r>
              <w:rPr>
                <w:rFonts w:hint="eastAsia"/>
              </w:rPr>
              <w:t>4.1 新建、改建、扩建的畜禽养殖场应实现生产区、生活管理区的隔离，粪便污水处理设施和畜禽尸体焚烧炉应设在养殖场的生产区、生活管理区常年主导风向的下风向或侧风向处。</w:t>
            </w:r>
          </w:p>
        </w:tc>
        <w:tc>
          <w:tcPr>
            <w:tcW w:w="4251" w:type="dxa"/>
            <w:vAlign w:val="center"/>
          </w:tcPr>
          <w:p>
            <w:pPr>
              <w:pStyle w:val="40"/>
              <w:jc w:val="both"/>
            </w:pPr>
            <w:r>
              <w:rPr>
                <w:rFonts w:hint="eastAsia"/>
              </w:rPr>
              <w:t>项目地主导风向为东风。生活管理区和生产区实现隔离，生活管理区</w:t>
            </w:r>
            <w:r>
              <w:t>位于东侧，</w:t>
            </w:r>
            <w:r>
              <w:rPr>
                <w:rFonts w:hint="eastAsia"/>
              </w:rPr>
              <w:t>粪便污水处理设施位于项目当地主导风向下风向。</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restart"/>
            <w:vAlign w:val="center"/>
          </w:tcPr>
          <w:p>
            <w:pPr>
              <w:pStyle w:val="40"/>
              <w:jc w:val="both"/>
            </w:pPr>
            <w:r>
              <w:rPr>
                <w:rFonts w:hint="eastAsia"/>
              </w:rPr>
              <w:t>《动物防疫条件审查办法》（农业部令</w:t>
            </w:r>
            <w:r>
              <w:t>2010</w:t>
            </w:r>
            <w:r>
              <w:rPr>
                <w:rFonts w:hint="eastAsia"/>
              </w:rPr>
              <w:t>年第</w:t>
            </w:r>
            <w:r>
              <w:t>7</w:t>
            </w:r>
            <w:r>
              <w:rPr>
                <w:rFonts w:hint="eastAsia"/>
              </w:rPr>
              <w:t>号）</w:t>
            </w:r>
          </w:p>
        </w:tc>
        <w:tc>
          <w:tcPr>
            <w:tcW w:w="7229" w:type="dxa"/>
            <w:vAlign w:val="center"/>
          </w:tcPr>
          <w:p>
            <w:pPr>
              <w:pStyle w:val="40"/>
              <w:jc w:val="both"/>
            </w:pPr>
            <w:r>
              <w:rPr>
                <w:rFonts w:hint="eastAsia"/>
                <w:b/>
              </w:rPr>
              <w:t>第六条</w:t>
            </w:r>
            <w:r>
              <w:rPr>
                <w:rFonts w:hint="eastAsia"/>
              </w:rPr>
              <w:t xml:space="preserve"> 动物饲养场、养殖小区布局应当符合下列条件：（一）场区周围建有围墙；（二）场区出入口处设置与门同宽，长4米、深0.3米以上的消毒池；（三）生产区与生活办公区分开，并有隔离设施；（四）生产区入口处设置更衣消毒室，各养殖栋舍出入口设置消毒池或者消毒垫。</w:t>
            </w:r>
          </w:p>
        </w:tc>
        <w:tc>
          <w:tcPr>
            <w:tcW w:w="4251" w:type="dxa"/>
            <w:vAlign w:val="center"/>
          </w:tcPr>
          <w:p>
            <w:pPr>
              <w:pStyle w:val="40"/>
              <w:jc w:val="both"/>
            </w:pPr>
            <w:r>
              <w:rPr>
                <w:rFonts w:hint="eastAsia"/>
              </w:rPr>
              <w:t>本项目场区周围建有围墙，生产区与生活办公区分开，项目生产区入口处设置消毒间，养殖区设置洗消房、消毒间及淋浴间。</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continue"/>
            <w:vAlign w:val="center"/>
          </w:tcPr>
          <w:p>
            <w:pPr>
              <w:pStyle w:val="40"/>
            </w:pPr>
          </w:p>
        </w:tc>
        <w:tc>
          <w:tcPr>
            <w:tcW w:w="7229" w:type="dxa"/>
            <w:vAlign w:val="center"/>
          </w:tcPr>
          <w:p>
            <w:pPr>
              <w:pStyle w:val="40"/>
              <w:jc w:val="both"/>
            </w:pPr>
            <w:r>
              <w:rPr>
                <w:rFonts w:hint="eastAsia"/>
                <w:b/>
              </w:rPr>
              <w:t>第七条</w:t>
            </w:r>
            <w:r>
              <w:rPr>
                <w:rFonts w:hint="eastAsia"/>
              </w:rPr>
              <w:t xml:space="preserve"> 动物饲养场、养殖小区应当具有下列设施设备：（一）场区入口处配置消毒设备；（二）生产区有良好的采光、通风设施设备；（三）圈舍地面和墙壁选用适宜材料，以便清洗消毒；（四）配备疫苗冷冻（冷藏）设备、消毒和诊疗等防疫设备的兽医室，或者有兽医机构为其提供相应服务；（五）有与生产规模相适应的无害化处理、污水污物处理设施设备；（六）有相对独立的引入动物隔离舍和患病动物隔离舍。</w:t>
            </w:r>
          </w:p>
        </w:tc>
        <w:tc>
          <w:tcPr>
            <w:tcW w:w="4251" w:type="dxa"/>
            <w:vAlign w:val="center"/>
          </w:tcPr>
          <w:p>
            <w:pPr>
              <w:pStyle w:val="40"/>
              <w:jc w:val="both"/>
              <w:rPr>
                <w:highlight w:val="yellow"/>
              </w:rPr>
            </w:pPr>
            <w:r>
              <w:rPr>
                <w:rFonts w:hint="eastAsia"/>
              </w:rPr>
              <w:t>本项目种猪场、保育舍、育肥舍等圈舍采光良好，项目配备</w:t>
            </w:r>
            <w:r>
              <w:rPr>
                <w:rFonts w:hint="eastAsia"/>
                <w:szCs w:val="21"/>
              </w:rPr>
              <w:t>圈舍换气扇80个，圈舍</w:t>
            </w:r>
            <w:r>
              <w:rPr>
                <w:rFonts w:hint="eastAsia"/>
              </w:rPr>
              <w:t>通风较好，圈舍地面和墙壁便于清洗消毒；配套建设全套的</w:t>
            </w:r>
            <w:r>
              <w:rPr>
                <w:szCs w:val="21"/>
              </w:rPr>
              <w:t>防疫检验设备</w:t>
            </w:r>
            <w:r>
              <w:rPr>
                <w:rFonts w:hint="eastAsia"/>
                <w:szCs w:val="21"/>
              </w:rPr>
              <w:t>，污水处理系统、化粪池等</w:t>
            </w:r>
            <w:r>
              <w:rPr>
                <w:rFonts w:hint="eastAsia"/>
              </w:rPr>
              <w:t>污水污物处理设施设备</w:t>
            </w:r>
            <w:r>
              <w:rPr>
                <w:rFonts w:hint="eastAsia"/>
                <w:szCs w:val="21"/>
              </w:rPr>
              <w:t>，项目建设</w:t>
            </w:r>
            <w:r>
              <w:rPr>
                <w:rFonts w:hint="eastAsia"/>
              </w:rPr>
              <w:t>隔离舍，</w:t>
            </w:r>
            <w:r>
              <w:t>用于病猪的隔离观察和喂养，定期消毒杀菌，并采取防疫防传染措施。</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40"/>
              <w:jc w:val="left"/>
            </w:pPr>
            <w:r>
              <w:rPr>
                <w:rFonts w:hint="eastAsia"/>
                <w:bCs/>
              </w:rPr>
              <w:t>《畜禽规模养殖污染防治条例》（国务院第</w:t>
            </w:r>
            <w:r>
              <w:rPr>
                <w:bCs/>
              </w:rPr>
              <w:t>643</w:t>
            </w:r>
            <w:r>
              <w:rPr>
                <w:rFonts w:hint="eastAsia"/>
                <w:bCs/>
              </w:rPr>
              <w:t>号，</w:t>
            </w:r>
            <w:r>
              <w:rPr>
                <w:bCs/>
              </w:rPr>
              <w:t>2014.1.1</w:t>
            </w:r>
            <w:r>
              <w:rPr>
                <w:rFonts w:hint="eastAsia"/>
                <w:bCs/>
              </w:rPr>
              <w:t>）</w:t>
            </w:r>
          </w:p>
        </w:tc>
        <w:tc>
          <w:tcPr>
            <w:tcW w:w="7229" w:type="dxa"/>
            <w:vAlign w:val="center"/>
          </w:tcPr>
          <w:p>
            <w:pPr>
              <w:pStyle w:val="40"/>
            </w:pPr>
            <w:r>
              <w:t>禁止在下列区域内建设畜禽养殖场、养殖小区：（一）饮用水水源保护区，风景名胜区；（二）自然保护区的核心区和缓冲区；（三）城镇居民区、文化教育科学研究区等人口集中区域；（四）法律、法规规定的其他禁止养殖区域。</w:t>
            </w:r>
          </w:p>
        </w:tc>
        <w:tc>
          <w:tcPr>
            <w:tcW w:w="4251" w:type="dxa"/>
            <w:vAlign w:val="center"/>
          </w:tcPr>
          <w:p>
            <w:pPr>
              <w:pStyle w:val="40"/>
              <w:jc w:val="both"/>
            </w:pPr>
            <w:r>
              <w:rPr>
                <w:rFonts w:hint="eastAsia"/>
              </w:rPr>
              <w:t>项目</w:t>
            </w:r>
            <w:r>
              <w:t>不在饮用水源保护区、风景名胜区</w:t>
            </w:r>
            <w:r>
              <w:rPr>
                <w:rFonts w:hint="eastAsia"/>
              </w:rPr>
              <w:t>、</w:t>
            </w:r>
            <w:r>
              <w:t>自然保护区</w:t>
            </w:r>
            <w:r>
              <w:rPr>
                <w:rFonts w:hint="eastAsia"/>
              </w:rPr>
              <w:t>核心区</w:t>
            </w:r>
            <w:r>
              <w:t>和缓冲区，不在城镇居民区、文化教育科学研究区等人口集中区域</w:t>
            </w:r>
            <w:r>
              <w:rPr>
                <w:rFonts w:hint="eastAsia"/>
              </w:rPr>
              <w:t>，</w:t>
            </w:r>
            <w:r>
              <w:t>法律、法规规定的其他禁止养殖区域</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89"/>
              <w:jc w:val="both"/>
            </w:pPr>
            <w:r>
              <w:rPr>
                <w:rFonts w:hint="eastAsia"/>
              </w:rPr>
              <w:t>《规模化</w:t>
            </w:r>
            <w:r>
              <w:t>畜禽场良好</w:t>
            </w:r>
            <w:r>
              <w:rPr>
                <w:rFonts w:hint="eastAsia"/>
              </w:rPr>
              <w:t>生产</w:t>
            </w:r>
            <w:r>
              <w:t>环境</w:t>
            </w:r>
            <w:r>
              <w:rPr>
                <w:rFonts w:hint="eastAsia"/>
              </w:rPr>
              <w:t xml:space="preserve"> 第1部分 场地</w:t>
            </w:r>
            <w:r>
              <w:t>要求</w:t>
            </w:r>
            <w:r>
              <w:rPr>
                <w:rFonts w:hint="eastAsia"/>
              </w:rPr>
              <w:t>》（GB</w:t>
            </w:r>
            <w:r>
              <w:t>/T 41441.1-2022</w:t>
            </w:r>
            <w:r>
              <w:rPr>
                <w:rFonts w:hint="eastAsia"/>
              </w:rPr>
              <w:t>）</w:t>
            </w:r>
          </w:p>
        </w:tc>
        <w:tc>
          <w:tcPr>
            <w:tcW w:w="7229" w:type="dxa"/>
            <w:vAlign w:val="center"/>
          </w:tcPr>
          <w:p>
            <w:pPr>
              <w:pStyle w:val="89"/>
              <w:jc w:val="left"/>
            </w:pPr>
            <w:r>
              <w:rPr>
                <w:rFonts w:hint="eastAsia"/>
              </w:rPr>
              <w:t>4.1基本要求4.1.1 应符合当地土地利用总体规划﹑城乡发展规划和环境保护规划。4.1.2应符合当地畜牧业发展规划。  4.1.3 不应占用基本农田。</w:t>
            </w:r>
          </w:p>
          <w:p>
            <w:pPr>
              <w:pStyle w:val="89"/>
              <w:jc w:val="left"/>
            </w:pPr>
            <w:r>
              <w:rPr>
                <w:rFonts w:hint="eastAsia"/>
              </w:rPr>
              <w:t>4.1.4应与种植业结合，对畜禽粪便进行资源利用。</w:t>
            </w:r>
          </w:p>
          <w:p>
            <w:pPr>
              <w:pStyle w:val="89"/>
              <w:jc w:val="left"/>
            </w:pPr>
            <w:r>
              <w:rPr>
                <w:rFonts w:hint="eastAsia"/>
              </w:rPr>
              <w:t>4.1.5 不应在下列区域内建设畜禽养殖场:</w:t>
            </w:r>
          </w:p>
          <w:p>
            <w:pPr>
              <w:pStyle w:val="89"/>
              <w:jc w:val="both"/>
            </w:pPr>
            <w:r>
              <w:rPr>
                <w:rFonts w:hint="eastAsia"/>
              </w:rPr>
              <w:t>a)生活饮用水的水源保护区、风景名胜区以及自然保护区的核心区和缓冲区﹔b)城镇居民区、文化教育科学研究区等人口集中区域。</w:t>
            </w:r>
          </w:p>
          <w:p>
            <w:pPr>
              <w:pStyle w:val="89"/>
              <w:jc w:val="left"/>
            </w:pPr>
            <w:r>
              <w:rPr>
                <w:rFonts w:hint="eastAsia"/>
              </w:rPr>
              <w:t>4.1.6应距离铁路﹑高速公路、主要交通干线500 m 以上，与其他养殖场，养殖小区的距离在500 m 以上，距离地标功能水体400m以上。</w:t>
            </w:r>
          </w:p>
        </w:tc>
        <w:tc>
          <w:tcPr>
            <w:tcW w:w="4251" w:type="dxa"/>
            <w:vAlign w:val="center"/>
          </w:tcPr>
          <w:p>
            <w:pPr>
              <w:pStyle w:val="40"/>
              <w:jc w:val="both"/>
            </w:pPr>
            <w:r>
              <w:rPr>
                <w:rFonts w:hint="eastAsia"/>
              </w:rPr>
              <w:t>项目</w:t>
            </w:r>
            <w:r>
              <w:t>位于旬阳市关口镇关坪村，不占用基本农田，采用</w:t>
            </w:r>
            <w:r>
              <w:rPr>
                <w:rFonts w:hint="eastAsia"/>
              </w:rPr>
              <w:t>与</w:t>
            </w:r>
            <w:r>
              <w:t>种植业结合方式对畜禽</w:t>
            </w:r>
            <w:r>
              <w:rPr>
                <w:rFonts w:hint="eastAsia"/>
              </w:rPr>
              <w:t>粪便</w:t>
            </w:r>
            <w:r>
              <w:t>进行了资源利用，项目所在地无生活饮用水水源保护区、风景名胜区及自然保护区的核心区和缓冲区，无城镇居民区</w:t>
            </w:r>
            <w:r>
              <w:rPr>
                <w:rFonts w:hint="eastAsia"/>
              </w:rPr>
              <w:t>等</w:t>
            </w:r>
            <w:r>
              <w:t>人口集中区域，</w:t>
            </w:r>
            <w:r>
              <w:rPr>
                <w:rFonts w:hint="eastAsia"/>
              </w:rPr>
              <w:t>项目</w:t>
            </w:r>
            <w:r>
              <w:t>周边</w:t>
            </w:r>
            <w:r>
              <w:rPr>
                <w:rFonts w:hint="eastAsia"/>
              </w:rPr>
              <w:t>500</w:t>
            </w:r>
            <w:r>
              <w:t>m范围内部铁路</w:t>
            </w:r>
            <w:r>
              <w:rPr>
                <w:rFonts w:hint="eastAsia"/>
              </w:rPr>
              <w:t>高速公路及</w:t>
            </w:r>
            <w:r>
              <w:t>其他养殖场，养殖场小区，距离最近的</w:t>
            </w:r>
            <w:r>
              <w:rPr>
                <w:rFonts w:hint="eastAsia"/>
              </w:rPr>
              <w:t>地表</w:t>
            </w:r>
            <w:r>
              <w:t>功能水体沈家河</w:t>
            </w:r>
            <w:r>
              <w:rPr>
                <w:rFonts w:hint="eastAsia"/>
              </w:rPr>
              <w:t>570</w:t>
            </w:r>
            <w:r>
              <w:t>m</w:t>
            </w:r>
            <w:r>
              <w:rPr>
                <w:rFonts w:hint="eastAsia"/>
              </w:rP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40"/>
              <w:jc w:val="both"/>
            </w:pPr>
            <w:r>
              <w:t>陕西省农业农村厅</w:t>
            </w:r>
            <w:r>
              <w:rPr>
                <w:rFonts w:hint="eastAsia"/>
              </w:rPr>
              <w:t>《</w:t>
            </w:r>
            <w:r>
              <w:t>关于调整动物防疫条件审查有关规定的通知</w:t>
            </w:r>
          </w:p>
          <w:p>
            <w:pPr>
              <w:pStyle w:val="40"/>
              <w:jc w:val="both"/>
            </w:pPr>
            <w:r>
              <w:rPr>
                <w:rFonts w:hint="eastAsia"/>
              </w:rPr>
              <w:t>》</w:t>
            </w:r>
            <w:r>
              <w:t>陕农发〔2020〕36号</w:t>
            </w:r>
          </w:p>
        </w:tc>
        <w:tc>
          <w:tcPr>
            <w:tcW w:w="7229" w:type="dxa"/>
            <w:vAlign w:val="center"/>
          </w:tcPr>
          <w:p>
            <w:pPr>
              <w:pStyle w:val="40"/>
              <w:jc w:val="both"/>
            </w:pPr>
            <w:r>
              <w:rPr>
                <w:kern w:val="0"/>
                <w:szCs w:val="24"/>
                <w:lang w:val="zh-CN"/>
              </w:rPr>
              <w:t>为优化动物防疫条件审查工作，促进生猪等畜禽养殖业健康发展，农业农村部下发《关于调整动物防疫条件审查有关规定的通知》（农牧发〔2019〕42号），明确要求暂停执行关于兴办动物饲养场、养殖小区、动物隔离场所、动物屠宰加工场所以及动物和动物产品无害化处理场所（以下简称动物饲养等场所）的选址距离规定。</w:t>
            </w:r>
          </w:p>
        </w:tc>
        <w:tc>
          <w:tcPr>
            <w:tcW w:w="4251" w:type="dxa"/>
            <w:vAlign w:val="center"/>
          </w:tcPr>
          <w:p>
            <w:pPr>
              <w:pStyle w:val="84"/>
              <w:jc w:val="both"/>
              <w:rPr>
                <w:rFonts w:hAnsi="Times New Roman"/>
                <w:szCs w:val="21"/>
              </w:rPr>
            </w:pPr>
            <w:r>
              <w:rPr>
                <w:rFonts w:hint="eastAsia" w:hAnsi="Times New Roman"/>
                <w:szCs w:val="21"/>
              </w:rPr>
              <w:t>关于《动物防疫条件审查办法》（[2010]第7号）中</w:t>
            </w:r>
            <w:r>
              <w:rPr>
                <w:rFonts w:hAnsi="Times New Roman"/>
                <w:szCs w:val="21"/>
              </w:rPr>
              <w:t>动物和动物产品无害化处理场所</w:t>
            </w:r>
            <w:r>
              <w:rPr>
                <w:rFonts w:hint="eastAsia" w:hAnsi="Times New Roman"/>
                <w:szCs w:val="21"/>
              </w:rPr>
              <w:t>以下</w:t>
            </w:r>
            <w:r>
              <w:rPr>
                <w:rFonts w:hAnsi="Times New Roman"/>
                <w:szCs w:val="21"/>
              </w:rPr>
              <w:t>选址条件</w:t>
            </w:r>
            <w:r>
              <w:rPr>
                <w:rFonts w:hint="eastAsia" w:hAnsi="Times New Roman"/>
                <w:szCs w:val="21"/>
              </w:rPr>
              <w:t>不再执行</w:t>
            </w:r>
            <w:r>
              <w:rPr>
                <w:rFonts w:hAnsi="Times New Roman"/>
                <w:szCs w:val="21"/>
              </w:rPr>
              <w:t>：（一）距离动物养殖场、养殖小区、种畜禽场、动物屠宰加工场所、动物隔离场所、动物诊疗场所、动物和动物产品集贸市场、生活饮用水源地3000m以上；</w:t>
            </w:r>
          </w:p>
          <w:p>
            <w:pPr>
              <w:pStyle w:val="40"/>
              <w:jc w:val="both"/>
              <w:rPr>
                <w:highlight w:val="yellow"/>
              </w:rPr>
            </w:pPr>
            <w:r>
              <w:rPr>
                <w:szCs w:val="21"/>
              </w:rPr>
              <w:t>（二）距离城镇居民区、文化教育科研等人口集中区域及公路、铁路等主要交通干线500m以上。</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restart"/>
            <w:vAlign w:val="center"/>
          </w:tcPr>
          <w:p>
            <w:pPr>
              <w:pStyle w:val="40"/>
              <w:jc w:val="both"/>
              <w:rPr>
                <w:bCs/>
              </w:rPr>
            </w:pPr>
            <w:r>
              <w:rPr>
                <w:rFonts w:hint="eastAsia"/>
                <w:bCs/>
              </w:rPr>
              <w:t>《旬阳县</w:t>
            </w:r>
            <w:r>
              <w:rPr>
                <w:bCs/>
              </w:rPr>
              <w:t>畜禽养殖</w:t>
            </w:r>
            <w:r>
              <w:rPr>
                <w:rFonts w:hint="eastAsia"/>
                <w:bCs/>
              </w:rPr>
              <w:t>禁养区</w:t>
            </w:r>
            <w:r>
              <w:rPr>
                <w:bCs/>
              </w:rPr>
              <w:t>划分方案</w:t>
            </w:r>
            <w:r>
              <w:rPr>
                <w:rFonts w:hint="eastAsia"/>
                <w:bCs/>
              </w:rPr>
              <w:t>》（旬</w:t>
            </w:r>
            <w:r>
              <w:rPr>
                <w:bCs/>
              </w:rPr>
              <w:t>政</w:t>
            </w:r>
            <w:r>
              <w:rPr>
                <w:rFonts w:hint="eastAsia"/>
                <w:bCs/>
              </w:rPr>
              <w:t>发[</w:t>
            </w:r>
            <w:r>
              <w:rPr>
                <w:bCs/>
              </w:rPr>
              <w:t>2020</w:t>
            </w:r>
            <w:r>
              <w:rPr>
                <w:rFonts w:hint="eastAsia"/>
                <w:bCs/>
              </w:rPr>
              <w:t>]</w:t>
            </w:r>
            <w:r>
              <w:rPr>
                <w:bCs/>
              </w:rPr>
              <w:t>1</w:t>
            </w:r>
            <w:r>
              <w:rPr>
                <w:rFonts w:hint="eastAsia"/>
                <w:bCs/>
              </w:rPr>
              <w:t>号）</w:t>
            </w:r>
          </w:p>
        </w:tc>
        <w:tc>
          <w:tcPr>
            <w:tcW w:w="7229" w:type="dxa"/>
            <w:vAlign w:val="center"/>
          </w:tcPr>
          <w:p>
            <w:pPr>
              <w:pStyle w:val="40"/>
              <w:jc w:val="both"/>
            </w:pPr>
            <w:r>
              <w:rPr>
                <w:rFonts w:hint="eastAsia"/>
                <w:b/>
              </w:rPr>
              <w:t>禽养殖禁养区范围：</w:t>
            </w:r>
            <w:r>
              <w:rPr>
                <w:rFonts w:hint="eastAsia"/>
              </w:rPr>
              <w:t>城镇规划区、饮用水源保护区、重要河流</w:t>
            </w:r>
            <w:r>
              <w:t>岸带畜禽禁</w:t>
            </w:r>
            <w:r>
              <w:rPr>
                <w:rFonts w:hint="eastAsia"/>
              </w:rPr>
              <w:t>建</w:t>
            </w:r>
            <w:r>
              <w:t>区</w:t>
            </w:r>
            <w:r>
              <w:rPr>
                <w:rFonts w:hint="eastAsia"/>
              </w:rPr>
              <w:t>，</w:t>
            </w:r>
            <w:r>
              <w:rPr>
                <w:szCs w:val="21"/>
              </w:rPr>
              <w:t>饮用水源保护区畜禽禁养区：</w:t>
            </w:r>
            <w:r>
              <w:rPr>
                <w:rFonts w:hint="eastAsia"/>
                <w:szCs w:val="21"/>
              </w:rPr>
              <w:t>关口镇饮用水源</w:t>
            </w:r>
            <w:r>
              <w:rPr>
                <w:szCs w:val="21"/>
              </w:rPr>
              <w:t>保护区面积</w:t>
            </w:r>
            <w:r>
              <w:rPr>
                <w:rFonts w:hint="eastAsia"/>
                <w:szCs w:val="21"/>
              </w:rPr>
              <w:t>0.9687</w:t>
            </w:r>
            <w:r>
              <w:rPr>
                <w:szCs w:val="21"/>
              </w:rPr>
              <w:t>km</w:t>
            </w:r>
            <w:r>
              <w:rPr>
                <w:szCs w:val="21"/>
                <w:vertAlign w:val="superscript"/>
              </w:rPr>
              <w:t>2</w:t>
            </w:r>
            <w:r>
              <w:rPr>
                <w:szCs w:val="21"/>
              </w:rPr>
              <w:t>，其中</w:t>
            </w:r>
            <w:r>
              <w:rPr>
                <w:rFonts w:hint="eastAsia"/>
                <w:szCs w:val="21"/>
              </w:rPr>
              <w:t>饮用水源</w:t>
            </w:r>
            <w:r>
              <w:rPr>
                <w:szCs w:val="21"/>
              </w:rPr>
              <w:t>一级保护区</w:t>
            </w:r>
            <w:r>
              <w:rPr>
                <w:rFonts w:hint="eastAsia"/>
                <w:szCs w:val="21"/>
              </w:rPr>
              <w:t>0.1627</w:t>
            </w:r>
            <w:r>
              <w:rPr>
                <w:szCs w:val="21"/>
              </w:rPr>
              <w:t>km</w:t>
            </w:r>
            <w:r>
              <w:rPr>
                <w:szCs w:val="21"/>
                <w:vertAlign w:val="superscript"/>
              </w:rPr>
              <w:t>2</w:t>
            </w:r>
            <w:r>
              <w:rPr>
                <w:szCs w:val="21"/>
              </w:rPr>
              <w:t>，二级保护区</w:t>
            </w:r>
            <w:r>
              <w:rPr>
                <w:rFonts w:hint="eastAsia"/>
                <w:szCs w:val="21"/>
              </w:rPr>
              <w:t>0.806</w:t>
            </w:r>
            <w:r>
              <w:rPr>
                <w:szCs w:val="21"/>
              </w:rPr>
              <w:t>km</w:t>
            </w:r>
            <w:r>
              <w:rPr>
                <w:szCs w:val="21"/>
                <w:vertAlign w:val="superscript"/>
              </w:rPr>
              <w:t>2</w:t>
            </w:r>
            <w:r>
              <w:rPr>
                <w:rFonts w:hint="eastAsia"/>
                <w:szCs w:val="21"/>
              </w:rPr>
              <w:t>。</w:t>
            </w:r>
          </w:p>
        </w:tc>
        <w:tc>
          <w:tcPr>
            <w:tcW w:w="4251" w:type="dxa"/>
            <w:vAlign w:val="center"/>
          </w:tcPr>
          <w:p>
            <w:pPr>
              <w:pStyle w:val="40"/>
              <w:jc w:val="both"/>
            </w:pPr>
            <w:r>
              <w:rPr>
                <w:rFonts w:hint="eastAsia"/>
              </w:rPr>
              <w:t>本项目</w:t>
            </w:r>
            <w:r>
              <w:t>位于</w:t>
            </w:r>
            <w:r>
              <w:rPr>
                <w:rFonts w:hint="eastAsia"/>
              </w:rPr>
              <w:t>旬阳市关口镇关坪</w:t>
            </w:r>
            <w:r>
              <w:t>村</w:t>
            </w:r>
            <w:r>
              <w:rPr>
                <w:szCs w:val="21"/>
              </w:rPr>
              <w:t>，距离饮用水源保护区</w:t>
            </w:r>
            <w:r>
              <w:rPr>
                <w:rFonts w:hint="eastAsia"/>
                <w:szCs w:val="21"/>
              </w:rPr>
              <w:t>较</w:t>
            </w:r>
            <w:r>
              <w:rPr>
                <w:szCs w:val="21"/>
              </w:rPr>
              <w:t>远，本项目不在</w:t>
            </w:r>
            <w:r>
              <w:rPr>
                <w:rFonts w:hint="eastAsia"/>
                <w:szCs w:val="21"/>
              </w:rPr>
              <w:t>饮用水源</w:t>
            </w:r>
            <w:r>
              <w:rPr>
                <w:szCs w:val="21"/>
              </w:rPr>
              <w:t>保护区禁养区范围内。</w:t>
            </w:r>
            <w:r>
              <w:t xml:space="preserve"> </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continue"/>
            <w:vAlign w:val="center"/>
          </w:tcPr>
          <w:p>
            <w:pPr>
              <w:pStyle w:val="40"/>
              <w:jc w:val="both"/>
              <w:rPr>
                <w:bCs/>
              </w:rPr>
            </w:pPr>
          </w:p>
        </w:tc>
        <w:tc>
          <w:tcPr>
            <w:tcW w:w="7229" w:type="dxa"/>
            <w:vAlign w:val="center"/>
          </w:tcPr>
          <w:p>
            <w:pPr>
              <w:pStyle w:val="40"/>
              <w:jc w:val="both"/>
              <w:rPr>
                <w:b/>
              </w:rPr>
            </w:pPr>
            <w:r>
              <w:rPr>
                <w:szCs w:val="21"/>
              </w:rPr>
              <w:t>城镇居民区畜禽禁养区</w:t>
            </w:r>
            <w:r>
              <w:rPr>
                <w:rFonts w:hint="eastAsia"/>
                <w:szCs w:val="21"/>
              </w:rPr>
              <w:t>：</w:t>
            </w:r>
            <w:r>
              <w:rPr>
                <w:szCs w:val="21"/>
              </w:rPr>
              <w:t>以各镇总体规划红线</w:t>
            </w:r>
            <w:r>
              <w:rPr>
                <w:rFonts w:hint="eastAsia"/>
                <w:szCs w:val="21"/>
              </w:rPr>
              <w:t>外延500</w:t>
            </w:r>
            <w:r>
              <w:rPr>
                <w:szCs w:val="21"/>
              </w:rPr>
              <w:t>m范围为准</w:t>
            </w:r>
            <w:r>
              <w:rPr>
                <w:rFonts w:hint="eastAsia"/>
                <w:szCs w:val="21"/>
              </w:rPr>
              <w:t>，关口镇城镇</w:t>
            </w:r>
            <w:r>
              <w:rPr>
                <w:szCs w:val="21"/>
              </w:rPr>
              <w:t>规划范围四至边界为：东：移民安置点；南加油站；西：铺沟</w:t>
            </w:r>
            <w:r>
              <w:rPr>
                <w:rFonts w:hint="eastAsia"/>
                <w:szCs w:val="21"/>
              </w:rPr>
              <w:t>口</w:t>
            </w:r>
            <w:r>
              <w:rPr>
                <w:szCs w:val="21"/>
              </w:rPr>
              <w:t>；北：关口初级中学，禁养区面积合计为</w:t>
            </w:r>
            <w:r>
              <w:rPr>
                <w:rFonts w:hint="eastAsia"/>
                <w:szCs w:val="21"/>
              </w:rPr>
              <w:t>4.427</w:t>
            </w:r>
            <w:r>
              <w:rPr>
                <w:szCs w:val="21"/>
              </w:rPr>
              <w:t>km</w:t>
            </w:r>
            <w:r>
              <w:rPr>
                <w:szCs w:val="21"/>
                <w:vertAlign w:val="superscript"/>
              </w:rPr>
              <w:t>2</w:t>
            </w:r>
            <w:r>
              <w:rPr>
                <w:rFonts w:hint="eastAsia"/>
                <w:szCs w:val="21"/>
              </w:rPr>
              <w:t>。</w:t>
            </w:r>
          </w:p>
        </w:tc>
        <w:tc>
          <w:tcPr>
            <w:tcW w:w="4251" w:type="dxa"/>
            <w:vAlign w:val="center"/>
          </w:tcPr>
          <w:p>
            <w:pPr>
              <w:pStyle w:val="40"/>
              <w:jc w:val="both"/>
            </w:pPr>
            <w:r>
              <w:rPr>
                <w:rFonts w:hint="eastAsia"/>
                <w:szCs w:val="21"/>
              </w:rPr>
              <w:t>本项目</w:t>
            </w:r>
            <w:r>
              <w:rPr>
                <w:szCs w:val="21"/>
              </w:rPr>
              <w:t>位于关口镇关坪村，</w:t>
            </w:r>
            <w:r>
              <w:rPr>
                <w:rFonts w:hint="eastAsia"/>
                <w:szCs w:val="21"/>
              </w:rPr>
              <w:t>位于</w:t>
            </w:r>
            <w:r>
              <w:rPr>
                <w:szCs w:val="21"/>
              </w:rPr>
              <w:t>关口镇北侧，距离关口镇城镇规划范围北侧关口初级中学约</w:t>
            </w:r>
            <w:r>
              <w:rPr>
                <w:rFonts w:hint="eastAsia"/>
                <w:szCs w:val="21"/>
              </w:rPr>
              <w:t>2.6</w:t>
            </w:r>
            <w:r>
              <w:rPr>
                <w:szCs w:val="21"/>
              </w:rPr>
              <w:t>km，</w:t>
            </w:r>
            <w:r>
              <w:rPr>
                <w:rFonts w:hint="eastAsia"/>
                <w:szCs w:val="21"/>
              </w:rPr>
              <w:t>不在</w:t>
            </w:r>
            <w:r>
              <w:rPr>
                <w:szCs w:val="21"/>
              </w:rPr>
              <w:t>城镇居民区畜禽禁养区。</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continue"/>
            <w:vAlign w:val="center"/>
          </w:tcPr>
          <w:p>
            <w:pPr>
              <w:pStyle w:val="40"/>
              <w:jc w:val="both"/>
              <w:rPr>
                <w:bCs/>
              </w:rPr>
            </w:pPr>
          </w:p>
        </w:tc>
        <w:tc>
          <w:tcPr>
            <w:tcW w:w="7229" w:type="dxa"/>
            <w:vAlign w:val="center"/>
          </w:tcPr>
          <w:p>
            <w:pPr>
              <w:pStyle w:val="40"/>
              <w:jc w:val="both"/>
              <w:rPr>
                <w:b/>
              </w:rPr>
            </w:pPr>
            <w:r>
              <w:rPr>
                <w:szCs w:val="21"/>
              </w:rPr>
              <w:t>重要河流岸带畜禽禁建区</w:t>
            </w:r>
            <w:r>
              <w:rPr>
                <w:rFonts w:hint="eastAsia"/>
                <w:szCs w:val="21"/>
              </w:rPr>
              <w:t>：汉江干流河道两侧500m 以内的区域畜禽养殖禁养区，旬河、坝河、蜀河、仙河干流河道两侧100m以内的区域为畜禽养殖禁养区，吕河、大神河、大金河、达仁河、乾佑河、沙沟河、麻坪河、冷水河、西岔河、竹筒河河道两侧各50m 以内的区域为畜禽养殖禁建区</w:t>
            </w:r>
          </w:p>
        </w:tc>
        <w:tc>
          <w:tcPr>
            <w:tcW w:w="4251" w:type="dxa"/>
            <w:vAlign w:val="center"/>
          </w:tcPr>
          <w:p>
            <w:pPr>
              <w:pStyle w:val="40"/>
              <w:jc w:val="both"/>
            </w:pPr>
            <w:r>
              <w:rPr>
                <w:rFonts w:hint="eastAsia"/>
                <w:szCs w:val="21"/>
              </w:rPr>
              <w:t>项目</w:t>
            </w:r>
            <w:r>
              <w:rPr>
                <w:szCs w:val="21"/>
              </w:rPr>
              <w:t>距离西</w:t>
            </w:r>
            <w:r>
              <w:rPr>
                <w:rFonts w:hint="eastAsia"/>
                <w:szCs w:val="21"/>
              </w:rPr>
              <w:t>南</w:t>
            </w:r>
            <w:r>
              <w:rPr>
                <w:szCs w:val="21"/>
              </w:rPr>
              <w:t>侧</w:t>
            </w:r>
            <w:r>
              <w:rPr>
                <w:rFonts w:hint="eastAsia"/>
                <w:szCs w:val="21"/>
              </w:rPr>
              <w:t>沈</w:t>
            </w:r>
            <w:r>
              <w:rPr>
                <w:szCs w:val="21"/>
              </w:rPr>
              <w:t>家河</w:t>
            </w:r>
            <w:r>
              <w:rPr>
                <w:rFonts w:hint="eastAsia"/>
                <w:szCs w:val="21"/>
              </w:rPr>
              <w:t>570</w:t>
            </w:r>
            <w:r>
              <w:rPr>
                <w:szCs w:val="21"/>
              </w:rPr>
              <w:t>m，距离</w:t>
            </w:r>
            <w:r>
              <w:rPr>
                <w:rFonts w:hint="eastAsia"/>
                <w:szCs w:val="21"/>
              </w:rPr>
              <w:t>汉江</w:t>
            </w:r>
            <w:r>
              <w:rPr>
                <w:szCs w:val="21"/>
              </w:rPr>
              <w:t>干流</w:t>
            </w:r>
            <w:r>
              <w:rPr>
                <w:rFonts w:hint="eastAsia"/>
                <w:szCs w:val="21"/>
              </w:rPr>
              <w:t>3.5</w:t>
            </w:r>
            <w:r>
              <w:rPr>
                <w:szCs w:val="21"/>
              </w:rPr>
              <w:t>km，不</w:t>
            </w:r>
            <w:r>
              <w:rPr>
                <w:rFonts w:hint="eastAsia"/>
                <w:szCs w:val="21"/>
              </w:rPr>
              <w:t>在</w:t>
            </w:r>
            <w:r>
              <w:rPr>
                <w:szCs w:val="21"/>
              </w:rPr>
              <w:t>重要河流岸带畜禽禁</w:t>
            </w:r>
            <w:r>
              <w:rPr>
                <w:rFonts w:hint="eastAsia"/>
                <w:szCs w:val="21"/>
              </w:rPr>
              <w:t>建区。</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Merge w:val="continue"/>
            <w:vAlign w:val="center"/>
          </w:tcPr>
          <w:p>
            <w:pPr>
              <w:pStyle w:val="40"/>
              <w:jc w:val="both"/>
              <w:rPr>
                <w:bCs/>
              </w:rPr>
            </w:pPr>
          </w:p>
        </w:tc>
        <w:tc>
          <w:tcPr>
            <w:tcW w:w="7229" w:type="dxa"/>
            <w:vAlign w:val="center"/>
          </w:tcPr>
          <w:p>
            <w:pPr>
              <w:pStyle w:val="40"/>
              <w:jc w:val="both"/>
              <w:rPr>
                <w:highlight w:val="yellow"/>
              </w:rPr>
            </w:pPr>
            <w:r>
              <w:rPr>
                <w:rFonts w:hint="eastAsia"/>
                <w:b/>
              </w:rPr>
              <w:t>管控</w:t>
            </w:r>
            <w:r>
              <w:rPr>
                <w:b/>
              </w:rPr>
              <w:t>措施</w:t>
            </w:r>
            <w:r>
              <w:rPr>
                <w:rFonts w:hint="eastAsia"/>
                <w:b/>
              </w:rPr>
              <w:t>：</w:t>
            </w:r>
            <w:r>
              <w:rPr>
                <w:rFonts w:hint="eastAsia"/>
              </w:rPr>
              <w:t>畜禽养殖禁养区严禁新建规模化养殖场。在河道两侧禁养区内，禁止新建和改扩建各类畜禽规模养殖场，禁止新建一定规模的养殖户；</w:t>
            </w:r>
          </w:p>
          <w:p>
            <w:pPr>
              <w:pStyle w:val="40"/>
              <w:jc w:val="both"/>
              <w:rPr>
                <w:b/>
              </w:rPr>
            </w:pPr>
            <w:r>
              <w:rPr>
                <w:rFonts w:hint="eastAsia"/>
              </w:rPr>
              <w:t>在禁养区范围以外，新、改、扩建的规模化养殖场（小区）应符合城镇总体规划、畜禽产业发展规划、畜禽养殖污染防治规划，满足动物防疫条件和《畜禽养殖业污染防治技术规范》（HJ／T81—2001）的要求，布局合理，选址适当。</w:t>
            </w:r>
          </w:p>
        </w:tc>
        <w:tc>
          <w:tcPr>
            <w:tcW w:w="4251" w:type="dxa"/>
            <w:vAlign w:val="center"/>
          </w:tcPr>
          <w:p>
            <w:pPr>
              <w:pStyle w:val="40"/>
              <w:jc w:val="both"/>
            </w:pPr>
            <w:r>
              <w:t>项目建设符合</w:t>
            </w:r>
            <w:r>
              <w:rPr>
                <w:rFonts w:hint="eastAsia"/>
              </w:rPr>
              <w:t>禽养殖污染防治规划，满足动物防疫条件和《畜禽养殖业污染防治技术规范》（HJ／T81—2001）的要求，布局合理，选址适当</w:t>
            </w:r>
            <w: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40"/>
              <w:rPr>
                <w:szCs w:val="21"/>
              </w:rPr>
            </w:pPr>
            <w:r>
              <w:rPr>
                <w:rFonts w:hint="eastAsia"/>
                <w:szCs w:val="21"/>
              </w:rPr>
              <w:t>《大中型</w:t>
            </w:r>
            <w:r>
              <w:rPr>
                <w:szCs w:val="21"/>
              </w:rPr>
              <w:t>家畜养殖场建设环境保护标准</w:t>
            </w:r>
            <w:r>
              <w:rPr>
                <w:rFonts w:hint="eastAsia"/>
                <w:szCs w:val="21"/>
              </w:rPr>
              <w:t>》（DB61/422-2008）</w:t>
            </w:r>
          </w:p>
        </w:tc>
        <w:tc>
          <w:tcPr>
            <w:tcW w:w="7229" w:type="dxa"/>
            <w:vAlign w:val="center"/>
          </w:tcPr>
          <w:p>
            <w:pPr>
              <w:pStyle w:val="40"/>
              <w:jc w:val="both"/>
              <w:rPr>
                <w:szCs w:val="21"/>
              </w:rPr>
            </w:pPr>
            <w:r>
              <w:rPr>
                <w:rFonts w:hint="eastAsia"/>
                <w:szCs w:val="21"/>
              </w:rPr>
              <w:t>4.2.1.1 养殖场应布局在县或镇政府规划的家畜养殖业和养殖场建设的范围内，不得在规划的禁养区域内建设。4.2.1.2 养殖场布局应尽可能有利于发展种养结合和生态养殖。</w:t>
            </w:r>
          </w:p>
          <w:p>
            <w:pPr>
              <w:pStyle w:val="89"/>
              <w:jc w:val="both"/>
            </w:pPr>
            <w:r>
              <w:rPr>
                <w:rFonts w:hint="eastAsia"/>
              </w:rPr>
              <w:t>4.2.2.1 养殖场禁止选择在村镇集中饮用水源保护区和地下水源保护区及其他国家和地方法规中禁</w:t>
            </w:r>
            <w:r>
              <w:rPr>
                <w:rFonts w:hint="eastAsia"/>
                <w:szCs w:val="21"/>
              </w:rPr>
              <w:t>止的区域内建设</w:t>
            </w:r>
            <w:r>
              <w:rPr>
                <w:rFonts w:hint="eastAsia"/>
              </w:rPr>
              <w:t>。</w:t>
            </w:r>
          </w:p>
          <w:p>
            <w:pPr>
              <w:pStyle w:val="89"/>
              <w:jc w:val="both"/>
            </w:pPr>
            <w:r>
              <w:t>4.2.2.2</w:t>
            </w:r>
            <w:r>
              <w:rPr>
                <w:rFonts w:hint="eastAsia"/>
              </w:rPr>
              <w:t>新建大型养殖场与周边环境敏感点之间的卫生防护距离不小于500m，中型养殖场卫生防护距离不小于300m。</w:t>
            </w:r>
          </w:p>
        </w:tc>
        <w:tc>
          <w:tcPr>
            <w:tcW w:w="4251" w:type="dxa"/>
            <w:vAlign w:val="center"/>
          </w:tcPr>
          <w:p>
            <w:pPr>
              <w:pStyle w:val="40"/>
              <w:jc w:val="both"/>
              <w:rPr>
                <w:szCs w:val="21"/>
              </w:rPr>
            </w:pPr>
            <w:r>
              <w:rPr>
                <w:rFonts w:hint="eastAsia"/>
                <w:szCs w:val="21"/>
              </w:rPr>
              <w:t>项目</w:t>
            </w:r>
            <w:r>
              <w:rPr>
                <w:szCs w:val="21"/>
              </w:rPr>
              <w:t>位于</w:t>
            </w:r>
            <w:r>
              <w:rPr>
                <w:rFonts w:hint="eastAsia"/>
                <w:szCs w:val="21"/>
              </w:rPr>
              <w:t>旬阳市</w:t>
            </w:r>
            <w:r>
              <w:rPr>
                <w:szCs w:val="21"/>
              </w:rPr>
              <w:t>关口镇</w:t>
            </w:r>
            <w:r>
              <w:rPr>
                <w:rFonts w:hint="eastAsia"/>
                <w:szCs w:val="21"/>
              </w:rPr>
              <w:t>关坪村</w:t>
            </w:r>
            <w:r>
              <w:rPr>
                <w:szCs w:val="21"/>
              </w:rPr>
              <w:t>，</w:t>
            </w:r>
            <w:r>
              <w:rPr>
                <w:rFonts w:hint="eastAsia"/>
                <w:szCs w:val="21"/>
              </w:rPr>
              <w:t>项目</w:t>
            </w:r>
            <w:r>
              <w:rPr>
                <w:szCs w:val="21"/>
              </w:rPr>
              <w:t>所在地</w:t>
            </w:r>
            <w:r>
              <w:rPr>
                <w:rFonts w:hint="eastAsia"/>
                <w:szCs w:val="21"/>
              </w:rPr>
              <w:t>无</w:t>
            </w:r>
            <w:r>
              <w:rPr>
                <w:szCs w:val="21"/>
              </w:rPr>
              <w:t>饮用水源保护区和地下水源保护区及其他禁止的区域，不属于</w:t>
            </w:r>
            <w:r>
              <w:rPr>
                <w:rFonts w:hint="eastAsia"/>
                <w:szCs w:val="21"/>
              </w:rPr>
              <w:t>禁养区</w:t>
            </w:r>
            <w:r>
              <w:rPr>
                <w:szCs w:val="21"/>
              </w:rPr>
              <w:t>，养殖场采用种养结合方式，</w:t>
            </w:r>
            <w:r>
              <w:rPr>
                <w:rFonts w:hint="eastAsia"/>
                <w:szCs w:val="21"/>
              </w:rPr>
              <w:t>根据</w:t>
            </w:r>
            <w:r>
              <w:rPr>
                <w:szCs w:val="21"/>
              </w:rPr>
              <w:t>标准养殖场属于大型规模，</w:t>
            </w:r>
            <w:r>
              <w:rPr>
                <w:rFonts w:hint="eastAsia"/>
                <w:szCs w:val="21"/>
              </w:rPr>
              <w:t>项目</w:t>
            </w:r>
            <w:r>
              <w:rPr>
                <w:szCs w:val="21"/>
              </w:rPr>
              <w:t>与周围敏感点最近距离为</w:t>
            </w:r>
            <w:r>
              <w:rPr>
                <w:rFonts w:hint="eastAsia"/>
                <w:szCs w:val="21"/>
              </w:rPr>
              <w:t>550</w:t>
            </w:r>
            <w:r>
              <w:rPr>
                <w:szCs w:val="21"/>
              </w:rPr>
              <w:t>m处的潘家坡，满足卫生防护距离要求</w:t>
            </w:r>
            <w:r>
              <w:rPr>
                <w:rFonts w:hint="eastAsia"/>
                <w:szCs w:val="21"/>
              </w:rPr>
              <w:t>。</w:t>
            </w:r>
          </w:p>
        </w:tc>
        <w:tc>
          <w:tcPr>
            <w:tcW w:w="903" w:type="dxa"/>
            <w:vAlign w:val="center"/>
          </w:tcPr>
          <w:p>
            <w:pPr>
              <w:pStyle w:val="40"/>
            </w:pPr>
            <w:r>
              <w:rPr>
                <w:rFonts w:hint="eastAsia"/>
              </w:rPr>
              <w:t>符合</w:t>
            </w:r>
          </w:p>
        </w:tc>
      </w:tr>
    </w:tbl>
    <w:p>
      <w:pPr>
        <w:pStyle w:val="4"/>
      </w:pPr>
      <w:r>
        <w:rPr>
          <w:rFonts w:hint="eastAsia"/>
        </w:rPr>
        <w:t>与《关于</w:t>
      </w:r>
      <w:r>
        <w:t>做好畜禽规模养殖项目环境影响评价管理工作的通知</w:t>
      </w:r>
      <w:r>
        <w:rPr>
          <w:rFonts w:hint="eastAsia"/>
        </w:rPr>
        <w:t>》符合性</w:t>
      </w:r>
      <w:r>
        <w:t>分析</w:t>
      </w:r>
    </w:p>
    <w:p>
      <w:pPr>
        <w:pStyle w:val="79"/>
        <w:ind w:firstLine="480"/>
      </w:pPr>
      <w:r>
        <w:rPr>
          <w:rFonts w:hint="eastAsia"/>
        </w:rPr>
        <w:t>根据2018年11月15日国家</w:t>
      </w:r>
      <w:r>
        <w:t>生态环境</w:t>
      </w:r>
      <w:r>
        <w:rPr>
          <w:rFonts w:hint="eastAsia"/>
        </w:rPr>
        <w:t>部</w:t>
      </w:r>
      <w:r>
        <w:t>办公厅印发《</w:t>
      </w:r>
      <w:r>
        <w:rPr>
          <w:rFonts w:hint="eastAsia"/>
        </w:rPr>
        <w:t>关于</w:t>
      </w:r>
      <w:r>
        <w:t>做好畜禽规模养殖项目环境影响评价管理工作的通知》</w:t>
      </w:r>
      <w:r>
        <w:rPr>
          <w:rFonts w:hint="eastAsia"/>
        </w:rPr>
        <w:t>（环</w:t>
      </w:r>
      <w:r>
        <w:t>办环评</w:t>
      </w:r>
      <w:r>
        <w:rPr>
          <w:rFonts w:hint="eastAsia"/>
        </w:rPr>
        <w:t>[</w:t>
      </w:r>
      <w:r>
        <w:t>2018</w:t>
      </w:r>
      <w:r>
        <w:rPr>
          <w:rFonts w:hint="eastAsia"/>
        </w:rPr>
        <w:t>]</w:t>
      </w:r>
      <w:r>
        <w:t>31</w:t>
      </w:r>
      <w:r>
        <w:rPr>
          <w:rFonts w:hint="eastAsia"/>
        </w:rPr>
        <w:t>号），</w:t>
      </w:r>
      <w:r>
        <w:t>本项目与其符合性分析见</w:t>
      </w:r>
      <w:r>
        <w:rPr>
          <w:rFonts w:hint="eastAsia"/>
        </w:rPr>
        <w:t>表1.2-2。</w:t>
      </w:r>
    </w:p>
    <w:p>
      <w:pPr>
        <w:pStyle w:val="41"/>
        <w:rPr>
          <w:rFonts w:eastAsiaTheme="minorEastAsia"/>
        </w:rPr>
      </w:pPr>
      <w:bookmarkStart w:id="8" w:name="_Ref36112160"/>
      <w:r>
        <w:rPr>
          <w:rFonts w:hint="eastAsia" w:ascii="宋体" w:hAnsi="宋体" w:eastAsia="宋体" w:cs="宋体"/>
        </w:rPr>
        <w:t>表</w:t>
      </w:r>
      <w:r>
        <w:fldChar w:fldCharType="begin"/>
      </w:r>
      <w:r>
        <w:rPr>
          <w:rFonts w:hint="eastAsia"/>
        </w:rPr>
        <w:instrText xml:space="preserve">STYLEREF 2 \s</w:instrText>
      </w:r>
      <w:r>
        <w:fldChar w:fldCharType="separate"/>
      </w:r>
      <w:r>
        <w:t>1.2</w:t>
      </w:r>
      <w:r>
        <w:fldChar w:fldCharType="end"/>
      </w:r>
      <w:r>
        <w:noBreakHyphen/>
      </w:r>
      <w:r>
        <w:fldChar w:fldCharType="begin"/>
      </w:r>
      <w:r>
        <w:rPr>
          <w:rFonts w:hint="eastAsia"/>
        </w:rPr>
        <w:instrText xml:space="preserve">SEQ 表 \* ARABIC \s 2</w:instrText>
      </w:r>
      <w:r>
        <w:fldChar w:fldCharType="separate"/>
      </w:r>
      <w:r>
        <w:t>2</w:t>
      </w:r>
      <w:r>
        <w:fldChar w:fldCharType="end"/>
      </w:r>
      <w:bookmarkEnd w:id="8"/>
      <w:r>
        <w:t xml:space="preserve"> </w:t>
      </w:r>
      <w:r>
        <w:rPr>
          <w:rFonts w:hint="eastAsia" w:eastAsiaTheme="minorEastAsia"/>
        </w:rPr>
        <w:t>与</w:t>
      </w:r>
      <w:r>
        <w:rPr>
          <w:rFonts w:eastAsiaTheme="minorEastAsia"/>
        </w:rPr>
        <w:t>《</w:t>
      </w:r>
      <w:r>
        <w:rPr>
          <w:rFonts w:hint="eastAsia" w:eastAsiaTheme="minorEastAsia"/>
        </w:rPr>
        <w:t>畜禽规模</w:t>
      </w:r>
      <w:r>
        <w:rPr>
          <w:rFonts w:eastAsiaTheme="minorEastAsia"/>
        </w:rPr>
        <w:t>养殖项目环境影响评价管理工作的通知》</w:t>
      </w:r>
      <w:r>
        <w:rPr>
          <w:rFonts w:hint="eastAsia" w:eastAsiaTheme="minorEastAsia"/>
        </w:rPr>
        <w:t>符合性</w:t>
      </w:r>
      <w:r>
        <w:rPr>
          <w:rFonts w:eastAsiaTheme="minorEastAsia"/>
        </w:rPr>
        <w:t>分析</w:t>
      </w:r>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8789"/>
        <w:gridCol w:w="3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685" w:type="dxa"/>
            <w:vAlign w:val="center"/>
          </w:tcPr>
          <w:p>
            <w:pPr>
              <w:pStyle w:val="40"/>
            </w:pPr>
            <w:r>
              <w:rPr>
                <w:rFonts w:hint="eastAsia"/>
              </w:rPr>
              <w:t>通知要求</w:t>
            </w:r>
          </w:p>
        </w:tc>
        <w:tc>
          <w:tcPr>
            <w:tcW w:w="8789" w:type="dxa"/>
            <w:vAlign w:val="center"/>
          </w:tcPr>
          <w:p>
            <w:pPr>
              <w:pStyle w:val="40"/>
            </w:pPr>
            <w:r>
              <w:rPr>
                <w:rFonts w:hint="eastAsia"/>
              </w:rPr>
              <w:t>具体</w:t>
            </w:r>
            <w:r>
              <w:t>内容</w:t>
            </w:r>
          </w:p>
        </w:tc>
        <w:tc>
          <w:tcPr>
            <w:tcW w:w="3454" w:type="dxa"/>
            <w:vAlign w:val="center"/>
          </w:tcPr>
          <w:p>
            <w:pPr>
              <w:pStyle w:val="40"/>
            </w:pPr>
            <w:r>
              <w:rPr>
                <w:rFonts w:hint="eastAsia"/>
              </w:rPr>
              <w:t>是否</w:t>
            </w:r>
            <w: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restart"/>
            <w:vAlign w:val="center"/>
          </w:tcPr>
          <w:p>
            <w:pPr>
              <w:pStyle w:val="40"/>
              <w:jc w:val="both"/>
            </w:pPr>
            <w:r>
              <w:rPr>
                <w:rFonts w:hint="eastAsia"/>
              </w:rPr>
              <w:t>一、优化项目选址，合理布置养殖场区</w:t>
            </w:r>
          </w:p>
        </w:tc>
        <w:tc>
          <w:tcPr>
            <w:tcW w:w="8789" w:type="dxa"/>
            <w:vAlign w:val="center"/>
          </w:tcPr>
          <w:p>
            <w:pPr>
              <w:pStyle w:val="40"/>
              <w:jc w:val="both"/>
            </w:pPr>
            <w:r>
              <w:rPr>
                <w:rFonts w:hint="eastAsia"/>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3454" w:type="dxa"/>
            <w:vAlign w:val="center"/>
          </w:tcPr>
          <w:p>
            <w:pPr>
              <w:pStyle w:val="40"/>
              <w:jc w:val="both"/>
            </w:pPr>
            <w:r>
              <w:rPr>
                <w:rFonts w:hint="eastAsia"/>
              </w:rPr>
              <w:t>项目</w:t>
            </w:r>
            <w:r>
              <w:t>选址符合</w:t>
            </w:r>
            <w:r>
              <w:rPr>
                <w:rFonts w:hint="eastAsia"/>
              </w:rPr>
              <w:t>《旬阳县畜禽养殖禁养区划分方案》（旬政发[20</w:t>
            </w:r>
            <w:r>
              <w:t>20</w:t>
            </w:r>
            <w:r>
              <w:rPr>
                <w:rFonts w:hint="eastAsia"/>
              </w:rPr>
              <w:t>]11号），</w:t>
            </w:r>
            <w:r>
              <w:t>选址符合当地规划要求。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continue"/>
            <w:vAlign w:val="center"/>
          </w:tcPr>
          <w:p>
            <w:pPr>
              <w:pStyle w:val="40"/>
            </w:pPr>
          </w:p>
        </w:tc>
        <w:tc>
          <w:tcPr>
            <w:tcW w:w="8789" w:type="dxa"/>
            <w:vAlign w:val="center"/>
          </w:tcPr>
          <w:p>
            <w:pPr>
              <w:pStyle w:val="40"/>
              <w:jc w:val="both"/>
            </w:pPr>
            <w:r>
              <w:rPr>
                <w:rFonts w:hint="eastAsia"/>
              </w:rPr>
              <w:t>项目环评应结合环境保护要求优化养殖场区内部布置。畜禽养殖区及畜禽粪污贮存、处理和畜禽尸体无害化处理等产生恶臭影响的设施，应位于养殖场区主导风向的下风向位置，并尽量远离周边环境保护目标。参照《畜禽养殖业污染防治技术规范》，并根据恶臭污染物无组织排放源强，以及当地的环境及气象等因素，按照《环境影响评价技术导则大气环境》要求计算大气环境防护距离，作为养殖场选址以及周边规划控制的依据，减轻对周围环境保护目标的不利影响。</w:t>
            </w:r>
          </w:p>
        </w:tc>
        <w:tc>
          <w:tcPr>
            <w:tcW w:w="3454" w:type="dxa"/>
            <w:vAlign w:val="center"/>
          </w:tcPr>
          <w:p>
            <w:pPr>
              <w:pStyle w:val="40"/>
              <w:jc w:val="both"/>
            </w:pPr>
            <w:r>
              <w:rPr>
                <w:rFonts w:hint="eastAsia"/>
              </w:rPr>
              <w:t>项目</w:t>
            </w:r>
            <w:r>
              <w:t>平面布置符合要求，生产区和污染治理区</w:t>
            </w:r>
            <w:r>
              <w:rPr>
                <w:rFonts w:hint="eastAsia"/>
              </w:rPr>
              <w:t>分离，</w:t>
            </w:r>
            <w:r>
              <w:t>且污染治理区位于下风向</w:t>
            </w:r>
            <w:r>
              <w:rPr>
                <w:rFonts w:hint="eastAsia"/>
              </w:rPr>
              <w:t>。</w:t>
            </w:r>
            <w:r>
              <w:t>项目</w:t>
            </w:r>
            <w:r>
              <w:rPr>
                <w:rFonts w:hint="eastAsia"/>
              </w:rPr>
              <w:t>厂界</w:t>
            </w:r>
            <w:r>
              <w:t>外</w:t>
            </w:r>
            <w:r>
              <w:rPr>
                <w:rFonts w:hint="eastAsia"/>
              </w:rPr>
              <w:t>500</w:t>
            </w:r>
            <w:r>
              <w:t>m</w:t>
            </w:r>
            <w:r>
              <w:rPr>
                <w:rFonts w:hint="eastAsia"/>
              </w:rPr>
              <w:t>范围</w:t>
            </w:r>
            <w:r>
              <w:t>无</w:t>
            </w:r>
            <w:r>
              <w:rPr>
                <w:rFonts w:hint="eastAsia"/>
              </w:rPr>
              <w:t>集中聚集</w:t>
            </w:r>
            <w:r>
              <w:t>敏感点，满足卫生防护距离要求，符合相关技术规范要求。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restart"/>
            <w:vAlign w:val="center"/>
          </w:tcPr>
          <w:p>
            <w:pPr>
              <w:pStyle w:val="40"/>
              <w:jc w:val="both"/>
            </w:pPr>
            <w:r>
              <w:rPr>
                <w:rFonts w:hint="eastAsia"/>
              </w:rPr>
              <w:t>二、加强粪污减量控制，促进畜禽养殖粪污资源化利用</w:t>
            </w:r>
          </w:p>
        </w:tc>
        <w:tc>
          <w:tcPr>
            <w:tcW w:w="8789" w:type="dxa"/>
            <w:vAlign w:val="center"/>
          </w:tcPr>
          <w:p>
            <w:pPr>
              <w:pStyle w:val="40"/>
              <w:jc w:val="both"/>
            </w:pPr>
            <w:r>
              <w:rPr>
                <w:rFonts w:hint="eastAsia"/>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tc>
        <w:tc>
          <w:tcPr>
            <w:tcW w:w="3454" w:type="dxa"/>
            <w:vAlign w:val="center"/>
          </w:tcPr>
          <w:p>
            <w:pPr>
              <w:pStyle w:val="40"/>
              <w:jc w:val="both"/>
            </w:pPr>
            <w:r>
              <w:rPr>
                <w:rFonts w:hint="eastAsia"/>
              </w:rPr>
              <w:t>项目</w:t>
            </w:r>
            <w:r>
              <w:t>采用干</w:t>
            </w:r>
            <w:r>
              <w:rPr>
                <w:rFonts w:hint="eastAsia"/>
              </w:rPr>
              <w:t>清</w:t>
            </w:r>
            <w:r>
              <w:t>粪工艺</w:t>
            </w:r>
            <w:r>
              <w:rPr>
                <w:rFonts w:hint="eastAsia"/>
              </w:rPr>
              <w:t>等</w:t>
            </w:r>
            <w:r>
              <w:t>先进的养殖工艺，符合要求。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continue"/>
            <w:vAlign w:val="center"/>
          </w:tcPr>
          <w:p>
            <w:pPr>
              <w:pStyle w:val="40"/>
            </w:pPr>
          </w:p>
        </w:tc>
        <w:tc>
          <w:tcPr>
            <w:tcW w:w="8789" w:type="dxa"/>
            <w:vAlign w:val="center"/>
          </w:tcPr>
          <w:p>
            <w:pPr>
              <w:pStyle w:val="40"/>
              <w:jc w:val="both"/>
            </w:pPr>
            <w:r>
              <w:rPr>
                <w:rFonts w:hint="eastAsia"/>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种养结合”绿色发展。</w:t>
            </w:r>
          </w:p>
        </w:tc>
        <w:tc>
          <w:tcPr>
            <w:tcW w:w="3454" w:type="dxa"/>
            <w:vAlign w:val="center"/>
          </w:tcPr>
          <w:p>
            <w:pPr>
              <w:pStyle w:val="40"/>
              <w:jc w:val="both"/>
            </w:pPr>
            <w:r>
              <w:rPr>
                <w:rFonts w:hint="eastAsia"/>
              </w:rPr>
              <w:t>项目</w:t>
            </w:r>
            <w:r>
              <w:t>粪污均能实现资源化利用，符合要求</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continue"/>
            <w:vAlign w:val="center"/>
          </w:tcPr>
          <w:p>
            <w:pPr>
              <w:pStyle w:val="40"/>
            </w:pPr>
          </w:p>
        </w:tc>
        <w:tc>
          <w:tcPr>
            <w:tcW w:w="8789" w:type="dxa"/>
            <w:vAlign w:val="center"/>
          </w:tcPr>
          <w:p>
            <w:pPr>
              <w:pStyle w:val="40"/>
              <w:jc w:val="both"/>
            </w:pPr>
            <w:r>
              <w:rPr>
                <w:rFonts w:hint="eastAsia"/>
              </w:rPr>
              <w:t>鼓励根据土地承载能力确定畜禽养殖场的适宜养殖规模，土地承载能力可采用农业农村主管部门发布的测算技术方法确定。耕地面积大、土地消纳能力相对较高的区域，畜禽养殖场产生的粪污应力争实现全部就地就近资源化利用或委托第三方处理;当土地消纳能力不足时，应进一步提高资源化利用能力或适当减少养殖规模。鼓励依托符合环保要求的专业化粪污处理利用企业，提高畜禽养殖粪污集中收集利用能力。环评应明确畜禽养殖粪污资源化利用的主体，严格落实利用渠道或途径，确保资源化利用有效实施。</w:t>
            </w:r>
          </w:p>
        </w:tc>
        <w:tc>
          <w:tcPr>
            <w:tcW w:w="3454" w:type="dxa"/>
            <w:vAlign w:val="center"/>
          </w:tcPr>
          <w:p>
            <w:pPr>
              <w:pStyle w:val="40"/>
              <w:jc w:val="both"/>
            </w:pPr>
            <w:r>
              <w:rPr>
                <w:rFonts w:hint="eastAsia"/>
              </w:rPr>
              <w:t>项目</w:t>
            </w:r>
            <w:r>
              <w:t>产生的粪污能够得到有效利用，并且</w:t>
            </w:r>
            <w:r>
              <w:rPr>
                <w:rFonts w:hint="eastAsia"/>
              </w:rPr>
              <w:t>用于</w:t>
            </w:r>
            <w:r>
              <w:t>消纳的</w:t>
            </w:r>
            <w:r>
              <w:rPr>
                <w:rFonts w:hint="eastAsia"/>
              </w:rPr>
              <w:t>土地</w:t>
            </w:r>
            <w:r>
              <w:t>面积足够。环评</w:t>
            </w:r>
            <w:r>
              <w:rPr>
                <w:rFonts w:hint="eastAsia"/>
              </w:rPr>
              <w:t>已</w:t>
            </w:r>
            <w:r>
              <w:t>明确资源化利用的主体，并且论证可行性，符合要求。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restart"/>
            <w:vAlign w:val="center"/>
          </w:tcPr>
          <w:p>
            <w:pPr>
              <w:pStyle w:val="40"/>
              <w:jc w:val="both"/>
            </w:pPr>
            <w:r>
              <w:rPr>
                <w:rFonts w:hint="eastAsia"/>
              </w:rPr>
              <w:t>三、强化粪污治理措施，做好污染防治</w:t>
            </w:r>
          </w:p>
        </w:tc>
        <w:tc>
          <w:tcPr>
            <w:tcW w:w="8789" w:type="dxa"/>
            <w:vAlign w:val="center"/>
          </w:tcPr>
          <w:p>
            <w:pPr>
              <w:pStyle w:val="40"/>
              <w:jc w:val="both"/>
            </w:pPr>
            <w:r>
              <w:rPr>
                <w:rFonts w:hint="eastAsia"/>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tc>
        <w:tc>
          <w:tcPr>
            <w:tcW w:w="3454" w:type="dxa"/>
            <w:vAlign w:val="center"/>
          </w:tcPr>
          <w:p>
            <w:pPr>
              <w:pStyle w:val="40"/>
              <w:jc w:val="both"/>
            </w:pPr>
            <w:r>
              <w:rPr>
                <w:rFonts w:hint="eastAsia"/>
              </w:rPr>
              <w:t>项目</w:t>
            </w:r>
            <w:r>
              <w:t>粪污</w:t>
            </w:r>
            <w:r>
              <w:rPr>
                <w:rFonts w:hint="eastAsia"/>
              </w:rPr>
              <w:t>经干湿分离</w:t>
            </w:r>
            <w:r>
              <w:t>后，猪粪外售作为有机肥制造原料，液体部分经厌氧发酵后用作种植区域施肥，均能实现资源化利用，符合要求。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continue"/>
            <w:vAlign w:val="center"/>
          </w:tcPr>
          <w:p>
            <w:pPr>
              <w:pStyle w:val="40"/>
            </w:pPr>
          </w:p>
        </w:tc>
        <w:tc>
          <w:tcPr>
            <w:tcW w:w="8789" w:type="dxa"/>
            <w:vAlign w:val="center"/>
          </w:tcPr>
          <w:p>
            <w:pPr>
              <w:pStyle w:val="40"/>
              <w:jc w:val="both"/>
            </w:pPr>
            <w:r>
              <w:rPr>
                <w:rFonts w:hint="eastAsia"/>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3454" w:type="dxa"/>
            <w:vAlign w:val="center"/>
          </w:tcPr>
          <w:p>
            <w:pPr>
              <w:pStyle w:val="40"/>
            </w:pPr>
            <w:r>
              <w:rPr>
                <w:rFonts w:hint="eastAsia"/>
              </w:rPr>
              <w:t>符合</w:t>
            </w: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continue"/>
            <w:vAlign w:val="center"/>
          </w:tcPr>
          <w:p>
            <w:pPr>
              <w:pStyle w:val="40"/>
            </w:pPr>
          </w:p>
        </w:tc>
        <w:tc>
          <w:tcPr>
            <w:tcW w:w="8789" w:type="dxa"/>
            <w:vAlign w:val="center"/>
          </w:tcPr>
          <w:p>
            <w:pPr>
              <w:pStyle w:val="40"/>
              <w:jc w:val="both"/>
            </w:pPr>
            <w:r>
              <w:rPr>
                <w:rFonts w:hint="eastAsia"/>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tc>
        <w:tc>
          <w:tcPr>
            <w:tcW w:w="3454" w:type="dxa"/>
            <w:vAlign w:val="center"/>
          </w:tcPr>
          <w:p>
            <w:pPr>
              <w:pStyle w:val="40"/>
            </w:pPr>
            <w:r>
              <w:rPr>
                <w:rFonts w:hint="eastAsia"/>
              </w:rPr>
              <w:t>经</w:t>
            </w:r>
            <w:r>
              <w:t>厌氧处理后</w:t>
            </w:r>
            <w:r>
              <w:rPr>
                <w:rFonts w:hint="eastAsia"/>
              </w:rPr>
              <w:t>粪污</w:t>
            </w:r>
            <w:r>
              <w:t>作为肥料还田，采用管道</w:t>
            </w:r>
            <w:r>
              <w:rPr>
                <w:rFonts w:hint="eastAsia"/>
              </w:rPr>
              <w:t>输送</w:t>
            </w:r>
            <w:r>
              <w:t>，</w:t>
            </w:r>
            <w:r>
              <w:rPr>
                <w:rFonts w:hint="eastAsia"/>
              </w:rPr>
              <w:t>不会</w:t>
            </w:r>
            <w:r>
              <w:t>造成输送沿途的</w:t>
            </w:r>
            <w:r>
              <w:rPr>
                <w:rFonts w:hint="eastAsia"/>
              </w:rPr>
              <w:t>弃、撒和跑冒滴漏，符合</w:t>
            </w:r>
            <w: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Merge w:val="continue"/>
            <w:vAlign w:val="center"/>
          </w:tcPr>
          <w:p>
            <w:pPr>
              <w:pStyle w:val="40"/>
            </w:pPr>
          </w:p>
        </w:tc>
        <w:tc>
          <w:tcPr>
            <w:tcW w:w="8789" w:type="dxa"/>
            <w:vAlign w:val="center"/>
          </w:tcPr>
          <w:p>
            <w:pPr>
              <w:pStyle w:val="40"/>
              <w:jc w:val="both"/>
            </w:pPr>
            <w:r>
              <w:rPr>
                <w:rFonts w:hint="eastAsia"/>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p>
        </w:tc>
        <w:tc>
          <w:tcPr>
            <w:tcW w:w="3454" w:type="dxa"/>
            <w:vAlign w:val="center"/>
          </w:tcPr>
          <w:p>
            <w:pPr>
              <w:pStyle w:val="40"/>
              <w:jc w:val="both"/>
            </w:pPr>
            <w:r>
              <w:rPr>
                <w:rFonts w:hint="eastAsia"/>
              </w:rPr>
              <w:t>病死</w:t>
            </w:r>
            <w:r>
              <w:t>畜禽</w:t>
            </w:r>
            <w:r>
              <w:rPr>
                <w:rFonts w:hint="eastAsia"/>
              </w:rPr>
              <w:t>设置 2个直径3</w:t>
            </w:r>
            <w:r>
              <w:t>m，深</w:t>
            </w:r>
            <w:r>
              <w:rPr>
                <w:rFonts w:hint="eastAsia"/>
              </w:rPr>
              <w:t>5</w:t>
            </w:r>
            <w:r>
              <w:t>m的安全填埋井填埋，符合要求</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5" w:type="dxa"/>
            <w:vAlign w:val="center"/>
          </w:tcPr>
          <w:p>
            <w:pPr>
              <w:pStyle w:val="40"/>
              <w:jc w:val="both"/>
            </w:pPr>
            <w:r>
              <w:rPr>
                <w:rFonts w:hint="eastAsia"/>
              </w:rPr>
              <w:t>四、落实环评信息公开要求，发挥公众参与的监督作用</w:t>
            </w:r>
          </w:p>
        </w:tc>
        <w:tc>
          <w:tcPr>
            <w:tcW w:w="8789" w:type="dxa"/>
            <w:vAlign w:val="center"/>
          </w:tcPr>
          <w:p>
            <w:pPr>
              <w:pStyle w:val="40"/>
              <w:jc w:val="both"/>
            </w:pPr>
            <w:r>
              <w:rPr>
                <w:rFonts w:hint="eastAsia"/>
              </w:rPr>
              <w:t>建设单位在项目环评报告书报送审批前，应采取适当形式，遵循依法、有序、公开、便利的原则，公开征求意见并对真实性和结果负责。</w:t>
            </w:r>
          </w:p>
        </w:tc>
        <w:tc>
          <w:tcPr>
            <w:tcW w:w="3454" w:type="dxa"/>
            <w:vAlign w:val="center"/>
          </w:tcPr>
          <w:p>
            <w:pPr>
              <w:pStyle w:val="40"/>
              <w:jc w:val="both"/>
            </w:pPr>
            <w:r>
              <w:rPr>
                <w:rFonts w:hint="eastAsia"/>
              </w:rPr>
              <w:t>按照</w:t>
            </w:r>
            <w:r>
              <w:t>要求进行了公众参与调查、</w:t>
            </w:r>
            <w:r>
              <w:rPr>
                <w:rFonts w:hint="eastAsia"/>
              </w:rPr>
              <w:t>采用了</w:t>
            </w:r>
            <w:r>
              <w:t>网络公示、报纸公示，现场张贴等方式进行了公示公告，符合要求</w:t>
            </w:r>
            <w:r>
              <w:rPr>
                <w:rFonts w:hint="eastAsia"/>
              </w:rPr>
              <w:t>。</w:t>
            </w:r>
          </w:p>
        </w:tc>
      </w:tr>
    </w:tbl>
    <w:p>
      <w:pPr>
        <w:ind w:firstLine="480"/>
      </w:pPr>
      <w:r>
        <w:rPr>
          <w:rFonts w:hint="eastAsia"/>
        </w:rPr>
        <w:t>因此</w:t>
      </w:r>
      <w:r>
        <w:t>，项目符合《</w:t>
      </w:r>
      <w:r>
        <w:rPr>
          <w:rFonts w:hint="eastAsia"/>
        </w:rPr>
        <w:t>关于</w:t>
      </w:r>
      <w:r>
        <w:t>做好畜禽规模养殖项目环境影响评价管理工作的通知》</w:t>
      </w:r>
      <w:r>
        <w:rPr>
          <w:rFonts w:hint="eastAsia"/>
        </w:rPr>
        <w:t>（环</w:t>
      </w:r>
      <w:r>
        <w:t>办环评</w:t>
      </w:r>
      <w:r>
        <w:rPr>
          <w:rFonts w:hint="eastAsia"/>
        </w:rPr>
        <w:t>[</w:t>
      </w:r>
      <w:r>
        <w:t>2018</w:t>
      </w:r>
      <w:r>
        <w:rPr>
          <w:rFonts w:hint="eastAsia"/>
        </w:rPr>
        <w:t>]</w:t>
      </w:r>
      <w:r>
        <w:t>31</w:t>
      </w:r>
      <w:r>
        <w:rPr>
          <w:rFonts w:hint="eastAsia"/>
        </w:rPr>
        <w:t>号）相关</w:t>
      </w:r>
      <w:r>
        <w:t>要求。</w:t>
      </w:r>
    </w:p>
    <w:p>
      <w:pPr>
        <w:pStyle w:val="4"/>
      </w:pPr>
      <w:r>
        <w:rPr>
          <w:rFonts w:hint="eastAsia"/>
        </w:rPr>
        <w:t>与</w:t>
      </w:r>
      <w:r>
        <w:t>其他管理政策</w:t>
      </w:r>
      <w:r>
        <w:rPr>
          <w:rFonts w:hint="eastAsia"/>
        </w:rPr>
        <w:t>及</w:t>
      </w:r>
      <w:r>
        <w:t>规范符合性分析</w:t>
      </w:r>
    </w:p>
    <w:p>
      <w:pPr>
        <w:ind w:firstLine="480"/>
      </w:pPr>
      <w:r>
        <w:rPr>
          <w:rFonts w:hint="eastAsia"/>
        </w:rPr>
        <w:t>本项目与畜禽养殖业相关管理政策</w:t>
      </w:r>
      <w:r>
        <w:t>及规范</w:t>
      </w:r>
      <w:r>
        <w:rPr>
          <w:rFonts w:hint="eastAsia"/>
        </w:rPr>
        <w:t>要求的相符性分析见表1.2-3。</w:t>
      </w:r>
    </w:p>
    <w:p>
      <w:pPr>
        <w:pStyle w:val="85"/>
      </w:pPr>
      <w:bookmarkStart w:id="9" w:name="_Ref36624930"/>
      <w:r>
        <w:rPr>
          <w:rFonts w:hint="eastAsia"/>
        </w:rPr>
        <w:t>表</w:t>
      </w:r>
      <w:r>
        <w:fldChar w:fldCharType="begin"/>
      </w:r>
      <w:r>
        <w:rPr>
          <w:rFonts w:hint="eastAsia"/>
        </w:rPr>
        <w:instrText xml:space="preserve">STYLEREF 2 \s</w:instrText>
      </w:r>
      <w:r>
        <w:fldChar w:fldCharType="separate"/>
      </w:r>
      <w:r>
        <w:t>1.2</w:t>
      </w:r>
      <w:r>
        <w:fldChar w:fldCharType="end"/>
      </w:r>
      <w:r>
        <w:noBreakHyphen/>
      </w:r>
      <w:r>
        <w:fldChar w:fldCharType="begin"/>
      </w:r>
      <w:r>
        <w:rPr>
          <w:rFonts w:hint="eastAsia"/>
        </w:rPr>
        <w:instrText xml:space="preserve">SEQ 表 \* ARABIC \s 2</w:instrText>
      </w:r>
      <w:r>
        <w:fldChar w:fldCharType="separate"/>
      </w:r>
      <w:r>
        <w:t>3</w:t>
      </w:r>
      <w:r>
        <w:fldChar w:fldCharType="end"/>
      </w:r>
      <w:bookmarkEnd w:id="9"/>
      <w:r>
        <w:t xml:space="preserve"> </w:t>
      </w:r>
      <w:r>
        <w:rPr>
          <w:rFonts w:hint="eastAsia"/>
        </w:rPr>
        <w:t>与</w:t>
      </w:r>
      <w:r>
        <w:t>其他</w:t>
      </w:r>
      <w:r>
        <w:rPr>
          <w:rFonts w:hint="eastAsia"/>
        </w:rPr>
        <w:t>畜禽</w:t>
      </w:r>
      <w:r>
        <w:t>养殖业相关</w:t>
      </w:r>
      <w:r>
        <w:rPr>
          <w:rFonts w:hint="eastAsia"/>
        </w:rPr>
        <w:t>环境管理政策及</w:t>
      </w:r>
      <w:r>
        <w:t>规范的</w:t>
      </w:r>
      <w:r>
        <w:rPr>
          <w:rFonts w:hint="eastAsia"/>
        </w:rPr>
        <w:t>符合性</w:t>
      </w:r>
      <w:r>
        <w:t>分析</w:t>
      </w:r>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00"/>
        <w:gridCol w:w="6580"/>
        <w:gridCol w:w="4393"/>
        <w:gridCol w:w="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52" w:type="dxa"/>
            <w:vAlign w:val="center"/>
          </w:tcPr>
          <w:p>
            <w:pPr>
              <w:pStyle w:val="40"/>
            </w:pPr>
            <w:r>
              <w:rPr>
                <w:rFonts w:hint="eastAsia"/>
              </w:rPr>
              <w:t>序号</w:t>
            </w:r>
          </w:p>
        </w:tc>
        <w:tc>
          <w:tcPr>
            <w:tcW w:w="1500" w:type="dxa"/>
            <w:vAlign w:val="center"/>
          </w:tcPr>
          <w:p>
            <w:pPr>
              <w:pStyle w:val="40"/>
            </w:pPr>
            <w:r>
              <w:rPr>
                <w:rFonts w:hint="eastAsia"/>
              </w:rPr>
              <w:t>相关</w:t>
            </w:r>
            <w:r>
              <w:t>政策及规范</w:t>
            </w:r>
          </w:p>
        </w:tc>
        <w:tc>
          <w:tcPr>
            <w:tcW w:w="6580" w:type="dxa"/>
            <w:vAlign w:val="center"/>
          </w:tcPr>
          <w:p>
            <w:pPr>
              <w:pStyle w:val="40"/>
            </w:pPr>
            <w:r>
              <w:rPr>
                <w:rFonts w:hint="eastAsia"/>
              </w:rPr>
              <w:t>相关规定</w:t>
            </w:r>
          </w:p>
        </w:tc>
        <w:tc>
          <w:tcPr>
            <w:tcW w:w="4393" w:type="dxa"/>
            <w:vAlign w:val="center"/>
          </w:tcPr>
          <w:p>
            <w:pPr>
              <w:pStyle w:val="40"/>
            </w:pPr>
            <w:r>
              <w:rPr>
                <w:rFonts w:hint="eastAsia"/>
              </w:rPr>
              <w:t>本项目</w:t>
            </w:r>
            <w:r>
              <w:t>建设</w:t>
            </w:r>
          </w:p>
        </w:tc>
        <w:tc>
          <w:tcPr>
            <w:tcW w:w="903" w:type="dxa"/>
            <w:vAlign w:val="center"/>
          </w:tcPr>
          <w:p>
            <w:pPr>
              <w:pStyle w:val="4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restart"/>
            <w:vAlign w:val="center"/>
          </w:tcPr>
          <w:p>
            <w:pPr>
              <w:pStyle w:val="40"/>
              <w:numPr>
                <w:ilvl w:val="0"/>
                <w:numId w:val="2"/>
              </w:numPr>
            </w:pPr>
          </w:p>
        </w:tc>
        <w:tc>
          <w:tcPr>
            <w:tcW w:w="1500" w:type="dxa"/>
            <w:vMerge w:val="restart"/>
            <w:vAlign w:val="center"/>
          </w:tcPr>
          <w:p>
            <w:pPr>
              <w:pStyle w:val="40"/>
              <w:jc w:val="both"/>
            </w:pPr>
            <w:r>
              <w:rPr>
                <w:rFonts w:hint="eastAsia"/>
              </w:rPr>
              <w:t>《畜禽规模养殖污染防治条例》</w:t>
            </w:r>
            <w:r>
              <w:rPr>
                <w:rFonts w:hint="eastAsia"/>
                <w:bCs/>
              </w:rPr>
              <w:t>（国务院第</w:t>
            </w:r>
            <w:r>
              <w:rPr>
                <w:bCs/>
              </w:rPr>
              <w:t>643</w:t>
            </w:r>
            <w:r>
              <w:rPr>
                <w:rFonts w:hint="eastAsia"/>
                <w:bCs/>
              </w:rPr>
              <w:t>号）</w:t>
            </w:r>
          </w:p>
        </w:tc>
        <w:tc>
          <w:tcPr>
            <w:tcW w:w="6580" w:type="dxa"/>
            <w:vAlign w:val="center"/>
          </w:tcPr>
          <w:p>
            <w:pPr>
              <w:pStyle w:val="40"/>
              <w:jc w:val="both"/>
            </w:pPr>
            <w:r>
              <w:rPr>
                <w:rFonts w:hint="eastAsia"/>
              </w:rPr>
              <w:t>第十一条禁止在下列区域内建设畜禽养殖场、养殖小区：（一）饮用水水源保护区，风景名胜区；（二）自然保护区的核心区和缓冲区；（三）城镇居民区、文化教育科学研究区等人口集中区域；（四）法律、法规规定的其他禁止养殖区域。</w:t>
            </w:r>
          </w:p>
        </w:tc>
        <w:tc>
          <w:tcPr>
            <w:tcW w:w="4393" w:type="dxa"/>
            <w:vAlign w:val="center"/>
          </w:tcPr>
          <w:p>
            <w:pPr>
              <w:pStyle w:val="40"/>
              <w:jc w:val="both"/>
            </w:pPr>
            <w:r>
              <w:rPr>
                <w:rFonts w:hint="eastAsia"/>
              </w:rPr>
              <w:t>本项目</w:t>
            </w:r>
            <w:r>
              <w:t>占地类型为</w:t>
            </w:r>
            <w:r>
              <w:rPr>
                <w:rFonts w:hint="eastAsia"/>
              </w:rPr>
              <w:t>设施</w:t>
            </w:r>
            <w:r>
              <w:t>农用地，</w:t>
            </w:r>
            <w:r>
              <w:rPr>
                <w:rFonts w:hint="eastAsia"/>
              </w:rPr>
              <w:t>不涉及基本农田、饮用水源保护区、风景名胜区、自然保护区等敏感区。距厂界最近的居民区为550</w:t>
            </w:r>
            <w:r>
              <w:t>m</w:t>
            </w:r>
            <w:r>
              <w:rPr>
                <w:rFonts w:hint="eastAsia"/>
              </w:rPr>
              <w:t>处的潘家坡，不属于城镇居民区、文化教育科学研究区等人口集中区域。</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left"/>
            </w:pPr>
            <w:r>
              <w:rPr>
                <w:rFonts w:hint="eastAsia"/>
              </w:rPr>
              <w:t>第十三条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tc>
        <w:tc>
          <w:tcPr>
            <w:tcW w:w="4393" w:type="dxa"/>
            <w:vMerge w:val="restart"/>
            <w:vAlign w:val="center"/>
          </w:tcPr>
          <w:p>
            <w:pPr>
              <w:pStyle w:val="40"/>
              <w:jc w:val="both"/>
            </w:pPr>
            <w:r>
              <w:rPr>
                <w:rFonts w:hint="eastAsia"/>
              </w:rPr>
              <w:t>项目场区雨污分流，雨水经管道系统收集后排放厂区内绿化林带；项目养殖场废水包括生活污水、猪舍清洗废水、猪尿等养殖废水。生活污水经化粪池处理后排入污水处理系统同养殖废水经“集</w:t>
            </w:r>
            <w:r>
              <w:t>粪池</w:t>
            </w:r>
            <w:r>
              <w:rPr>
                <w:rFonts w:hint="eastAsia"/>
              </w:rPr>
              <w:t>+固液</w:t>
            </w:r>
            <w:r>
              <w:t>分离</w:t>
            </w:r>
            <w:r>
              <w:rPr>
                <w:rFonts w:hint="eastAsia"/>
              </w:rPr>
              <w:t>+厌氧</w:t>
            </w:r>
            <w:r>
              <w:t>发酵池处理</w:t>
            </w:r>
            <w:r>
              <w:rPr>
                <w:rFonts w:hint="eastAsia"/>
              </w:rPr>
              <w:t>”处理后回用于魔芋、林果等种植农田施肥，猪粪外售用于制作有机肥；本项目病死猪经安全填埋井</w:t>
            </w:r>
            <w:r>
              <w:t>处置</w:t>
            </w:r>
            <w:r>
              <w:rPr>
                <w:rFonts w:hint="eastAsia"/>
              </w:rPr>
              <w:t>，符合相关要求。</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rPr>
                <w:rFonts w:hint="eastAsia"/>
              </w:rPr>
              <w:t>第十五条国家鼓励和支持采取粪肥还田、制取沼气、制造有机肥等方法，对畜禽养殖废弃物进行综合利用。</w:t>
            </w:r>
          </w:p>
        </w:tc>
        <w:tc>
          <w:tcPr>
            <w:tcW w:w="4393" w:type="dxa"/>
            <w:vMerge w:val="continue"/>
            <w:vAlign w:val="center"/>
          </w:tcPr>
          <w:p>
            <w:pPr>
              <w:pStyle w:val="40"/>
            </w:pP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rPr>
                <w:rFonts w:hint="eastAsia"/>
              </w:rPr>
              <w:t>第十六条国家鼓励和支持采取种植和养殖相结合的方式消纳利用畜禽养殖废弃物，促进畜禽粪便、污水等废弃物就地就近利用</w:t>
            </w:r>
          </w:p>
        </w:tc>
        <w:tc>
          <w:tcPr>
            <w:tcW w:w="4393" w:type="dxa"/>
            <w:vMerge w:val="continue"/>
            <w:vAlign w:val="center"/>
          </w:tcPr>
          <w:p>
            <w:pPr>
              <w:pStyle w:val="40"/>
            </w:pP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rPr>
                <w:rFonts w:hint="eastAsia"/>
              </w:rPr>
              <w:t>第十九条从事畜禽养殖活动和畜禽养殖废弃物处理活动，应当及时对畜禽粪便、畜禽尸体、污水进行收集、贮存、清运，防止恶臭和畜禽养殖废弃物渗出、泄漏。</w:t>
            </w:r>
          </w:p>
        </w:tc>
        <w:tc>
          <w:tcPr>
            <w:tcW w:w="4393" w:type="dxa"/>
            <w:vAlign w:val="center"/>
          </w:tcPr>
          <w:p>
            <w:pPr>
              <w:pStyle w:val="40"/>
              <w:jc w:val="both"/>
              <w:rPr>
                <w:highlight w:val="yellow"/>
              </w:rPr>
            </w:pPr>
            <w:r>
              <w:rPr>
                <w:rFonts w:hint="eastAsia"/>
              </w:rPr>
              <w:t>采用干清粪工艺，排粪渠内粪尿由于重力作用纵向流入集粪池，再经固液分离后液体进入污水处理系统，固体猪粪外售</w:t>
            </w:r>
            <w:r>
              <w:t>有机肥厂作为原料</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rPr>
                <w:rFonts w:hint="eastAsia"/>
              </w:rPr>
              <w:t>第二十一条染疫畜禽以及染疫畜禽排泄物、染疫畜禽产品、病死或者死因不明的畜禽尸体等病害畜禽养殖废弃物，应当按照有关法律、法规和国务院农牧主管部门的规定，进行深埋、化制、焚烧等无害化处理，不得随意处置。</w:t>
            </w:r>
          </w:p>
        </w:tc>
        <w:tc>
          <w:tcPr>
            <w:tcW w:w="4393" w:type="dxa"/>
            <w:vAlign w:val="center"/>
          </w:tcPr>
          <w:p>
            <w:pPr>
              <w:pStyle w:val="40"/>
              <w:jc w:val="both"/>
            </w:pPr>
            <w:r>
              <w:rPr>
                <w:rFonts w:hint="eastAsia"/>
              </w:rPr>
              <w:t>项目</w:t>
            </w:r>
            <w:r>
              <w:t>病死猪经安全填埋井处理</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restart"/>
            <w:vAlign w:val="center"/>
          </w:tcPr>
          <w:p>
            <w:pPr>
              <w:pStyle w:val="40"/>
              <w:numPr>
                <w:ilvl w:val="0"/>
                <w:numId w:val="2"/>
              </w:numPr>
            </w:pPr>
          </w:p>
        </w:tc>
        <w:tc>
          <w:tcPr>
            <w:tcW w:w="1500" w:type="dxa"/>
            <w:vMerge w:val="restart"/>
            <w:vAlign w:val="center"/>
          </w:tcPr>
          <w:p>
            <w:pPr>
              <w:pStyle w:val="40"/>
              <w:jc w:val="both"/>
            </w:pPr>
            <w:r>
              <w:rPr>
                <w:rFonts w:hint="eastAsia"/>
              </w:rPr>
              <w:t>《畜禽养殖业污染防治技术规范》（HJ/T81-2001）</w:t>
            </w:r>
          </w:p>
        </w:tc>
        <w:tc>
          <w:tcPr>
            <w:tcW w:w="6580" w:type="dxa"/>
            <w:vAlign w:val="center"/>
          </w:tcPr>
          <w:p>
            <w:pPr>
              <w:pStyle w:val="40"/>
            </w:pPr>
            <w:r>
              <w:rPr>
                <w:rFonts w:hint="eastAsia"/>
              </w:rPr>
              <w:t>4.2 养殖场的排水系统应实行雨水和污水收集输送系统分离，在场区内外设置污水收集输送系统，不得采取明沟布设。</w:t>
            </w:r>
          </w:p>
        </w:tc>
        <w:tc>
          <w:tcPr>
            <w:tcW w:w="4393" w:type="dxa"/>
            <w:vAlign w:val="center"/>
          </w:tcPr>
          <w:p>
            <w:pPr>
              <w:pStyle w:val="40"/>
              <w:jc w:val="both"/>
            </w:pPr>
            <w:r>
              <w:rPr>
                <w:rFonts w:hint="eastAsia"/>
              </w:rPr>
              <w:t>本项目废水收集系统未采取明沟布设，排水系统实行雨污分流。雨水经管道系统收集后排放厂区外绿化林带；项目养殖场废水包括生活污水、猪舍清洗废水等，经污水处理系统处理后回用于魔芋、林果等种植农田施肥，不外排。</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rPr>
                <w:rFonts w:hint="eastAsia"/>
              </w:rPr>
              <w:t>4.3 新建、改建、扩建的畜禽养殖场应采取干清粪工艺，采取有效措施将粪及时、单独清出，不可与尿、污水混合排出，并将产生的粪渣及时运至贮存或处理场所，实现日产日清。采用水冲粪、水泡粪等工艺的养殖场要逐步改为干清粪工艺。</w:t>
            </w:r>
          </w:p>
        </w:tc>
        <w:tc>
          <w:tcPr>
            <w:tcW w:w="4393" w:type="dxa"/>
            <w:vAlign w:val="center"/>
          </w:tcPr>
          <w:p>
            <w:pPr>
              <w:pStyle w:val="40"/>
              <w:jc w:val="both"/>
            </w:pPr>
            <w:r>
              <w:rPr>
                <w:rFonts w:hint="eastAsia"/>
              </w:rPr>
              <w:t>采用干清粪工艺，排粪渠内粪尿由于重力作用纵向流入中转池，经泵提升至集污池，再经固液分离后液体进入污水处理系统，固体猪粪外售有机肥加工厂作为</w:t>
            </w:r>
            <w:r>
              <w:t>原料</w:t>
            </w:r>
            <w:r>
              <w:rPr>
                <w:rFonts w:hint="eastAsia"/>
              </w:rP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restart"/>
            <w:vAlign w:val="center"/>
          </w:tcPr>
          <w:p>
            <w:pPr>
              <w:pStyle w:val="40"/>
              <w:rPr>
                <w:highlight w:val="yellow"/>
              </w:rPr>
            </w:pPr>
            <w:r>
              <w:rPr>
                <w:rFonts w:hint="eastAsia"/>
              </w:rPr>
              <w:t>《畜禽养殖业污染防治技术规范》（HJ/T81-2001）</w:t>
            </w:r>
          </w:p>
        </w:tc>
        <w:tc>
          <w:tcPr>
            <w:tcW w:w="6580" w:type="dxa"/>
            <w:vAlign w:val="center"/>
          </w:tcPr>
          <w:p>
            <w:pPr>
              <w:pStyle w:val="40"/>
              <w:jc w:val="both"/>
              <w:rPr>
                <w:highlight w:val="yellow"/>
              </w:rPr>
            </w:pPr>
            <w:r>
              <w:rPr>
                <w:rFonts w:hint="eastAsia"/>
              </w:rPr>
              <w:t>5 畜禽养殖场产生的畜禽粪便应设置专门的贮存设施，其恶臭及污染物排放应符合《畜禽养殖业污染排放标准》。贮存设施的位置必须远离各类功能地表水体（距离不得小于400m），并应设在养殖场生产及生活管理区的常年主导风向的下风向或侧风向处。贮存设施应采取有效的防渗处理工艺，防止畜禽粪便污染地下水。对于种养结合的养殖场，畜禽粪便贮存设施的总容积不得低于当地农林作物生产用肥的最大间隔时间内本养殖场所产生粪便的总量。贮存设施应采取设置顶盖等防止降雨进入的措施。</w:t>
            </w:r>
          </w:p>
        </w:tc>
        <w:tc>
          <w:tcPr>
            <w:tcW w:w="4393" w:type="dxa"/>
            <w:vAlign w:val="center"/>
          </w:tcPr>
          <w:p>
            <w:pPr>
              <w:pStyle w:val="40"/>
            </w:pPr>
            <w:r>
              <w:rPr>
                <w:rFonts w:hint="eastAsia"/>
              </w:rPr>
              <w:t>项目</w:t>
            </w:r>
            <w:r>
              <w:t>猪粪干湿分离后</w:t>
            </w:r>
            <w:r>
              <w:rPr>
                <w:rFonts w:hint="eastAsia"/>
              </w:rPr>
              <w:t>，</w:t>
            </w:r>
            <w:r>
              <w:t>在堆粪棚暂存，定期清运</w:t>
            </w:r>
            <w:r>
              <w:rPr>
                <w:rFonts w:hint="eastAsia"/>
              </w:rPr>
              <w:t>，收集后外售</w:t>
            </w:r>
            <w:r>
              <w:t>用于有机肥生产</w:t>
            </w:r>
            <w:r>
              <w:rPr>
                <w:rFonts w:hint="eastAsia"/>
              </w:rPr>
              <w:t>，</w:t>
            </w:r>
            <w:r>
              <w:t>粪污</w:t>
            </w:r>
            <w:r>
              <w:rPr>
                <w:rFonts w:hint="eastAsia"/>
              </w:rPr>
              <w:t>经</w:t>
            </w:r>
            <w:r>
              <w:t>处理后在沼液暂存池暂存，</w:t>
            </w:r>
            <w:r>
              <w:rPr>
                <w:rFonts w:hint="eastAsia"/>
              </w:rPr>
              <w:t>暂存池</w:t>
            </w:r>
            <w:r>
              <w:t>满足</w:t>
            </w:r>
            <w:r>
              <w:rPr>
                <w:rFonts w:hint="eastAsia"/>
              </w:rPr>
              <w:t>最大</w:t>
            </w:r>
            <w:r>
              <w:t>间隔时间</w:t>
            </w:r>
            <w:r>
              <w:rPr>
                <w:rFonts w:hint="eastAsia"/>
              </w:rPr>
              <w:t>2个</w:t>
            </w:r>
            <w:r>
              <w:t>月</w:t>
            </w:r>
            <w:r>
              <w:rPr>
                <w:rFonts w:hint="eastAsia"/>
              </w:rPr>
              <w:t>的</w:t>
            </w:r>
            <w:r>
              <w:t>存储</w:t>
            </w:r>
            <w:r>
              <w:rPr>
                <w:rFonts w:hint="eastAsia"/>
              </w:rPr>
              <w:t>要求</w:t>
            </w:r>
          </w:p>
        </w:tc>
        <w:tc>
          <w:tcPr>
            <w:tcW w:w="903" w:type="dxa"/>
            <w:vAlign w:val="center"/>
          </w:tcPr>
          <w:p>
            <w:pPr>
              <w:pStyle w:val="40"/>
              <w:rPr>
                <w:highlight w:val="yellow"/>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left"/>
            </w:pPr>
            <w:r>
              <w:rPr>
                <w:rFonts w:hint="eastAsia"/>
              </w:rPr>
              <w:t>6.1 养殖过程产生的污水应坚持种养结合的原则，经无害化处理后充分还田，实现污水资源化利用。</w:t>
            </w:r>
          </w:p>
        </w:tc>
        <w:tc>
          <w:tcPr>
            <w:tcW w:w="4393" w:type="dxa"/>
            <w:vAlign w:val="center"/>
          </w:tcPr>
          <w:p>
            <w:pPr>
              <w:pStyle w:val="40"/>
              <w:jc w:val="both"/>
              <w:rPr>
                <w:highlight w:val="yellow"/>
              </w:rPr>
            </w:pPr>
            <w:r>
              <w:rPr>
                <w:rFonts w:hint="eastAsia"/>
              </w:rPr>
              <w:t>项目养殖场污水主要为生活污水、猪舍冲洗废水，经“集粪</w:t>
            </w:r>
            <w:r>
              <w:t>池</w:t>
            </w:r>
            <w:r>
              <w:rPr>
                <w:rFonts w:hint="eastAsia"/>
              </w:rPr>
              <w:t>+固液</w:t>
            </w:r>
            <w:r>
              <w:t>分离</w:t>
            </w:r>
            <w:r>
              <w:rPr>
                <w:rFonts w:hint="eastAsia"/>
              </w:rPr>
              <w:t>+厌氧发酵池”处理后回用于魔芋、林果等农田施肥。</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t xml:space="preserve">9.1 </w:t>
            </w:r>
            <w:r>
              <w:rPr>
                <w:rFonts w:hint="eastAsia"/>
              </w:rPr>
              <w:t>病死畜禽尸体及时处理，严禁随意丢弃，严禁出售或作为饲料使用。</w:t>
            </w:r>
          </w:p>
        </w:tc>
        <w:tc>
          <w:tcPr>
            <w:tcW w:w="4393" w:type="dxa"/>
            <w:vAlign w:val="center"/>
          </w:tcPr>
          <w:p>
            <w:pPr>
              <w:pStyle w:val="40"/>
              <w:jc w:val="both"/>
              <w:rPr>
                <w:highlight w:val="yellow"/>
              </w:rPr>
            </w:pPr>
            <w:r>
              <w:rPr>
                <w:rFonts w:hint="eastAsia"/>
              </w:rPr>
              <w:t>项目</w:t>
            </w:r>
            <w:r>
              <w:t>病死猪经安全填埋井</w:t>
            </w:r>
            <w:r>
              <w:rPr>
                <w:rFonts w:hint="eastAsia"/>
              </w:rPr>
              <w:t>填埋</w:t>
            </w:r>
            <w:r>
              <w:t>处置</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center"/>
          </w:tcPr>
          <w:p>
            <w:pPr>
              <w:pStyle w:val="40"/>
              <w:numPr>
                <w:ilvl w:val="0"/>
                <w:numId w:val="2"/>
              </w:numPr>
            </w:pPr>
          </w:p>
        </w:tc>
        <w:tc>
          <w:tcPr>
            <w:tcW w:w="1500" w:type="dxa"/>
            <w:vAlign w:val="center"/>
          </w:tcPr>
          <w:p>
            <w:pPr>
              <w:pStyle w:val="40"/>
              <w:jc w:val="both"/>
            </w:pPr>
            <w:r>
              <w:rPr>
                <w:rFonts w:hint="eastAsia"/>
              </w:rPr>
              <w:t>《畜禽养殖场（户）粪污处理设施建设技术指南》（农</w:t>
            </w:r>
            <w:r>
              <w:t>办牧</w:t>
            </w:r>
            <w:r>
              <w:rPr>
                <w:rFonts w:hint="eastAsia"/>
              </w:rPr>
              <w:t>[</w:t>
            </w:r>
            <w:r>
              <w:t>2022</w:t>
            </w:r>
            <w:r>
              <w:rPr>
                <w:rFonts w:hint="eastAsia"/>
              </w:rPr>
              <w:t>]</w:t>
            </w:r>
            <w:r>
              <w:t>19</w:t>
            </w:r>
            <w:r>
              <w:rPr>
                <w:rFonts w:hint="eastAsia"/>
              </w:rPr>
              <w:t>号）（2022年</w:t>
            </w:r>
            <w:r>
              <w:t>8</w:t>
            </w:r>
            <w:r>
              <w:rPr>
                <w:rFonts w:hint="eastAsia"/>
              </w:rPr>
              <w:t>月</w:t>
            </w:r>
            <w:r>
              <w:t>12</w:t>
            </w:r>
            <w:r>
              <w:rPr>
                <w:rFonts w:hint="eastAsia"/>
              </w:rPr>
              <w:t>日）</w:t>
            </w:r>
          </w:p>
        </w:tc>
        <w:tc>
          <w:tcPr>
            <w:tcW w:w="6580" w:type="dxa"/>
            <w:vAlign w:val="center"/>
          </w:tcPr>
          <w:p>
            <w:pPr>
              <w:pStyle w:val="40"/>
              <w:jc w:val="both"/>
            </w:pPr>
            <w:r>
              <w:rPr>
                <w:rFonts w:hint="eastAsia"/>
              </w:rPr>
              <w:t>畜禽养殖场（户）宜采用干清粪、水泡粪、地面垫料、床（网）下垫料等清粪工艺，逐步淘汰水冲粪工艺，合理控制清粪环节用水量。</w:t>
            </w:r>
          </w:p>
          <w:p>
            <w:pPr>
              <w:pStyle w:val="89"/>
              <w:jc w:val="left"/>
            </w:pPr>
            <w:r>
              <w:rPr>
                <w:rFonts w:hint="eastAsia"/>
              </w:rPr>
              <w:t>畜禽养殖场（户）通过密闭贮存设施处理液体粪污的，应采用加盖、覆膜等方式，减少恶臭气体排放和雨水进入，同时配套必要的输送、搅拌、气体收集处理或燃烧火炬等设施设备。</w:t>
            </w:r>
          </w:p>
          <w:p>
            <w:pPr>
              <w:pStyle w:val="89"/>
              <w:jc w:val="left"/>
            </w:pPr>
            <w:r>
              <w:rPr>
                <w:rFonts w:hint="eastAsia"/>
              </w:rPr>
              <w:t>畜禽养殖场（户）应建设雨污分流设施，液体粪污应采用暗沟或管道输送，采取密闭措施，做好安全防护，输送管路要合理设置检查口，检查口应加盖且一般高于地面5厘米以上，防止雨水倒灌。</w:t>
            </w:r>
          </w:p>
        </w:tc>
        <w:tc>
          <w:tcPr>
            <w:tcW w:w="4393" w:type="dxa"/>
            <w:vAlign w:val="center"/>
          </w:tcPr>
          <w:p>
            <w:pPr>
              <w:pStyle w:val="40"/>
              <w:jc w:val="both"/>
            </w:pPr>
            <w:r>
              <w:rPr>
                <w:rFonts w:hint="eastAsia"/>
              </w:rPr>
              <w:t>项目</w:t>
            </w:r>
            <w:r>
              <w:t>采用干清粪工艺，</w:t>
            </w:r>
            <w:r>
              <w:rPr>
                <w:rFonts w:hint="eastAsia"/>
              </w:rPr>
              <w:t>采用</w:t>
            </w:r>
            <w:r>
              <w:t>厌氧发酵密闭贮存设施处理</w:t>
            </w:r>
            <w:r>
              <w:rPr>
                <w:rFonts w:hint="eastAsia"/>
              </w:rPr>
              <w:t>液体</w:t>
            </w:r>
            <w:r>
              <w:t>粪污，发酵池加盖密闭，同时沼气经</w:t>
            </w:r>
            <w:r>
              <w:rPr>
                <w:rFonts w:hint="eastAsia"/>
              </w:rPr>
              <w:t>除水</w:t>
            </w:r>
            <w:r>
              <w:t>脱硫净化处理后</w:t>
            </w:r>
            <w:r>
              <w:rPr>
                <w:rFonts w:hint="eastAsia"/>
              </w:rPr>
              <w:t>通过</w:t>
            </w:r>
            <w:r>
              <w:t>火炬燃烧设施排放。</w:t>
            </w:r>
          </w:p>
          <w:p>
            <w:pPr>
              <w:pStyle w:val="89"/>
              <w:jc w:val="left"/>
            </w:pPr>
            <w:r>
              <w:rPr>
                <w:rFonts w:hint="eastAsia"/>
              </w:rPr>
              <w:t>养殖场</w:t>
            </w:r>
            <w:r>
              <w:t>采用雨污分流设施，处理后的液体粪污采用管道输送至种植区</w:t>
            </w:r>
            <w:r>
              <w:rPr>
                <w:rFonts w:hint="eastAsia"/>
              </w:rP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center"/>
          </w:tcPr>
          <w:p>
            <w:pPr>
              <w:pStyle w:val="40"/>
              <w:numPr>
                <w:ilvl w:val="0"/>
                <w:numId w:val="2"/>
              </w:numPr>
            </w:pPr>
          </w:p>
        </w:tc>
        <w:tc>
          <w:tcPr>
            <w:tcW w:w="1500" w:type="dxa"/>
            <w:vAlign w:val="center"/>
          </w:tcPr>
          <w:p>
            <w:pPr>
              <w:pStyle w:val="40"/>
              <w:jc w:val="both"/>
            </w:pPr>
            <w:r>
              <w:rPr>
                <w:rFonts w:hint="eastAsia"/>
              </w:rPr>
              <w:t>《畜禽养殖业污染治理工程技术规范》（HJ 497－2009）</w:t>
            </w:r>
          </w:p>
        </w:tc>
        <w:tc>
          <w:tcPr>
            <w:tcW w:w="6580" w:type="dxa"/>
            <w:vAlign w:val="center"/>
          </w:tcPr>
          <w:p>
            <w:pPr>
              <w:pStyle w:val="40"/>
            </w:pPr>
            <w:r>
              <w:rPr>
                <w:rFonts w:hint="eastAsia"/>
              </w:rPr>
              <w:t>恶臭控制养殖场区应通过控制饲养密度、加强舍内通风、采用节水型饮水器、及时清粪、绿化等措施抑制或减少臭气的产生。畜禽养殖场恶臭污染物的排放浓度应符合</w:t>
            </w:r>
            <w:r>
              <w:t xml:space="preserve">GB18596-2001 </w:t>
            </w:r>
            <w:r>
              <w:rPr>
                <w:rFonts w:hint="eastAsia"/>
              </w:rPr>
              <w:t>的规定。</w:t>
            </w:r>
          </w:p>
        </w:tc>
        <w:tc>
          <w:tcPr>
            <w:tcW w:w="4393" w:type="dxa"/>
            <w:vAlign w:val="center"/>
          </w:tcPr>
          <w:p>
            <w:pPr>
              <w:pStyle w:val="40"/>
              <w:jc w:val="both"/>
              <w:rPr>
                <w:highlight w:val="yellow"/>
              </w:rPr>
            </w:pPr>
            <w:r>
              <w:rPr>
                <w:rFonts w:hint="eastAsia"/>
              </w:rPr>
              <w:t>本项目采用干清粪工艺，在饲料中加入微生物制剂，提高饲料利用率，加强猪舍通风换气，加强绿化，设卫生防护距离。</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center"/>
          </w:tcPr>
          <w:p>
            <w:pPr>
              <w:pStyle w:val="40"/>
              <w:numPr>
                <w:ilvl w:val="0"/>
                <w:numId w:val="2"/>
              </w:numPr>
            </w:pPr>
          </w:p>
        </w:tc>
        <w:tc>
          <w:tcPr>
            <w:tcW w:w="1500" w:type="dxa"/>
            <w:vAlign w:val="center"/>
          </w:tcPr>
          <w:p>
            <w:pPr>
              <w:pStyle w:val="40"/>
              <w:jc w:val="both"/>
            </w:pPr>
            <w:r>
              <w:rPr>
                <w:rFonts w:hint="eastAsia"/>
              </w:rPr>
              <w:t>《畜禽粪污资源化利用行动方案（2017-2020 年）》</w:t>
            </w:r>
          </w:p>
        </w:tc>
        <w:tc>
          <w:tcPr>
            <w:tcW w:w="6580" w:type="dxa"/>
            <w:vAlign w:val="center"/>
          </w:tcPr>
          <w:p>
            <w:pPr>
              <w:pStyle w:val="40"/>
              <w:jc w:val="both"/>
            </w:pPr>
            <w:r>
              <w:rPr>
                <w:rFonts w:hint="eastAsia"/>
              </w:rPr>
              <w:t>（四）促进畜禽粪污资源化利用。开展畜牧业绿色发展示范县创建活动，以畜禽养殖废弃物减量化产生、无害化处理、资源化利用为重点，“十三五”期间创建200 个示范县，整县推进畜禽养殖废弃物综合利用。鼓励引导规模养殖场建设必要的粪污处理利用配套设施，对现有基础设施和装备进行改造升级。鼓励养殖密集区建设集中处理中心，开展专业化集中处理。印发畜禽粪污资源化利用技术指导意见和典型技术模式，集成推广清洁养殖工艺和粪污资源化利用模式，指导规模养殖场选择科学合理的粪污处理方式。</w:t>
            </w:r>
          </w:p>
        </w:tc>
        <w:tc>
          <w:tcPr>
            <w:tcW w:w="4393" w:type="dxa"/>
            <w:vAlign w:val="center"/>
          </w:tcPr>
          <w:p>
            <w:pPr>
              <w:pStyle w:val="40"/>
              <w:jc w:val="both"/>
            </w:pPr>
            <w:r>
              <w:rPr>
                <w:rFonts w:hint="eastAsia"/>
              </w:rPr>
              <w:t>项目猪粪干</w:t>
            </w:r>
            <w:r>
              <w:t>清粪工艺，猪粪外售用于生产有机肥，液体部分经</w:t>
            </w:r>
            <w:r>
              <w:rPr>
                <w:rFonts w:hint="eastAsia"/>
              </w:rPr>
              <w:t>集</w:t>
            </w:r>
            <w:r>
              <w:t>粪池</w:t>
            </w:r>
            <w:r>
              <w:rPr>
                <w:rFonts w:hint="eastAsia"/>
              </w:rPr>
              <w:t>+固液</w:t>
            </w:r>
            <w:r>
              <w:t>分离</w:t>
            </w:r>
            <w:r>
              <w:rPr>
                <w:rFonts w:hint="eastAsia"/>
              </w:rPr>
              <w:t>+</w:t>
            </w:r>
            <w:r>
              <w:t>厌氧发酵池处理后的畜禽粪肥作为魔芋、林果种植的肥料还田。</w:t>
            </w:r>
          </w:p>
          <w:p>
            <w:pPr>
              <w:pStyle w:val="40"/>
              <w:jc w:val="both"/>
              <w:rPr>
                <w:highlight w:val="yellow"/>
              </w:rPr>
            </w:pP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restart"/>
            <w:vAlign w:val="center"/>
          </w:tcPr>
          <w:p>
            <w:pPr>
              <w:pStyle w:val="40"/>
              <w:numPr>
                <w:ilvl w:val="0"/>
                <w:numId w:val="2"/>
              </w:numPr>
            </w:pPr>
          </w:p>
        </w:tc>
        <w:tc>
          <w:tcPr>
            <w:tcW w:w="1500" w:type="dxa"/>
            <w:vMerge w:val="restart"/>
            <w:vAlign w:val="center"/>
          </w:tcPr>
          <w:p>
            <w:pPr>
              <w:pStyle w:val="40"/>
              <w:jc w:val="both"/>
            </w:pPr>
            <w:r>
              <w:rPr>
                <w:rFonts w:hint="eastAsia"/>
              </w:rPr>
              <w:t>《畜禽粪便无害化处理技术规范》（GB/T36195-2018）</w:t>
            </w:r>
          </w:p>
        </w:tc>
        <w:tc>
          <w:tcPr>
            <w:tcW w:w="6580" w:type="dxa"/>
            <w:vAlign w:val="center"/>
          </w:tcPr>
          <w:p>
            <w:pPr>
              <w:pStyle w:val="40"/>
              <w:jc w:val="both"/>
            </w:pPr>
            <w:r>
              <w:rPr>
                <w:rFonts w:hint="eastAsia"/>
              </w:rPr>
              <w:t>4 新建、扩建和改建畜禽养殖场和养殖小区应设置粪污处理区，建设畜禽粪便处理设施；没有粪污处理设施的应补建。畜禽粪便处理应坚持减量化、资源化和无害化的原则。畜禽粪便处理过程应满足安全和卫生要求，避免二次污染发生。</w:t>
            </w:r>
          </w:p>
        </w:tc>
        <w:tc>
          <w:tcPr>
            <w:tcW w:w="4393" w:type="dxa"/>
            <w:vAlign w:val="center"/>
          </w:tcPr>
          <w:p>
            <w:pPr>
              <w:pStyle w:val="40"/>
              <w:jc w:val="both"/>
            </w:pPr>
            <w:r>
              <w:rPr>
                <w:rFonts w:hint="eastAsia"/>
              </w:rPr>
              <w:t>项目采用干清粪工艺</w:t>
            </w:r>
            <w:r>
              <w:t>，</w:t>
            </w:r>
            <w:r>
              <w:rPr>
                <w:rFonts w:hint="eastAsia"/>
              </w:rPr>
              <w:t>猪粪外售用于生产有机肥，液体</w:t>
            </w:r>
            <w:r>
              <w:t>部分</w:t>
            </w:r>
            <w:r>
              <w:rPr>
                <w:rFonts w:hint="eastAsia"/>
              </w:rPr>
              <w:t>经</w:t>
            </w:r>
            <w:r>
              <w:t>厌氧</w:t>
            </w:r>
            <w:r>
              <w:rPr>
                <w:rFonts w:hint="eastAsia"/>
              </w:rPr>
              <w:t>发酵池</w:t>
            </w:r>
            <w:r>
              <w:t>处理后的畜禽粪肥</w:t>
            </w:r>
            <w:r>
              <w:rPr>
                <w:rFonts w:hint="eastAsia"/>
              </w:rPr>
              <w:t>作为魔芋、林果</w:t>
            </w:r>
            <w:r>
              <w:t>种植</w:t>
            </w:r>
            <w:r>
              <w:rPr>
                <w:rFonts w:hint="eastAsia"/>
              </w:rPr>
              <w:t>的肥料还田。</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t xml:space="preserve">5.1 </w:t>
            </w:r>
            <w:r>
              <w:rPr>
                <w:rFonts w:hint="eastAsia"/>
              </w:rPr>
              <w:t>不应在下列区域内建设畜禽粪便处理场：</w:t>
            </w:r>
            <w:r>
              <w:t>a)</w:t>
            </w:r>
            <w:r>
              <w:rPr>
                <w:rFonts w:hint="eastAsia"/>
              </w:rPr>
              <w:t>生活饮用水水源保护区、风景名胜区、自然保护区的核心区及缓冲区；</w:t>
            </w:r>
            <w:r>
              <w:t>b)</w:t>
            </w:r>
            <w:r>
              <w:rPr>
                <w:rFonts w:hint="eastAsia"/>
              </w:rPr>
              <w:t>城市和城镇居民区，包括文教科研、医疗、商业和工业等人口集中地区；</w:t>
            </w:r>
            <w:r>
              <w:t>c)</w:t>
            </w:r>
            <w:r>
              <w:rPr>
                <w:rFonts w:hint="eastAsia"/>
              </w:rPr>
              <w:t>县级及县级以上人民政府依法划定的禁养区域；</w:t>
            </w:r>
            <w:r>
              <w:t>d)</w:t>
            </w:r>
            <w:r>
              <w:rPr>
                <w:rFonts w:hint="eastAsia"/>
              </w:rPr>
              <w:t>国家或地方法律法规规定需特殊保护的其他区域。</w:t>
            </w:r>
          </w:p>
          <w:p>
            <w:pPr>
              <w:pStyle w:val="40"/>
              <w:jc w:val="left"/>
            </w:pPr>
            <w:r>
              <w:t xml:space="preserve">5.2 </w:t>
            </w:r>
            <w:r>
              <w:rPr>
                <w:rFonts w:hint="eastAsia"/>
              </w:rPr>
              <w:t>在禁建区域附近建设畜禽粪便处理场，应设在</w:t>
            </w:r>
            <w:r>
              <w:t xml:space="preserve">5.1 </w:t>
            </w:r>
            <w:r>
              <w:rPr>
                <w:rFonts w:hint="eastAsia"/>
              </w:rPr>
              <w:t>规定的禁建区域常年主导风向的下风向或侧下风向处，场界与禁建区域边界的最小距离不应小于</w:t>
            </w:r>
            <w:r>
              <w:t>3km</w:t>
            </w:r>
            <w:r>
              <w:rPr>
                <w:rFonts w:hint="eastAsia"/>
              </w:rPr>
              <w:t>。</w:t>
            </w:r>
          </w:p>
          <w:p>
            <w:pPr>
              <w:pStyle w:val="40"/>
              <w:jc w:val="both"/>
            </w:pPr>
            <w:r>
              <w:t xml:space="preserve">5.3 </w:t>
            </w:r>
            <w:r>
              <w:rPr>
                <w:rFonts w:hint="eastAsia"/>
              </w:rPr>
              <w:t>集中建立的畜禽粪便处理场与畜禽养殖区域的最小距离应大于</w:t>
            </w:r>
            <w:r>
              <w:t>2km</w:t>
            </w:r>
            <w:r>
              <w:rPr>
                <w:rFonts w:hint="eastAsia"/>
              </w:rPr>
              <w:t>。</w:t>
            </w:r>
          </w:p>
          <w:p>
            <w:pPr>
              <w:pStyle w:val="40"/>
              <w:jc w:val="left"/>
            </w:pPr>
            <w:r>
              <w:t xml:space="preserve">5.4 </w:t>
            </w:r>
            <w:r>
              <w:rPr>
                <w:rFonts w:hint="eastAsia"/>
              </w:rPr>
              <w:t>畜禽粪便处理场地应距离功能地表水体</w:t>
            </w:r>
            <w:r>
              <w:t>400m</w:t>
            </w:r>
            <w:r>
              <w:rPr>
                <w:rFonts w:hint="eastAsia"/>
              </w:rPr>
              <w:t>以上。</w:t>
            </w:r>
          </w:p>
          <w:p>
            <w:pPr>
              <w:pStyle w:val="40"/>
              <w:jc w:val="both"/>
            </w:pPr>
            <w:r>
              <w:t xml:space="preserve">5.5 </w:t>
            </w:r>
            <w:r>
              <w:rPr>
                <w:rFonts w:hint="eastAsia"/>
              </w:rPr>
              <w:t>畜禽粪便处理场区应采取地面硬化、防渗漏、防径流和雨污分流等措施。</w:t>
            </w:r>
          </w:p>
        </w:tc>
        <w:tc>
          <w:tcPr>
            <w:tcW w:w="4393" w:type="dxa"/>
            <w:vAlign w:val="center"/>
          </w:tcPr>
          <w:p>
            <w:pPr>
              <w:pStyle w:val="40"/>
              <w:jc w:val="both"/>
              <w:rPr>
                <w:highlight w:val="yellow"/>
              </w:rPr>
            </w:pPr>
            <w:r>
              <w:rPr>
                <w:rFonts w:hint="eastAsia"/>
              </w:rPr>
              <w:t>项目不涉及生活饮用水水源保护区、风景名胜区、自然保护区的核心区及缓冲区、城市和城镇居民区等区域，不在旬阳市禁养区限养区范围内，不涉及国家或地方法律法规规定需特殊保护的区域。</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Merge w:val="continue"/>
            <w:vAlign w:val="center"/>
          </w:tcPr>
          <w:p>
            <w:pPr>
              <w:pStyle w:val="40"/>
              <w:numPr>
                <w:ilvl w:val="0"/>
                <w:numId w:val="2"/>
              </w:numPr>
            </w:pPr>
          </w:p>
        </w:tc>
        <w:tc>
          <w:tcPr>
            <w:tcW w:w="1500" w:type="dxa"/>
            <w:vMerge w:val="continue"/>
            <w:vAlign w:val="center"/>
          </w:tcPr>
          <w:p>
            <w:pPr>
              <w:pStyle w:val="40"/>
            </w:pPr>
          </w:p>
        </w:tc>
        <w:tc>
          <w:tcPr>
            <w:tcW w:w="6580" w:type="dxa"/>
            <w:vAlign w:val="center"/>
          </w:tcPr>
          <w:p>
            <w:pPr>
              <w:pStyle w:val="40"/>
              <w:jc w:val="both"/>
            </w:pPr>
            <w:r>
              <w:t xml:space="preserve">6 </w:t>
            </w:r>
            <w:r>
              <w:rPr>
                <w:rFonts w:hint="eastAsia"/>
              </w:rPr>
              <w:t>畜禽生产过程宜采用干清粪工艺，实施雨污分流，减少污染物排放量畜禽粪便贮存设施应符合</w:t>
            </w:r>
            <w:r>
              <w:t xml:space="preserve">GB/T27622 </w:t>
            </w:r>
            <w:r>
              <w:rPr>
                <w:rFonts w:hint="eastAsia"/>
              </w:rPr>
              <w:t>的规定，畜禽养殖污水贮存设施应符合</w:t>
            </w:r>
            <w:r>
              <w:t xml:space="preserve">GB/T26624 </w:t>
            </w:r>
            <w:r>
              <w:rPr>
                <w:rFonts w:hint="eastAsia"/>
              </w:rPr>
              <w:t>规定，畜禽粪便收集、运输过程中，应采取防遗洒、防渗漏等措施。</w:t>
            </w:r>
          </w:p>
        </w:tc>
        <w:tc>
          <w:tcPr>
            <w:tcW w:w="4393" w:type="dxa"/>
            <w:vAlign w:val="center"/>
          </w:tcPr>
          <w:p>
            <w:pPr>
              <w:pStyle w:val="40"/>
              <w:jc w:val="both"/>
              <w:rPr>
                <w:highlight w:val="yellow"/>
              </w:rPr>
            </w:pPr>
            <w:r>
              <w:rPr>
                <w:rFonts w:hint="eastAsia"/>
              </w:rPr>
              <w:t>本项目场区采用雨污分流，雨水经管道系统收集后排放厂区内绿化；项目养殖场废水包括生活污水、猪舍清洗废水等，废水经“集</w:t>
            </w:r>
            <w:r>
              <w:t>粪池</w:t>
            </w:r>
            <w:r>
              <w:rPr>
                <w:rFonts w:hint="eastAsia"/>
              </w:rPr>
              <w:t>+固液</w:t>
            </w:r>
            <w:r>
              <w:t>分离</w:t>
            </w:r>
            <w:r>
              <w:rPr>
                <w:rFonts w:hint="eastAsia"/>
              </w:rPr>
              <w:t>+厌氧</w:t>
            </w:r>
            <w:r>
              <w:t>发酵池处理</w:t>
            </w:r>
            <w:r>
              <w:rPr>
                <w:rFonts w:hint="eastAsia"/>
              </w:rPr>
              <w:t>”处理后回用于魔芋、林果等种植农田施肥，不外排；外售</w:t>
            </w:r>
            <w:r>
              <w:t>猪粪</w:t>
            </w:r>
            <w:r>
              <w:rPr>
                <w:rFonts w:hint="eastAsia"/>
              </w:rPr>
              <w:t>运输</w:t>
            </w:r>
            <w:r>
              <w:t>过程中采用袋装</w:t>
            </w:r>
            <w:r>
              <w:rPr>
                <w:rFonts w:hint="eastAsia"/>
              </w:rPr>
              <w:t>防疫洒</w:t>
            </w:r>
            <w:r>
              <w:t xml:space="preserve">措施 </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center"/>
          </w:tcPr>
          <w:p>
            <w:pPr>
              <w:pStyle w:val="40"/>
              <w:numPr>
                <w:ilvl w:val="0"/>
                <w:numId w:val="2"/>
              </w:numPr>
            </w:pPr>
          </w:p>
        </w:tc>
        <w:tc>
          <w:tcPr>
            <w:tcW w:w="1500" w:type="dxa"/>
            <w:vAlign w:val="center"/>
          </w:tcPr>
          <w:p>
            <w:pPr>
              <w:pStyle w:val="40"/>
              <w:jc w:val="both"/>
            </w:pPr>
            <w:r>
              <w:rPr>
                <w:rFonts w:hint="eastAsia"/>
                <w:spacing w:val="2"/>
              </w:rPr>
              <w:t>《关于进一步做好当前生猪规模养殖环评管理相关工作的通知》环办环评函[2019]872号</w:t>
            </w:r>
          </w:p>
        </w:tc>
        <w:tc>
          <w:tcPr>
            <w:tcW w:w="6580" w:type="dxa"/>
            <w:vAlign w:val="center"/>
          </w:tcPr>
          <w:p>
            <w:pPr>
              <w:pStyle w:val="40"/>
              <w:jc w:val="both"/>
            </w:pPr>
            <w:r>
              <w:rPr>
                <w:rFonts w:hint="eastAsia"/>
              </w:rPr>
              <w:t>三</w:t>
            </w:r>
            <w:r>
              <w:t>、统筹做好</w:t>
            </w:r>
            <w:r>
              <w:rPr>
                <w:rFonts w:hint="eastAsia"/>
              </w:rPr>
              <w:t>生猪</w:t>
            </w:r>
            <w:r>
              <w:t>养殖项目环评服务和</w:t>
            </w:r>
            <w:r>
              <w:rPr>
                <w:rFonts w:hint="eastAsia"/>
              </w:rPr>
              <w:t>指导</w:t>
            </w:r>
            <w:r>
              <w:t>。粪污</w:t>
            </w:r>
            <w:r>
              <w:rPr>
                <w:rFonts w:hint="eastAsia"/>
              </w:rPr>
              <w:t>经</w:t>
            </w:r>
            <w:r>
              <w:t>无害化处理用作肥料还田，符合法律法规以及国家和地方相关标准规范要求且不造成环境污染的，不属于</w:t>
            </w:r>
            <w:r>
              <w:rPr>
                <w:rFonts w:hint="eastAsia"/>
              </w:rPr>
              <w:t>排放</w:t>
            </w:r>
            <w:r>
              <w:t>污染物，不宜执行相关污染物排放标准和农田灌溉水质标准。</w:t>
            </w:r>
          </w:p>
          <w:p>
            <w:pPr>
              <w:pStyle w:val="40"/>
              <w:jc w:val="both"/>
            </w:pPr>
            <w:r>
              <w:rPr>
                <w:rFonts w:hint="eastAsia"/>
              </w:rPr>
              <w:t>四</w:t>
            </w:r>
            <w:r>
              <w:t>、强化建设单位生态环境保护主体责任。</w:t>
            </w:r>
            <w:r>
              <w:rPr>
                <w:rFonts w:hint="eastAsia"/>
              </w:rPr>
              <w:t>生猪</w:t>
            </w:r>
            <w:r>
              <w:t>养殖项目建设单位应严格遵守</w:t>
            </w:r>
            <w:r>
              <w:rPr>
                <w:rFonts w:hint="eastAsia"/>
              </w:rPr>
              <w:t>生态</w:t>
            </w:r>
            <w:r>
              <w:t>环境保护法律法规及标准要求，不得</w:t>
            </w:r>
            <w:r>
              <w:rPr>
                <w:rFonts w:hint="eastAsia"/>
              </w:rPr>
              <w:t>占用</w:t>
            </w:r>
            <w:r>
              <w:t>法律法规明文规定禁止开发区域。新</w:t>
            </w:r>
            <w:r>
              <w:rPr>
                <w:rFonts w:hint="eastAsia"/>
              </w:rPr>
              <w:t>（改</w:t>
            </w:r>
            <w:r>
              <w:t>、扩</w:t>
            </w:r>
            <w:r>
              <w:rPr>
                <w:rFonts w:hint="eastAsia"/>
              </w:rPr>
              <w:t>）建生猪</w:t>
            </w:r>
            <w:r>
              <w:t>养殖项目，应同步建设配套的粪污资源化</w:t>
            </w:r>
            <w:r>
              <w:rPr>
                <w:rFonts w:hint="eastAsia"/>
              </w:rPr>
              <w:t>利用</w:t>
            </w:r>
            <w:r>
              <w:t>设施，落实与养殖规模相匹配的还田土地</w:t>
            </w:r>
            <w:r>
              <w:rPr>
                <w:rFonts w:hint="eastAsia"/>
              </w:rPr>
              <w:t>。</w:t>
            </w:r>
          </w:p>
        </w:tc>
        <w:tc>
          <w:tcPr>
            <w:tcW w:w="4393" w:type="dxa"/>
            <w:vAlign w:val="center"/>
          </w:tcPr>
          <w:p>
            <w:pPr>
              <w:pStyle w:val="40"/>
              <w:jc w:val="both"/>
            </w:pPr>
            <w:r>
              <w:rPr>
                <w:rFonts w:hint="eastAsia"/>
              </w:rPr>
              <w:t>项目位于</w:t>
            </w:r>
            <w:r>
              <w:t>旬阳市关口镇关坪村</w:t>
            </w:r>
            <w:r>
              <w:rPr>
                <w:rFonts w:hint="eastAsia"/>
              </w:rPr>
              <w:t>，不在旬阳市畜禽养殖禁养区，项目</w:t>
            </w:r>
            <w:r>
              <w:t>配套</w:t>
            </w:r>
            <w:r>
              <w:rPr>
                <w:rFonts w:hint="eastAsia"/>
              </w:rPr>
              <w:t>建设</w:t>
            </w:r>
            <w:r>
              <w:t>厌氧发酵池对粪污</w:t>
            </w:r>
            <w:r>
              <w:rPr>
                <w:rFonts w:hint="eastAsia"/>
              </w:rPr>
              <w:t>进行</w:t>
            </w:r>
            <w:r>
              <w:t>处理，处理后</w:t>
            </w:r>
            <w:r>
              <w:rPr>
                <w:rFonts w:hint="eastAsia"/>
              </w:rPr>
              <w:t>作为</w:t>
            </w:r>
            <w:r>
              <w:t>粪肥还田利用，种植魔芋、特色林果</w:t>
            </w:r>
            <w:r>
              <w:rPr>
                <w:rFonts w:hint="eastAsia"/>
              </w:rPr>
              <w:t>业</w:t>
            </w:r>
            <w:r>
              <w:t>共</w:t>
            </w:r>
            <w:r>
              <w:rPr>
                <w:rFonts w:hint="eastAsia"/>
              </w:rPr>
              <w:t>350亩</w:t>
            </w:r>
            <w:r>
              <w:t>，</w:t>
            </w:r>
            <w:r>
              <w:rPr>
                <w:rFonts w:hint="eastAsia"/>
              </w:rPr>
              <w:t>本项目粪污废水中N、P供给量分别为10.45t、1.85t，小于种植土地的养分需求总量N、P分别为16.34t，2.43t，因此项目配套的消纳地面积满足消纳要求。</w:t>
            </w:r>
          </w:p>
        </w:tc>
        <w:tc>
          <w:tcPr>
            <w:tcW w:w="903" w:type="dxa"/>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2" w:type="dxa"/>
            <w:vAlign w:val="center"/>
          </w:tcPr>
          <w:p>
            <w:pPr>
              <w:pStyle w:val="40"/>
              <w:numPr>
                <w:ilvl w:val="0"/>
                <w:numId w:val="2"/>
              </w:numPr>
            </w:pPr>
          </w:p>
        </w:tc>
        <w:tc>
          <w:tcPr>
            <w:tcW w:w="1500" w:type="dxa"/>
            <w:vAlign w:val="center"/>
          </w:tcPr>
          <w:p>
            <w:pPr>
              <w:pStyle w:val="40"/>
            </w:pPr>
            <w:r>
              <w:rPr>
                <w:rFonts w:hint="eastAsia"/>
              </w:rPr>
              <w:t>农业</w:t>
            </w:r>
            <w:r>
              <w:t>农村部办公厅</w:t>
            </w:r>
            <w:r>
              <w:rPr>
                <w:rFonts w:hint="eastAsia"/>
              </w:rPr>
              <w:t xml:space="preserve"> 生态</w:t>
            </w:r>
            <w:r>
              <w:t>环境部办公厅</w:t>
            </w:r>
            <w:r>
              <w:rPr>
                <w:rFonts w:hint="eastAsia"/>
              </w:rPr>
              <w:t>《</w:t>
            </w:r>
            <w:r>
              <w:t>关于进一步明确畜禽粪污还田利用要求强化养殖污染监管的通知</w:t>
            </w:r>
            <w:r>
              <w:rPr>
                <w:rFonts w:hint="eastAsia"/>
              </w:rPr>
              <w:t>》农</w:t>
            </w:r>
            <w:r>
              <w:t>办</w:t>
            </w:r>
            <w:r>
              <w:rPr>
                <w:rFonts w:hint="eastAsia"/>
              </w:rPr>
              <w:t>牧[</w:t>
            </w:r>
            <w:r>
              <w:t>2020</w:t>
            </w:r>
            <w:r>
              <w:rPr>
                <w:rFonts w:hint="eastAsia"/>
              </w:rPr>
              <w:t>]</w:t>
            </w:r>
            <w:r>
              <w:t>23</w:t>
            </w:r>
            <w:r>
              <w:rPr>
                <w:rFonts w:hint="eastAsia"/>
              </w:rPr>
              <w:t>号</w:t>
            </w:r>
          </w:p>
        </w:tc>
        <w:tc>
          <w:tcPr>
            <w:tcW w:w="6580" w:type="dxa"/>
            <w:vAlign w:val="center"/>
          </w:tcPr>
          <w:p>
            <w:pPr>
              <w:pStyle w:val="40"/>
              <w:jc w:val="both"/>
            </w:pPr>
            <w:r>
              <w:rPr>
                <w:rFonts w:hint="eastAsia"/>
              </w:rPr>
              <w:t>（一）鼓励</w:t>
            </w:r>
            <w:r>
              <w:t>畜禽粪污还田</w:t>
            </w:r>
            <w:r>
              <w:rPr>
                <w:rFonts w:hint="eastAsia"/>
              </w:rPr>
              <w:t>利用。国家</w:t>
            </w:r>
            <w:r>
              <w:t>支持畜禽养殖场户建设</w:t>
            </w:r>
            <w:r>
              <w:rPr>
                <w:rFonts w:hint="eastAsia"/>
              </w:rPr>
              <w:t>畜禽</w:t>
            </w:r>
            <w:r>
              <w:t>粪污无害化处理和资源化利用设施</w:t>
            </w:r>
            <w:r>
              <w:rPr>
                <w:rFonts w:hint="eastAsia"/>
              </w:rPr>
              <w:t>，</w:t>
            </w:r>
            <w:r>
              <w:t>鼓励采取粪肥还田、制取沼气、生产</w:t>
            </w:r>
            <w:r>
              <w:rPr>
                <w:rFonts w:hint="eastAsia"/>
              </w:rPr>
              <w:t>有机肥</w:t>
            </w:r>
            <w:r>
              <w:t>等方式进行资源化利用。</w:t>
            </w:r>
          </w:p>
          <w:p>
            <w:pPr>
              <w:pStyle w:val="40"/>
              <w:jc w:val="both"/>
            </w:pPr>
            <w:r>
              <w:rPr>
                <w:rFonts w:hint="eastAsia"/>
              </w:rPr>
              <w:t>（二）明确</w:t>
            </w:r>
            <w:r>
              <w:t>还田利用标准规范。畜禽</w:t>
            </w:r>
            <w:r>
              <w:rPr>
                <w:rFonts w:hint="eastAsia"/>
              </w:rPr>
              <w:t>粪污</w:t>
            </w:r>
            <w:r>
              <w:t>的处理应根据排放去向或利用方式的不同执行相应的标准</w:t>
            </w:r>
            <w:r>
              <w:rPr>
                <w:rFonts w:hint="eastAsia"/>
              </w:rPr>
              <w:t>规范</w:t>
            </w:r>
            <w:r>
              <w:t>。</w:t>
            </w:r>
            <w:r>
              <w:rPr>
                <w:rFonts w:hint="eastAsia"/>
              </w:rPr>
              <w:t>对配套土地充足的养殖场户，粪污经无害化处理后还田利用具体要求及限量应符合《畜禽粪便无害化处理技术规范》（GB/T36195）和《畜禽粪便还田技术规范》（GB/T 25246），配套土地面积应达到《畜禽粪污土地承载力测算技术指南》要求的最小面积。同时，养殖场户应依法配置粪污贮存设施，设施总容积不得低于当地农林作物生产用肥的最大间隔时间内产生粪污的总量。在满足上述要求前提下，鼓励养殖场户对畜禽粪污进行资源化利用。</w:t>
            </w:r>
          </w:p>
        </w:tc>
        <w:tc>
          <w:tcPr>
            <w:tcW w:w="4393" w:type="dxa"/>
            <w:vAlign w:val="center"/>
          </w:tcPr>
          <w:p>
            <w:pPr>
              <w:pStyle w:val="40"/>
              <w:jc w:val="both"/>
            </w:pPr>
            <w:r>
              <w:rPr>
                <w:rFonts w:hint="eastAsia"/>
              </w:rPr>
              <w:t>本项目干清粪工艺</w:t>
            </w:r>
            <w:r>
              <w:t>，猪粪</w:t>
            </w:r>
            <w:r>
              <w:rPr>
                <w:rFonts w:hint="eastAsia"/>
              </w:rPr>
              <w:t>作为有机肥</w:t>
            </w:r>
            <w:r>
              <w:t>原料外售，粪污废水采用</w:t>
            </w:r>
            <w:r>
              <w:rPr>
                <w:rFonts w:hint="eastAsia"/>
              </w:rPr>
              <w:t>“集</w:t>
            </w:r>
            <w:r>
              <w:t>粪池+</w:t>
            </w:r>
            <w:r>
              <w:rPr>
                <w:rFonts w:hint="eastAsia"/>
              </w:rPr>
              <w:t>固液</w:t>
            </w:r>
            <w:r>
              <w:t>分离</w:t>
            </w:r>
            <w:r>
              <w:rPr>
                <w:rFonts w:hint="eastAsia"/>
              </w:rPr>
              <w:t>+厌氧</w:t>
            </w:r>
            <w:r>
              <w:t>发酵池处理</w:t>
            </w:r>
            <w:r>
              <w:rPr>
                <w:rFonts w:hint="eastAsia"/>
              </w:rPr>
              <w:t>”</w:t>
            </w:r>
            <w:r>
              <w:t>进行处理</w:t>
            </w:r>
            <w:r>
              <w:rPr>
                <w:rFonts w:hint="eastAsia"/>
              </w:rPr>
              <w:t>，</w:t>
            </w:r>
            <w:r>
              <w:t>处理后的</w:t>
            </w:r>
            <w:r>
              <w:rPr>
                <w:rFonts w:hint="eastAsia"/>
              </w:rPr>
              <w:t>沼液</w:t>
            </w:r>
            <w:r>
              <w:t>作为</w:t>
            </w:r>
            <w:r>
              <w:rPr>
                <w:rFonts w:hint="eastAsia"/>
              </w:rPr>
              <w:t>粪</w:t>
            </w:r>
            <w:r>
              <w:t>肥</w:t>
            </w:r>
            <w:r>
              <w:rPr>
                <w:rFonts w:hint="eastAsia"/>
              </w:rPr>
              <w:t>还田</w:t>
            </w:r>
            <w:r>
              <w:t>资源化利用，</w:t>
            </w:r>
            <w:r>
              <w:rPr>
                <w:rFonts w:hint="eastAsia"/>
              </w:rPr>
              <w:t>项目</w:t>
            </w:r>
            <w:r>
              <w:t>配套充足土地，</w:t>
            </w:r>
            <w:r>
              <w:rPr>
                <w:rFonts w:hint="eastAsia"/>
              </w:rPr>
              <w:t>配套</w:t>
            </w:r>
            <w:r>
              <w:t>土地面积能达到</w:t>
            </w:r>
            <w:r>
              <w:rPr>
                <w:rFonts w:hint="eastAsia"/>
              </w:rPr>
              <w:t>《畜禽粪污土地承载力测算技术指南》要求的最小面积，</w:t>
            </w:r>
            <w:r>
              <w:t>配套建设沼液暂存池容积2800m</w:t>
            </w:r>
            <w:r>
              <w:rPr>
                <w:vertAlign w:val="superscript"/>
              </w:rPr>
              <w:t>3</w:t>
            </w:r>
            <w:r>
              <w:t>，</w:t>
            </w:r>
            <w:r>
              <w:rPr>
                <w:rFonts w:hint="eastAsia"/>
              </w:rPr>
              <w:t>可存储</w:t>
            </w:r>
            <w:r>
              <w:t>当</w:t>
            </w:r>
            <w:r>
              <w:rPr>
                <w:rFonts w:hint="eastAsia"/>
              </w:rPr>
              <w:t>地</w:t>
            </w:r>
            <w:r>
              <w:t>生产用肥的最大间隔时间</w:t>
            </w:r>
            <w:r>
              <w:rPr>
                <w:rFonts w:hint="eastAsia"/>
              </w:rPr>
              <w:t>时间内产生粪污的总量。</w:t>
            </w:r>
          </w:p>
          <w:p>
            <w:pPr>
              <w:pStyle w:val="40"/>
              <w:jc w:val="both"/>
            </w:pPr>
          </w:p>
          <w:p>
            <w:pPr>
              <w:pStyle w:val="40"/>
              <w:jc w:val="both"/>
            </w:pPr>
          </w:p>
        </w:tc>
        <w:tc>
          <w:tcPr>
            <w:tcW w:w="903" w:type="dxa"/>
            <w:vAlign w:val="center"/>
          </w:tcPr>
          <w:p>
            <w:pPr>
              <w:pStyle w:val="40"/>
            </w:pPr>
            <w:r>
              <w:rPr>
                <w:rFonts w:hint="eastAsia"/>
              </w:rPr>
              <w:t>符合</w:t>
            </w:r>
          </w:p>
        </w:tc>
      </w:tr>
    </w:tbl>
    <w:p>
      <w:pPr>
        <w:pStyle w:val="4"/>
      </w:pPr>
      <w:r>
        <w:rPr>
          <w:rFonts w:hint="eastAsia"/>
        </w:rPr>
        <w:t>与</w:t>
      </w:r>
      <w:r>
        <w:t>环保政策符合性分析</w:t>
      </w:r>
    </w:p>
    <w:p>
      <w:pPr>
        <w:pStyle w:val="79"/>
        <w:ind w:firstLine="480"/>
        <w:rPr>
          <w:rFonts w:cs="Times New Roman"/>
        </w:rPr>
      </w:pPr>
      <w:r>
        <w:rPr>
          <w:rFonts w:cs="Times New Roman"/>
        </w:rPr>
        <w:t>依据相关法律法规，本项目与各环境管理要求相符性分析见</w:t>
      </w:r>
      <w:r>
        <w:rPr>
          <w:rFonts w:hint="eastAsia" w:cs="Times New Roman"/>
        </w:rPr>
        <w:t>表1.2-4。</w:t>
      </w:r>
    </w:p>
    <w:p>
      <w:pPr>
        <w:pStyle w:val="41"/>
        <w:rPr>
          <w:rFonts w:eastAsiaTheme="minorEastAsia"/>
        </w:rPr>
      </w:pPr>
      <w:bookmarkStart w:id="10" w:name="_Ref36116021"/>
      <w:r>
        <w:rPr>
          <w:rFonts w:hint="eastAsia" w:ascii="宋体" w:hAnsi="宋体" w:eastAsia="宋体" w:cs="宋体"/>
        </w:rPr>
        <w:t>表</w:t>
      </w:r>
      <w:r>
        <w:fldChar w:fldCharType="begin"/>
      </w:r>
      <w:r>
        <w:rPr>
          <w:rFonts w:hint="eastAsia"/>
        </w:rPr>
        <w:instrText xml:space="preserve">STYLEREF 2 \s</w:instrText>
      </w:r>
      <w:r>
        <w:fldChar w:fldCharType="separate"/>
      </w:r>
      <w:r>
        <w:t>1.2</w:t>
      </w:r>
      <w:r>
        <w:fldChar w:fldCharType="end"/>
      </w:r>
      <w:r>
        <w:noBreakHyphen/>
      </w:r>
      <w:r>
        <w:fldChar w:fldCharType="begin"/>
      </w:r>
      <w:r>
        <w:rPr>
          <w:rFonts w:hint="eastAsia"/>
        </w:rPr>
        <w:instrText xml:space="preserve">SEQ 表 \* ARABIC \s 2</w:instrText>
      </w:r>
      <w:r>
        <w:fldChar w:fldCharType="separate"/>
      </w:r>
      <w:r>
        <w:t>4</w:t>
      </w:r>
      <w:r>
        <w:fldChar w:fldCharType="end"/>
      </w:r>
      <w:bookmarkEnd w:id="10"/>
      <w:r>
        <w:rPr>
          <w:rFonts w:hint="eastAsia" w:eastAsiaTheme="minorEastAsia"/>
        </w:rPr>
        <w:t>本项目</w:t>
      </w:r>
      <w:r>
        <w:rPr>
          <w:rFonts w:eastAsiaTheme="minorEastAsia"/>
        </w:rPr>
        <w:t>与相关环保政策要求符合性分析</w:t>
      </w:r>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262"/>
        <w:gridCol w:w="6488"/>
        <w:gridCol w:w="3582"/>
        <w:gridCol w:w="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pPr>
            <w:r>
              <w:rPr>
                <w:rFonts w:hint="eastAsia"/>
              </w:rPr>
              <w:t>序号</w:t>
            </w:r>
          </w:p>
        </w:tc>
        <w:tc>
          <w:tcPr>
            <w:tcW w:w="2262" w:type="dxa"/>
            <w:vAlign w:val="center"/>
          </w:tcPr>
          <w:p>
            <w:pPr>
              <w:pStyle w:val="40"/>
            </w:pPr>
            <w:r>
              <w:rPr>
                <w:rFonts w:hint="eastAsia"/>
              </w:rPr>
              <w:t>相关</w:t>
            </w:r>
            <w:r>
              <w:t>政策</w:t>
            </w:r>
          </w:p>
        </w:tc>
        <w:tc>
          <w:tcPr>
            <w:tcW w:w="6488" w:type="dxa"/>
            <w:vAlign w:val="center"/>
          </w:tcPr>
          <w:p>
            <w:pPr>
              <w:pStyle w:val="40"/>
            </w:pPr>
            <w:r>
              <w:rPr>
                <w:rFonts w:hint="eastAsia"/>
              </w:rPr>
              <w:t>政策</w:t>
            </w:r>
            <w:r>
              <w:t>要求</w:t>
            </w:r>
          </w:p>
        </w:tc>
        <w:tc>
          <w:tcPr>
            <w:tcW w:w="3582" w:type="dxa"/>
            <w:vAlign w:val="center"/>
          </w:tcPr>
          <w:p>
            <w:pPr>
              <w:pStyle w:val="40"/>
            </w:pPr>
            <w:r>
              <w:rPr>
                <w:rFonts w:hint="eastAsia"/>
              </w:rPr>
              <w:t>本项目情况</w:t>
            </w:r>
          </w:p>
        </w:tc>
        <w:tc>
          <w:tcPr>
            <w:tcW w:w="903" w:type="dxa"/>
            <w:vAlign w:val="center"/>
          </w:tcPr>
          <w:p>
            <w:pPr>
              <w:pStyle w:val="4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numPr>
                <w:ilvl w:val="0"/>
                <w:numId w:val="3"/>
              </w:numPr>
            </w:pPr>
          </w:p>
        </w:tc>
        <w:tc>
          <w:tcPr>
            <w:tcW w:w="2262" w:type="dxa"/>
            <w:vAlign w:val="center"/>
          </w:tcPr>
          <w:p>
            <w:pPr>
              <w:pStyle w:val="40"/>
              <w:jc w:val="both"/>
            </w:pPr>
            <w:r>
              <w:rPr>
                <w:szCs w:val="21"/>
              </w:rPr>
              <w:t>《水污染防治行动计划》</w:t>
            </w:r>
          </w:p>
        </w:tc>
        <w:tc>
          <w:tcPr>
            <w:tcW w:w="6488" w:type="dxa"/>
            <w:vAlign w:val="center"/>
          </w:tcPr>
          <w:p>
            <w:pPr>
              <w:pStyle w:val="40"/>
              <w:jc w:val="both"/>
            </w:pPr>
            <w:r>
              <w:t>推进农业农村污染防治。防治畜禽养殖污染。科学划定畜禽养殖禁养区，2017年底前，依法关闭或搬迁禁养区内的畜禽养殖场（小区）和养殖专业户，京津冀、长三角、珠三角等区域提前一年完成。自2016年起，新建、改建、扩建规模化畜禽养殖场（小区）要实施雨污分流、粪便污水资源化利用。</w:t>
            </w:r>
          </w:p>
        </w:tc>
        <w:tc>
          <w:tcPr>
            <w:tcW w:w="3582" w:type="dxa"/>
            <w:vAlign w:val="center"/>
          </w:tcPr>
          <w:p>
            <w:pPr>
              <w:pStyle w:val="40"/>
              <w:jc w:val="both"/>
            </w:pPr>
            <w:r>
              <w:rPr>
                <w:rFonts w:hint="eastAsia"/>
              </w:rPr>
              <w:t>本项目</w:t>
            </w:r>
            <w:r>
              <w:t>不在旬阳市畜禽养殖禁养区，</w:t>
            </w:r>
            <w:r>
              <w:rPr>
                <w:rFonts w:hint="eastAsia"/>
              </w:rPr>
              <w:t>实施雨污分流</w:t>
            </w:r>
            <w:r>
              <w:t>，粪便污水资源化利用。</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numPr>
                <w:ilvl w:val="0"/>
                <w:numId w:val="3"/>
              </w:numPr>
            </w:pPr>
          </w:p>
        </w:tc>
        <w:tc>
          <w:tcPr>
            <w:tcW w:w="2262" w:type="dxa"/>
            <w:vAlign w:val="center"/>
          </w:tcPr>
          <w:p>
            <w:pPr>
              <w:pStyle w:val="40"/>
              <w:jc w:val="both"/>
              <w:rPr>
                <w:szCs w:val="21"/>
              </w:rPr>
            </w:pPr>
            <w:r>
              <w:rPr>
                <w:rFonts w:hint="eastAsia"/>
                <w:szCs w:val="21"/>
              </w:rPr>
              <w:t>《土壤</w:t>
            </w:r>
            <w:r>
              <w:rPr>
                <w:szCs w:val="21"/>
              </w:rPr>
              <w:t>污染防治行动计划</w:t>
            </w:r>
            <w:r>
              <w:rPr>
                <w:rFonts w:hint="eastAsia"/>
                <w:szCs w:val="21"/>
              </w:rPr>
              <w:t>》</w:t>
            </w:r>
          </w:p>
        </w:tc>
        <w:tc>
          <w:tcPr>
            <w:tcW w:w="6488" w:type="dxa"/>
            <w:vAlign w:val="center"/>
          </w:tcPr>
          <w:p>
            <w:pPr>
              <w:pStyle w:val="40"/>
              <w:jc w:val="both"/>
            </w:pPr>
            <w:r>
              <w:t>强化畜禽养殖污染防治。严格规范兽药、饲料添加剂的生产和使用，防止过量使用，促进源头减量。加强畜禽粪便综合利用，在部分生猪大县开展种养业有机结合、循环发展试点。</w:t>
            </w:r>
          </w:p>
        </w:tc>
        <w:tc>
          <w:tcPr>
            <w:tcW w:w="3582" w:type="dxa"/>
            <w:vAlign w:val="center"/>
          </w:tcPr>
          <w:p>
            <w:pPr>
              <w:pStyle w:val="40"/>
              <w:jc w:val="both"/>
            </w:pPr>
            <w:r>
              <w:rPr>
                <w:rFonts w:hint="eastAsia"/>
              </w:rPr>
              <w:t>项目粪便</w:t>
            </w:r>
            <w:r>
              <w:t>综合利用生产有机肥</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numPr>
                <w:ilvl w:val="0"/>
                <w:numId w:val="3"/>
              </w:numPr>
            </w:pPr>
          </w:p>
        </w:tc>
        <w:tc>
          <w:tcPr>
            <w:tcW w:w="2262" w:type="dxa"/>
            <w:vAlign w:val="center"/>
          </w:tcPr>
          <w:p>
            <w:pPr>
              <w:pStyle w:val="40"/>
              <w:jc w:val="both"/>
              <w:rPr>
                <w:szCs w:val="21"/>
              </w:rPr>
            </w:pPr>
            <w:r>
              <w:rPr>
                <w:szCs w:val="21"/>
              </w:rPr>
              <w:t>陕西省</w:t>
            </w:r>
            <w:r>
              <w:rPr>
                <w:rFonts w:hint="eastAsia"/>
              </w:rPr>
              <w:t>“</w:t>
            </w:r>
            <w:r>
              <w:t>十</w:t>
            </w:r>
            <w:r>
              <w:rPr>
                <w:rFonts w:hint="eastAsia"/>
              </w:rPr>
              <w:t>四</w:t>
            </w:r>
            <w:r>
              <w:t>五</w:t>
            </w:r>
            <w:r>
              <w:rPr>
                <w:rFonts w:hint="eastAsia"/>
              </w:rPr>
              <w:t>”生态</w:t>
            </w:r>
            <w:r>
              <w:t>环境保护规划</w:t>
            </w:r>
          </w:p>
        </w:tc>
        <w:tc>
          <w:tcPr>
            <w:tcW w:w="6488" w:type="dxa"/>
            <w:vAlign w:val="center"/>
          </w:tcPr>
          <w:p>
            <w:pPr>
              <w:pStyle w:val="40"/>
              <w:jc w:val="both"/>
              <w:rPr>
                <w:highlight w:val="yellow"/>
              </w:rPr>
            </w:pPr>
            <w:r>
              <w:rPr>
                <w:rFonts w:hint="eastAsia"/>
              </w:rPr>
              <w:t>深化</w:t>
            </w:r>
            <w:r>
              <w:t>农业农村环境治理。</w:t>
            </w:r>
            <w:r>
              <w:rPr>
                <w:rFonts w:hint="eastAsia"/>
              </w:rPr>
              <w:t>强化养殖业污染治理。编制实施县区畜禽粪污防治规划，推动种养结合和粪污综合利用，规范畜禽养殖禁养区管理。畜禽养殖场配套建设粪污处理设施，加强规模以下养殖户畜禽污染防治。在养殖大县散养密集区推广“截污建池、收运还田”等畜禽粪污治理模式，加快建设粪污集中处理中心，统筹建立农村有机废弃物收集转化利用网络体系和市场化运营机制。</w:t>
            </w:r>
          </w:p>
        </w:tc>
        <w:tc>
          <w:tcPr>
            <w:tcW w:w="3582" w:type="dxa"/>
            <w:vAlign w:val="center"/>
          </w:tcPr>
          <w:p>
            <w:pPr>
              <w:pStyle w:val="40"/>
              <w:jc w:val="both"/>
            </w:pPr>
            <w:r>
              <w:rPr>
                <w:rFonts w:hint="eastAsia"/>
              </w:rPr>
              <w:t>本项目</w:t>
            </w:r>
            <w:r>
              <w:t>采用干清粪工艺，</w:t>
            </w:r>
            <w:r>
              <w:rPr>
                <w:rFonts w:hint="eastAsia"/>
              </w:rPr>
              <w:t>固体猪粪</w:t>
            </w:r>
            <w:r>
              <w:t>外售</w:t>
            </w:r>
            <w:r>
              <w:rPr>
                <w:rFonts w:hint="eastAsia"/>
              </w:rPr>
              <w:t>有机肥</w:t>
            </w:r>
            <w:r>
              <w:t>加工厂</w:t>
            </w:r>
            <w:r>
              <w:rPr>
                <w:rFonts w:hint="eastAsia"/>
              </w:rPr>
              <w:t>作为</w:t>
            </w:r>
            <w:r>
              <w:t>原料，废水采用</w:t>
            </w:r>
            <w:r>
              <w:rPr>
                <w:rFonts w:hint="eastAsia"/>
              </w:rPr>
              <w:t>“集</w:t>
            </w:r>
            <w:r>
              <w:t>粪池+</w:t>
            </w:r>
            <w:r>
              <w:rPr>
                <w:rFonts w:hint="eastAsia"/>
              </w:rPr>
              <w:t>固液</w:t>
            </w:r>
            <w:r>
              <w:t>分离</w:t>
            </w:r>
            <w:r>
              <w:rPr>
                <w:rFonts w:hint="eastAsia"/>
              </w:rPr>
              <w:t>+厌氧</w:t>
            </w:r>
            <w:r>
              <w:t>发酵池处理</w:t>
            </w:r>
            <w:r>
              <w:rPr>
                <w:rFonts w:hint="eastAsia"/>
              </w:rPr>
              <w:t>”</w:t>
            </w:r>
            <w:r>
              <w:t>进行处理</w:t>
            </w:r>
            <w:r>
              <w:rPr>
                <w:rFonts w:hint="eastAsia"/>
              </w:rPr>
              <w:t>，</w:t>
            </w:r>
            <w:r>
              <w:t>处理后的</w:t>
            </w:r>
            <w:r>
              <w:rPr>
                <w:rFonts w:hint="eastAsia"/>
              </w:rPr>
              <w:t>沼液</w:t>
            </w:r>
            <w:r>
              <w:t>作为</w:t>
            </w:r>
            <w:r>
              <w:rPr>
                <w:rFonts w:hint="eastAsia"/>
              </w:rPr>
              <w:t>粪</w:t>
            </w:r>
            <w:r>
              <w:t>肥</w:t>
            </w:r>
            <w:r>
              <w:rPr>
                <w:rFonts w:hint="eastAsia"/>
              </w:rPr>
              <w:t>还田</w:t>
            </w:r>
            <w:r>
              <w:t>资源化利用，并配套</w:t>
            </w:r>
            <w:r>
              <w:rPr>
                <w:rFonts w:hint="eastAsia"/>
              </w:rPr>
              <w:t>种植魔芋、林果</w:t>
            </w:r>
            <w:r>
              <w:t>，</w:t>
            </w:r>
            <w:r>
              <w:rPr>
                <w:rFonts w:hint="eastAsia"/>
              </w:rPr>
              <w:t>采用</w:t>
            </w:r>
            <w:r>
              <w:t>种养</w:t>
            </w:r>
            <w:r>
              <w:rPr>
                <w:rFonts w:hint="eastAsia"/>
              </w:rPr>
              <w:t>结合</w:t>
            </w:r>
            <w:r>
              <w:t>模式</w:t>
            </w:r>
            <w:r>
              <w:rPr>
                <w:rFonts w:hint="eastAsia"/>
              </w:rP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numPr>
                <w:ilvl w:val="0"/>
                <w:numId w:val="3"/>
              </w:numPr>
            </w:pPr>
          </w:p>
        </w:tc>
        <w:tc>
          <w:tcPr>
            <w:tcW w:w="2262" w:type="dxa"/>
            <w:vAlign w:val="center"/>
          </w:tcPr>
          <w:p>
            <w:pPr>
              <w:pStyle w:val="40"/>
              <w:jc w:val="both"/>
              <w:rPr>
                <w:szCs w:val="21"/>
              </w:rPr>
            </w:pPr>
            <w:r>
              <w:rPr>
                <w:rFonts w:hint="eastAsia"/>
                <w:szCs w:val="21"/>
              </w:rPr>
              <w:t>《陕西</w:t>
            </w:r>
            <w:r>
              <w:rPr>
                <w:szCs w:val="21"/>
              </w:rPr>
              <w:t>省</w:t>
            </w:r>
            <w:r>
              <w:rPr>
                <w:rFonts w:hint="eastAsia"/>
                <w:szCs w:val="21"/>
              </w:rPr>
              <w:t>秦岭</w:t>
            </w:r>
            <w:r>
              <w:rPr>
                <w:szCs w:val="21"/>
              </w:rPr>
              <w:t>生态保护条例</w:t>
            </w:r>
            <w:r>
              <w:rPr>
                <w:rFonts w:hint="eastAsia"/>
                <w:szCs w:val="21"/>
              </w:rPr>
              <w:t>》</w:t>
            </w:r>
          </w:p>
        </w:tc>
        <w:tc>
          <w:tcPr>
            <w:tcW w:w="6488" w:type="dxa"/>
            <w:vAlign w:val="center"/>
          </w:tcPr>
          <w:p>
            <w:pPr>
              <w:pStyle w:val="40"/>
              <w:jc w:val="both"/>
            </w:pPr>
            <w:r>
              <w:rPr>
                <w:rFonts w:hint="eastAsia"/>
              </w:rPr>
              <w:t xml:space="preserve">第二条 在秦岭生态环境保护范围内进行自然资源保护、利用及开发和其他各类建设等活动适用本条例。 </w:t>
            </w:r>
          </w:p>
          <w:p>
            <w:pPr>
              <w:pStyle w:val="40"/>
              <w:jc w:val="both"/>
            </w:pPr>
            <w:r>
              <w:rPr>
                <w:rFonts w:hint="eastAsia"/>
              </w:rPr>
              <w:t xml:space="preserve">本条例所称秦岭生态环境保护范围，是指本省行政区域内东西以省界为界，南北以秦岭山体坡底为界的区域。具体范围由省秦岭生态环境保护总体规划确定。 </w:t>
            </w:r>
          </w:p>
          <w:p>
            <w:pPr>
              <w:pStyle w:val="40"/>
              <w:jc w:val="both"/>
            </w:pPr>
            <w:r>
              <w:rPr>
                <w:rFonts w:hint="eastAsia"/>
              </w:rPr>
              <w:t xml:space="preserve">海拔2000m以上区域，秦岭山系主梁两侧各1000m以内、主要支脉两侧各500m以内的区域为核心保护区。核心保护区内不得进行与生态保护、科学研究无关的活动； </w:t>
            </w:r>
          </w:p>
          <w:p>
            <w:pPr>
              <w:pStyle w:val="40"/>
              <w:jc w:val="both"/>
            </w:pPr>
            <w:r>
              <w:rPr>
                <w:rFonts w:hint="eastAsia"/>
              </w:rPr>
              <w:t xml:space="preserve">海拔1500m至2000m之间的区域为重点保护区。重点保护区不得进行与其保护功能不相符的开发建设活动； </w:t>
            </w:r>
          </w:p>
          <w:p>
            <w:pPr>
              <w:pStyle w:val="40"/>
              <w:jc w:val="both"/>
            </w:pPr>
            <w:r>
              <w:rPr>
                <w:rFonts w:hint="eastAsia"/>
              </w:rPr>
              <w:t xml:space="preserve">秦岭范围内除核心保护区、重点保护区以外的区域，为一般保护区。一般保护区生产、生活和建设活动，应当严格执行法律、法规和本条例的规定。 </w:t>
            </w:r>
          </w:p>
          <w:p>
            <w:pPr>
              <w:pStyle w:val="40"/>
              <w:jc w:val="both"/>
            </w:pPr>
            <w:r>
              <w:rPr>
                <w:rFonts w:hint="eastAsia"/>
              </w:rPr>
              <w:t xml:space="preserve">在秦岭范围内的生产、生活和建设活动应当符合秦岭生态环境保护规划，依法采取相应生态环境保护措施，保证秦岭生态不降低。 </w:t>
            </w:r>
          </w:p>
          <w:p>
            <w:pPr>
              <w:pStyle w:val="40"/>
              <w:jc w:val="both"/>
            </w:pPr>
            <w:r>
              <w:rPr>
                <w:rFonts w:hint="eastAsia"/>
              </w:rPr>
              <w:t>禁止在核心保护区、重点保护区勘探、开发矿产资源和开山采石，禁止在秦岭主梁以北的秦岭范围内开山采石。</w:t>
            </w:r>
          </w:p>
        </w:tc>
        <w:tc>
          <w:tcPr>
            <w:tcW w:w="3582" w:type="dxa"/>
            <w:vAlign w:val="center"/>
          </w:tcPr>
          <w:p>
            <w:pPr>
              <w:pStyle w:val="40"/>
              <w:jc w:val="both"/>
            </w:pPr>
            <w:r>
              <w:rPr>
                <w:rFonts w:hint="eastAsia"/>
              </w:rPr>
              <w:t>本项目不在秦岭山系主梁两侧1000m以内、主要支脉两侧各500m以内；项目</w:t>
            </w:r>
            <w:r>
              <w:t>所在地</w:t>
            </w:r>
            <w:r>
              <w:rPr>
                <w:rFonts w:hint="eastAsia"/>
              </w:rPr>
              <w:t>海拔475</w:t>
            </w:r>
            <w:r>
              <w:t>m，</w:t>
            </w:r>
            <w:r>
              <w:rPr>
                <w:rFonts w:hint="eastAsia"/>
              </w:rPr>
              <w:t>属于</w:t>
            </w:r>
            <w:r>
              <w:t>一般保护区，</w:t>
            </w:r>
            <w:r>
              <w:rPr>
                <w:rFonts w:hint="eastAsia"/>
              </w:rPr>
              <w:t>采取环评提出的防范措施后可有效措施减少各类开发建设和生产活动对生态环境的负面影响</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Merge w:val="restart"/>
            <w:vAlign w:val="center"/>
          </w:tcPr>
          <w:p>
            <w:pPr>
              <w:pStyle w:val="40"/>
              <w:numPr>
                <w:ilvl w:val="0"/>
                <w:numId w:val="3"/>
              </w:numPr>
            </w:pPr>
          </w:p>
        </w:tc>
        <w:tc>
          <w:tcPr>
            <w:tcW w:w="2262" w:type="dxa"/>
            <w:vMerge w:val="restart"/>
            <w:vAlign w:val="center"/>
          </w:tcPr>
          <w:p>
            <w:pPr>
              <w:pStyle w:val="40"/>
              <w:jc w:val="both"/>
              <w:rPr>
                <w:szCs w:val="21"/>
              </w:rPr>
            </w:pPr>
            <w:r>
              <w:rPr>
                <w:rFonts w:hint="eastAsia"/>
                <w:szCs w:val="21"/>
              </w:rPr>
              <w:t>《陕西</w:t>
            </w:r>
            <w:r>
              <w:rPr>
                <w:szCs w:val="21"/>
              </w:rPr>
              <w:t>省</w:t>
            </w:r>
            <w:r>
              <w:rPr>
                <w:rFonts w:hint="eastAsia"/>
                <w:szCs w:val="21"/>
              </w:rPr>
              <w:t>秦岭</w:t>
            </w:r>
            <w:r>
              <w:rPr>
                <w:szCs w:val="21"/>
              </w:rPr>
              <w:t>生态环境保护规划</w:t>
            </w:r>
            <w:r>
              <w:rPr>
                <w:rFonts w:hint="eastAsia"/>
                <w:szCs w:val="21"/>
              </w:rPr>
              <w:t>》</w:t>
            </w:r>
          </w:p>
        </w:tc>
        <w:tc>
          <w:tcPr>
            <w:tcW w:w="6488" w:type="dxa"/>
            <w:vAlign w:val="center"/>
          </w:tcPr>
          <w:p>
            <w:pPr>
              <w:pStyle w:val="40"/>
              <w:jc w:val="both"/>
            </w:pPr>
            <w:r>
              <w:rPr>
                <w:rFonts w:hint="eastAsia"/>
              </w:rPr>
              <w:t>发挥国土空间规划在秦岭生态环境保护中的基础性作用，按照中共中央办公厅、国务院办公厅《关于在国土空间规划中统筹划定落实三条控制线的指导意见》要求，开展资源环境承载能力评价和国土空间开发适宜性评价，确定城镇、农村、生态空间布局，划定落实生态保护红线、永久基本农田、城镇开发边界等空间管控边界</w:t>
            </w:r>
          </w:p>
        </w:tc>
        <w:tc>
          <w:tcPr>
            <w:tcW w:w="3582" w:type="dxa"/>
            <w:vAlign w:val="center"/>
          </w:tcPr>
          <w:p>
            <w:pPr>
              <w:pStyle w:val="40"/>
              <w:jc w:val="both"/>
            </w:pPr>
            <w:r>
              <w:rPr>
                <w:rFonts w:hint="eastAsia"/>
              </w:rPr>
              <w:t>本项目用地不涉及生态保护红线、永久基本农田、城镇开发边界等空间管控边界。</w:t>
            </w:r>
          </w:p>
        </w:tc>
        <w:tc>
          <w:tcPr>
            <w:tcW w:w="903" w:type="dxa"/>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Merge w:val="continue"/>
            <w:vAlign w:val="center"/>
          </w:tcPr>
          <w:p>
            <w:pPr>
              <w:pStyle w:val="40"/>
              <w:numPr>
                <w:ilvl w:val="0"/>
                <w:numId w:val="3"/>
              </w:numPr>
            </w:pPr>
          </w:p>
        </w:tc>
        <w:tc>
          <w:tcPr>
            <w:tcW w:w="2262" w:type="dxa"/>
            <w:vMerge w:val="continue"/>
            <w:vAlign w:val="center"/>
          </w:tcPr>
          <w:p>
            <w:pPr>
              <w:pStyle w:val="40"/>
              <w:jc w:val="both"/>
              <w:rPr>
                <w:szCs w:val="21"/>
              </w:rPr>
            </w:pPr>
          </w:p>
        </w:tc>
        <w:tc>
          <w:tcPr>
            <w:tcW w:w="6488" w:type="dxa"/>
            <w:vAlign w:val="center"/>
          </w:tcPr>
          <w:p>
            <w:pPr>
              <w:pStyle w:val="40"/>
              <w:jc w:val="both"/>
            </w:pPr>
            <w:r>
              <w:rPr>
                <w:rFonts w:hint="eastAsia"/>
              </w:rPr>
              <w:t>按照农牧结合、种养平衡的原则，科学规划布局畜禽养殖，推行标准化规模养殖，配套建设粪便污水贮存、处理、利用设施，因地制宜推广畜禽粪污综合利用技术模式，规范和引导畜禽养殖场做好废弃物资源</w:t>
            </w:r>
            <w:r>
              <w:t>化利用，进行健康生态养殖</w:t>
            </w:r>
          </w:p>
        </w:tc>
        <w:tc>
          <w:tcPr>
            <w:tcW w:w="3582" w:type="dxa"/>
            <w:vAlign w:val="center"/>
          </w:tcPr>
          <w:p>
            <w:pPr>
              <w:pStyle w:val="40"/>
              <w:jc w:val="both"/>
            </w:pPr>
            <w:r>
              <w:rPr>
                <w:rFonts w:hint="eastAsia"/>
              </w:rPr>
              <w:t>本项目</w:t>
            </w:r>
            <w:r>
              <w:t>采用种养结合方式建设，配套建设粪便污水贮存，处理、利用设施，</w:t>
            </w:r>
            <w:r>
              <w:rPr>
                <w:rFonts w:hint="eastAsia"/>
              </w:rPr>
              <w:t>粪污</w:t>
            </w:r>
            <w:r>
              <w:t>最终去</w:t>
            </w:r>
            <w:r>
              <w:rPr>
                <w:rFonts w:hint="eastAsia"/>
              </w:rPr>
              <w:t>处</w:t>
            </w:r>
            <w:r>
              <w:t>为作为魔芋、</w:t>
            </w:r>
            <w:r>
              <w:rPr>
                <w:rFonts w:hint="eastAsia"/>
              </w:rPr>
              <w:t>特色果业</w:t>
            </w:r>
            <w:r>
              <w:t>种植区的肥料施肥</w:t>
            </w:r>
            <w:r>
              <w:rPr>
                <w:rFonts w:hint="eastAsia"/>
              </w:rPr>
              <w:t>，</w:t>
            </w:r>
            <w:r>
              <w:t>属于</w:t>
            </w:r>
            <w:r>
              <w:rPr>
                <w:rFonts w:hint="eastAsia"/>
              </w:rPr>
              <w:t>健康</w:t>
            </w:r>
            <w:r>
              <w:t>生态养殖</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numPr>
                <w:ilvl w:val="0"/>
                <w:numId w:val="3"/>
              </w:numPr>
            </w:pPr>
          </w:p>
        </w:tc>
        <w:tc>
          <w:tcPr>
            <w:tcW w:w="2262" w:type="dxa"/>
            <w:vAlign w:val="center"/>
          </w:tcPr>
          <w:p>
            <w:pPr>
              <w:pStyle w:val="40"/>
              <w:jc w:val="both"/>
              <w:rPr>
                <w:szCs w:val="21"/>
              </w:rPr>
            </w:pPr>
            <w:r>
              <w:rPr>
                <w:rFonts w:hint="eastAsia"/>
                <w:szCs w:val="21"/>
              </w:rPr>
              <w:t>《陕西</w:t>
            </w:r>
            <w:r>
              <w:rPr>
                <w:szCs w:val="21"/>
              </w:rPr>
              <w:t>省主体功能区划</w:t>
            </w:r>
            <w:r>
              <w:rPr>
                <w:rFonts w:hint="eastAsia"/>
                <w:szCs w:val="21"/>
              </w:rPr>
              <w:t>》（陕</w:t>
            </w:r>
            <w:r>
              <w:rPr>
                <w:szCs w:val="21"/>
              </w:rPr>
              <w:t>政发</w:t>
            </w:r>
            <w:r>
              <w:rPr>
                <w:rFonts w:hint="eastAsia"/>
                <w:szCs w:val="21"/>
              </w:rPr>
              <w:t>[</w:t>
            </w:r>
            <w:r>
              <w:rPr>
                <w:szCs w:val="21"/>
              </w:rPr>
              <w:t>2013</w:t>
            </w:r>
            <w:r>
              <w:rPr>
                <w:rFonts w:hint="eastAsia"/>
                <w:szCs w:val="21"/>
              </w:rPr>
              <w:t>]）15号）</w:t>
            </w:r>
          </w:p>
        </w:tc>
        <w:tc>
          <w:tcPr>
            <w:tcW w:w="6488" w:type="dxa"/>
            <w:vAlign w:val="center"/>
          </w:tcPr>
          <w:p>
            <w:pPr>
              <w:pStyle w:val="40"/>
              <w:jc w:val="both"/>
            </w:pPr>
            <w:r>
              <w:rPr>
                <w:rFonts w:hint="eastAsia"/>
              </w:rPr>
              <w:t>限制</w:t>
            </w:r>
            <w:r>
              <w:t>开发区域（</w:t>
            </w:r>
            <w:r>
              <w:rPr>
                <w:rFonts w:hint="eastAsia"/>
              </w:rPr>
              <w:t>重点</w:t>
            </w:r>
            <w:r>
              <w:t>生态功能区）</w:t>
            </w:r>
            <w:r>
              <w:rPr>
                <w:rFonts w:hint="eastAsia"/>
              </w:rPr>
              <w:t>—秦巴</w:t>
            </w:r>
            <w:r>
              <w:t>生物多样性生态功能区——</w:t>
            </w:r>
            <w:r>
              <w:rPr>
                <w:rFonts w:hint="eastAsia"/>
              </w:rPr>
              <w:t>围绕特色农产品基地建设，加强茶叶、食用菌、林果、蚕桑、中药材、蔬菜、生猪等规模化种植养殖，推进标准化生产和精深加工。积极发展生态旅游、文化旅游和休闲观光游。</w:t>
            </w:r>
          </w:p>
        </w:tc>
        <w:tc>
          <w:tcPr>
            <w:tcW w:w="3582" w:type="dxa"/>
            <w:vAlign w:val="center"/>
          </w:tcPr>
          <w:p>
            <w:pPr>
              <w:pStyle w:val="40"/>
              <w:jc w:val="both"/>
            </w:pPr>
            <w:r>
              <w:rPr>
                <w:rFonts w:hint="eastAsia"/>
              </w:rPr>
              <w:t>本项目</w:t>
            </w:r>
            <w:r>
              <w:t>位于旬阳市关口镇关坪村，</w:t>
            </w:r>
            <w:r>
              <w:rPr>
                <w:rFonts w:hint="eastAsia"/>
              </w:rPr>
              <w:t>项目</w:t>
            </w:r>
            <w:r>
              <w:t>所在地属于限制开发区，</w:t>
            </w:r>
            <w:r>
              <w:rPr>
                <w:rFonts w:hint="eastAsia"/>
              </w:rPr>
              <w:t>项目</w:t>
            </w:r>
            <w:r>
              <w:t>属于生猪规模化养殖项目</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numPr>
                <w:ilvl w:val="0"/>
                <w:numId w:val="3"/>
              </w:numPr>
            </w:pPr>
          </w:p>
        </w:tc>
        <w:tc>
          <w:tcPr>
            <w:tcW w:w="2262" w:type="dxa"/>
            <w:vAlign w:val="center"/>
          </w:tcPr>
          <w:p>
            <w:pPr>
              <w:pStyle w:val="40"/>
              <w:jc w:val="both"/>
              <w:rPr>
                <w:szCs w:val="21"/>
              </w:rPr>
            </w:pPr>
            <w:r>
              <w:rPr>
                <w:rFonts w:hint="eastAsia"/>
                <w:szCs w:val="21"/>
              </w:rPr>
              <w:t>《陕西省</w:t>
            </w:r>
            <w:r>
              <w:rPr>
                <w:szCs w:val="21"/>
              </w:rPr>
              <w:t>生态功能区划</w:t>
            </w:r>
            <w:r>
              <w:rPr>
                <w:rFonts w:hint="eastAsia"/>
                <w:szCs w:val="21"/>
              </w:rPr>
              <w:t>》（陕政办发[2004] 115号）</w:t>
            </w:r>
          </w:p>
        </w:tc>
        <w:tc>
          <w:tcPr>
            <w:tcW w:w="10973" w:type="dxa"/>
            <w:gridSpan w:val="3"/>
            <w:vAlign w:val="center"/>
          </w:tcPr>
          <w:p>
            <w:pPr>
              <w:pStyle w:val="40"/>
            </w:pPr>
            <w:r>
              <w:rPr>
                <w:rFonts w:hint="eastAsia"/>
              </w:rPr>
              <w:t>本项目</w:t>
            </w:r>
            <w:r>
              <w:t>位于旬阳市关口镇关坪村，</w:t>
            </w:r>
            <w:r>
              <w:rPr>
                <w:rFonts w:hint="eastAsia"/>
              </w:rPr>
              <w:t>一级生态功能区划属于秦巴山地落叶阔叶、常绿阔叶混交林生态区（四）；二级区划分属于汉江两岸丘陵盆地农业生态业区（九）；三级区划属于汉江两岸低山丘陵土壤侵蚀控制区（</w:t>
            </w:r>
            <w:r>
              <w:t>31</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Align w:val="center"/>
          </w:tcPr>
          <w:p>
            <w:pPr>
              <w:pStyle w:val="40"/>
              <w:numPr>
                <w:ilvl w:val="0"/>
                <w:numId w:val="3"/>
              </w:numPr>
            </w:pPr>
          </w:p>
        </w:tc>
        <w:tc>
          <w:tcPr>
            <w:tcW w:w="2262" w:type="dxa"/>
            <w:vAlign w:val="center"/>
          </w:tcPr>
          <w:p>
            <w:pPr>
              <w:pStyle w:val="40"/>
              <w:jc w:val="both"/>
              <w:rPr>
                <w:szCs w:val="21"/>
              </w:rPr>
            </w:pPr>
            <w:r>
              <w:rPr>
                <w:rFonts w:hint="eastAsia"/>
                <w:szCs w:val="21"/>
              </w:rPr>
              <w:t>《安康市</w:t>
            </w:r>
            <w:r>
              <w:rPr>
                <w:szCs w:val="21"/>
              </w:rPr>
              <w:t>汉江流域水质保护条例</w:t>
            </w:r>
            <w:r>
              <w:rPr>
                <w:rFonts w:hint="eastAsia"/>
                <w:szCs w:val="21"/>
              </w:rPr>
              <w:t>》</w:t>
            </w:r>
          </w:p>
        </w:tc>
        <w:tc>
          <w:tcPr>
            <w:tcW w:w="6488" w:type="dxa"/>
            <w:vAlign w:val="center"/>
          </w:tcPr>
          <w:p>
            <w:pPr>
              <w:pStyle w:val="40"/>
              <w:jc w:val="both"/>
            </w:pPr>
            <w:r>
              <w:rPr>
                <w:rFonts w:hint="eastAsia"/>
              </w:rPr>
              <w:t>第三十条 市、县（区）生态环境主管部门应当会同农业农村主管部门依法编制畜禽养殖污染防治规划，加强对规模化畜禽养殖场和养殖小区的监督管理。规模化畜禽养殖场和养殖小区应当做好水污染防治工作，对产生的畜禽养殖废弃物做好综合利用和进行无害化处理。</w:t>
            </w:r>
          </w:p>
        </w:tc>
        <w:tc>
          <w:tcPr>
            <w:tcW w:w="3582" w:type="dxa"/>
            <w:vAlign w:val="center"/>
          </w:tcPr>
          <w:p>
            <w:pPr>
              <w:pStyle w:val="40"/>
              <w:jc w:val="both"/>
            </w:pPr>
            <w:r>
              <w:rPr>
                <w:rFonts w:hint="eastAsia"/>
              </w:rPr>
              <w:t>项目</w:t>
            </w:r>
            <w:r>
              <w:t>废水进入厌氧发酵池处理后作为肥料</w:t>
            </w:r>
            <w:r>
              <w:rPr>
                <w:rFonts w:hint="eastAsia"/>
              </w:rPr>
              <w:t>用于</w:t>
            </w:r>
            <w:r>
              <w:t>种植的魔芋，特色</w:t>
            </w:r>
            <w:r>
              <w:rPr>
                <w:rFonts w:hint="eastAsia"/>
              </w:rPr>
              <w:t>林</w:t>
            </w:r>
            <w:r>
              <w:t>果的施肥还田，</w:t>
            </w:r>
            <w:r>
              <w:rPr>
                <w:rFonts w:hint="eastAsia"/>
              </w:rPr>
              <w:t>猪粪</w:t>
            </w:r>
            <w:r>
              <w:t>外售有机肥厂作为原料，</w:t>
            </w:r>
            <w:r>
              <w:rPr>
                <w:rFonts w:hint="eastAsia"/>
              </w:rPr>
              <w:t>畜禽养殖废弃物均得到了综合利用和进行无害化处理。</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Merge w:val="restart"/>
            <w:vAlign w:val="center"/>
          </w:tcPr>
          <w:p>
            <w:pPr>
              <w:pStyle w:val="40"/>
              <w:numPr>
                <w:ilvl w:val="0"/>
                <w:numId w:val="3"/>
              </w:numPr>
            </w:pPr>
          </w:p>
        </w:tc>
        <w:tc>
          <w:tcPr>
            <w:tcW w:w="2262" w:type="dxa"/>
            <w:vMerge w:val="restart"/>
            <w:vAlign w:val="center"/>
          </w:tcPr>
          <w:p>
            <w:pPr>
              <w:pStyle w:val="40"/>
              <w:jc w:val="both"/>
              <w:rPr>
                <w:szCs w:val="21"/>
              </w:rPr>
            </w:pPr>
            <w:r>
              <w:rPr>
                <w:rFonts w:hint="eastAsia"/>
                <w:szCs w:val="21"/>
              </w:rPr>
              <w:t>《安康市</w:t>
            </w:r>
            <w:r>
              <w:rPr>
                <w:szCs w:val="21"/>
              </w:rPr>
              <w:t>十四五生态环境保护规划</w:t>
            </w:r>
            <w:r>
              <w:rPr>
                <w:rFonts w:hint="eastAsia"/>
                <w:szCs w:val="21"/>
              </w:rPr>
              <w:t>》（安</w:t>
            </w:r>
            <w:r>
              <w:rPr>
                <w:szCs w:val="21"/>
              </w:rPr>
              <w:t>政办发</w:t>
            </w:r>
            <w:r>
              <w:rPr>
                <w:rFonts w:hint="eastAsia"/>
                <w:szCs w:val="21"/>
              </w:rPr>
              <w:t>[</w:t>
            </w:r>
            <w:r>
              <w:rPr>
                <w:szCs w:val="21"/>
              </w:rPr>
              <w:t>2021</w:t>
            </w:r>
            <w:r>
              <w:rPr>
                <w:rFonts w:hint="eastAsia"/>
                <w:szCs w:val="21"/>
              </w:rPr>
              <w:t>]</w:t>
            </w:r>
            <w:r>
              <w:rPr>
                <w:szCs w:val="21"/>
              </w:rPr>
              <w:t>33</w:t>
            </w:r>
            <w:r>
              <w:rPr>
                <w:rFonts w:hint="eastAsia"/>
                <w:szCs w:val="21"/>
              </w:rPr>
              <w:t>号）</w:t>
            </w:r>
          </w:p>
        </w:tc>
        <w:tc>
          <w:tcPr>
            <w:tcW w:w="6488" w:type="dxa"/>
            <w:vAlign w:val="center"/>
          </w:tcPr>
          <w:p>
            <w:pPr>
              <w:pStyle w:val="40"/>
              <w:jc w:val="both"/>
            </w:pPr>
            <w:r>
              <w:rPr>
                <w:rFonts w:hint="eastAsia"/>
              </w:rPr>
              <w:t>推动大气氨排放控制。落实大气氨排放清单，摸清大气氨重点排放源。推进养殖业、种植业大气氨减排，优化肥料、饲料结构，加强源头防控。提高化肥利用效率，开展化肥减量增效试点。构建种养结合紧密、农牧循环利用的可持续发展新格局，畜禽粪污综合利用水平得到有效提升，持续减少养殖环节氨放。</w:t>
            </w:r>
          </w:p>
        </w:tc>
        <w:tc>
          <w:tcPr>
            <w:tcW w:w="3582" w:type="dxa"/>
            <w:vAlign w:val="center"/>
          </w:tcPr>
          <w:p>
            <w:pPr>
              <w:pStyle w:val="40"/>
              <w:jc w:val="both"/>
            </w:pPr>
            <w:r>
              <w:rPr>
                <w:rFonts w:hint="eastAsia"/>
              </w:rPr>
              <w:t>本项目</w:t>
            </w:r>
            <w:r>
              <w:t>通过</w:t>
            </w:r>
            <w:r>
              <w:rPr>
                <w:rFonts w:hint="eastAsia"/>
              </w:rPr>
              <w:t>优化养殖，饲料中添加抑制剂，干清粪工艺，喷洒除臭剂，加强通风等</w:t>
            </w:r>
            <w:r>
              <w:t>措施，实现了</w:t>
            </w:r>
            <w:r>
              <w:rPr>
                <w:rFonts w:hint="eastAsia"/>
              </w:rPr>
              <w:t>氨</w:t>
            </w:r>
            <w:r>
              <w:t>的源头防控及减排，项目采用种养结合</w:t>
            </w:r>
            <w:r>
              <w:rPr>
                <w:rFonts w:hint="eastAsia"/>
              </w:rPr>
              <w:t>模式</w:t>
            </w:r>
            <w:r>
              <w:t>，</w:t>
            </w:r>
            <w:r>
              <w:rPr>
                <w:rFonts w:hint="eastAsia"/>
              </w:rPr>
              <w:t>畜禽</w:t>
            </w:r>
            <w:r>
              <w:t>粪污</w:t>
            </w:r>
            <w:r>
              <w:rPr>
                <w:rFonts w:hint="eastAsia"/>
              </w:rPr>
              <w:t>用于</w:t>
            </w:r>
            <w:r>
              <w:t>魔芋、特色</w:t>
            </w:r>
            <w:r>
              <w:rPr>
                <w:rFonts w:hint="eastAsia"/>
              </w:rPr>
              <w:t>林</w:t>
            </w:r>
            <w:r>
              <w:t>果</w:t>
            </w:r>
            <w:r>
              <w:rPr>
                <w:rFonts w:hint="eastAsia"/>
              </w:rPr>
              <w:t>种植施肥</w:t>
            </w:r>
            <w:r>
              <w:t>，</w:t>
            </w:r>
            <w:r>
              <w:rPr>
                <w:rFonts w:hint="eastAsia"/>
              </w:rPr>
              <w:t>畜禽</w:t>
            </w:r>
            <w:r>
              <w:t>粪污综合利用</w:t>
            </w:r>
            <w:r>
              <w:rPr>
                <w:rFonts w:hint="eastAsia"/>
              </w:rPr>
              <w:t>得到</w:t>
            </w:r>
            <w:r>
              <w:t>有效提升</w:t>
            </w:r>
            <w:r>
              <w:rPr>
                <w:rFonts w:hint="eastAsia"/>
              </w:rP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Merge w:val="continue"/>
            <w:vAlign w:val="center"/>
          </w:tcPr>
          <w:p>
            <w:pPr>
              <w:pStyle w:val="40"/>
              <w:numPr>
                <w:ilvl w:val="0"/>
                <w:numId w:val="3"/>
              </w:numPr>
            </w:pPr>
          </w:p>
        </w:tc>
        <w:tc>
          <w:tcPr>
            <w:tcW w:w="2262" w:type="dxa"/>
            <w:vMerge w:val="continue"/>
            <w:vAlign w:val="center"/>
          </w:tcPr>
          <w:p>
            <w:pPr>
              <w:pStyle w:val="40"/>
              <w:jc w:val="both"/>
              <w:rPr>
                <w:szCs w:val="21"/>
              </w:rPr>
            </w:pPr>
          </w:p>
        </w:tc>
        <w:tc>
          <w:tcPr>
            <w:tcW w:w="6488" w:type="dxa"/>
            <w:vAlign w:val="center"/>
          </w:tcPr>
          <w:p>
            <w:pPr>
              <w:pStyle w:val="40"/>
              <w:jc w:val="both"/>
            </w:pPr>
            <w:r>
              <w:rPr>
                <w:rFonts w:hint="eastAsia"/>
              </w:rPr>
              <w:t>强化农业源污水管控。持续推进农业源污染控制，对汉江和汇入富营养化湖库的河流实施总氮总磷排放控制。畜禽养殖场实施雨污分流、粪便污水资源化利用。</w:t>
            </w:r>
          </w:p>
        </w:tc>
        <w:tc>
          <w:tcPr>
            <w:tcW w:w="3582" w:type="dxa"/>
            <w:vAlign w:val="center"/>
          </w:tcPr>
          <w:p>
            <w:pPr>
              <w:pStyle w:val="40"/>
              <w:jc w:val="both"/>
            </w:pPr>
            <w:r>
              <w:rPr>
                <w:rFonts w:hint="eastAsia"/>
              </w:rPr>
              <w:t>本项目实施雨污分流、粪便污水施肥</w:t>
            </w:r>
            <w:r>
              <w:t>还田资源化利用，无</w:t>
            </w:r>
            <w:r>
              <w:rPr>
                <w:rFonts w:hint="eastAsia"/>
              </w:rPr>
              <w:t>污水</w:t>
            </w:r>
            <w:r>
              <w:t>外排</w:t>
            </w:r>
            <w:r>
              <w:rPr>
                <w:rFonts w:hint="eastAsia"/>
              </w:rPr>
              <w:t>。</w:t>
            </w:r>
          </w:p>
        </w:tc>
        <w:tc>
          <w:tcPr>
            <w:tcW w:w="903" w:type="dxa"/>
            <w:vAlign w:val="center"/>
          </w:tcPr>
          <w:p>
            <w:pPr>
              <w:pStyle w:val="4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3" w:type="dxa"/>
            <w:vMerge w:val="continue"/>
            <w:vAlign w:val="center"/>
          </w:tcPr>
          <w:p>
            <w:pPr>
              <w:pStyle w:val="40"/>
              <w:numPr>
                <w:ilvl w:val="0"/>
                <w:numId w:val="3"/>
              </w:numPr>
            </w:pPr>
          </w:p>
        </w:tc>
        <w:tc>
          <w:tcPr>
            <w:tcW w:w="2262" w:type="dxa"/>
            <w:vMerge w:val="continue"/>
            <w:vAlign w:val="center"/>
          </w:tcPr>
          <w:p>
            <w:pPr>
              <w:pStyle w:val="40"/>
              <w:jc w:val="both"/>
              <w:rPr>
                <w:szCs w:val="21"/>
              </w:rPr>
            </w:pPr>
          </w:p>
        </w:tc>
        <w:tc>
          <w:tcPr>
            <w:tcW w:w="6488" w:type="dxa"/>
            <w:vAlign w:val="center"/>
          </w:tcPr>
          <w:p>
            <w:pPr>
              <w:pStyle w:val="40"/>
              <w:jc w:val="both"/>
            </w:pPr>
            <w:r>
              <w:rPr>
                <w:rFonts w:hint="eastAsia"/>
              </w:rPr>
              <w:t>全面推进清洁健康养殖。实施县域畜禽养殖污染防治规划，改造完善粪污收集、处理、利用等设施配套，推动种养结合和粪污综合利用，规范畜禽养殖禁养区管理。大力推广畜禽粪污资源化利用技术，促进农牧结合和资源循环利用。到2025年，所有规模养殖场粪污处理设施装备全配套，畜禽粪污综合利用率达到85%以上</w:t>
            </w:r>
          </w:p>
        </w:tc>
        <w:tc>
          <w:tcPr>
            <w:tcW w:w="3582" w:type="dxa"/>
            <w:vAlign w:val="center"/>
          </w:tcPr>
          <w:p>
            <w:pPr>
              <w:pStyle w:val="40"/>
              <w:jc w:val="both"/>
            </w:pPr>
            <w:r>
              <w:rPr>
                <w:rFonts w:hint="eastAsia"/>
              </w:rPr>
              <w:t>项目</w:t>
            </w:r>
            <w:r>
              <w:t>采用</w:t>
            </w:r>
            <w:r>
              <w:rPr>
                <w:rFonts w:hint="eastAsia"/>
              </w:rPr>
              <w:t>干清粪工艺，采用</w:t>
            </w:r>
            <w:r>
              <w:t>种养结合方式，粪污</w:t>
            </w:r>
            <w:r>
              <w:rPr>
                <w:rFonts w:hint="eastAsia"/>
              </w:rPr>
              <w:t>废水</w:t>
            </w:r>
            <w:r>
              <w:t>经厌氧发酵池处理后</w:t>
            </w:r>
            <w:r>
              <w:rPr>
                <w:rFonts w:hint="eastAsia"/>
              </w:rPr>
              <w:t>综合</w:t>
            </w:r>
            <w:r>
              <w:t>利用</w:t>
            </w:r>
            <w:r>
              <w:rPr>
                <w:rFonts w:hint="eastAsia"/>
              </w:rPr>
              <w:t>用于</w:t>
            </w:r>
            <w:r>
              <w:t>魔芋、特色林果</w:t>
            </w:r>
            <w:r>
              <w:rPr>
                <w:rFonts w:hint="eastAsia"/>
              </w:rPr>
              <w:t>的</w:t>
            </w:r>
            <w:r>
              <w:t>施肥</w:t>
            </w:r>
          </w:p>
        </w:tc>
        <w:tc>
          <w:tcPr>
            <w:tcW w:w="903" w:type="dxa"/>
            <w:vAlign w:val="center"/>
          </w:tcPr>
          <w:p>
            <w:pPr>
              <w:pStyle w:val="40"/>
            </w:pPr>
            <w:r>
              <w:rPr>
                <w:rFonts w:hint="eastAsia"/>
              </w:rPr>
              <w:t>符合</w:t>
            </w:r>
          </w:p>
        </w:tc>
      </w:tr>
    </w:tbl>
    <w:p>
      <w:pPr>
        <w:pStyle w:val="4"/>
      </w:pPr>
      <w:r>
        <w:rPr>
          <w:rFonts w:hint="eastAsia"/>
        </w:rPr>
        <w:t>“三线</w:t>
      </w:r>
      <w:r>
        <w:t>一单</w:t>
      </w:r>
      <w:r>
        <w:rPr>
          <w:rFonts w:hint="eastAsia"/>
        </w:rPr>
        <w:t>”符合性分析</w:t>
      </w:r>
    </w:p>
    <w:p>
      <w:pPr>
        <w:ind w:firstLine="480"/>
      </w:pPr>
      <w:r>
        <w:rPr>
          <w:rFonts w:hint="eastAsia"/>
        </w:rPr>
        <w:t>项目“三线</w:t>
      </w:r>
      <w:r>
        <w:t>一单</w:t>
      </w:r>
      <w:r>
        <w:rPr>
          <w:rFonts w:hint="eastAsia"/>
        </w:rPr>
        <w:t>”符合性</w:t>
      </w:r>
      <w:r>
        <w:t>分析见表</w:t>
      </w:r>
      <w:r>
        <w:rPr>
          <w:rFonts w:hint="eastAsia"/>
        </w:rPr>
        <w:t>1.2-5。</w:t>
      </w:r>
    </w:p>
    <w:p>
      <w:pPr>
        <w:pStyle w:val="85"/>
      </w:pPr>
    </w:p>
    <w:p>
      <w:pPr>
        <w:pStyle w:val="85"/>
      </w:pPr>
    </w:p>
    <w:p>
      <w:pPr>
        <w:pStyle w:val="85"/>
      </w:pPr>
    </w:p>
    <w:p>
      <w:pPr>
        <w:pStyle w:val="85"/>
      </w:pPr>
      <w:r>
        <w:rPr>
          <w:rFonts w:hint="eastAsia"/>
        </w:rPr>
        <w:t>表1.2-5  项目</w:t>
      </w:r>
      <w:r>
        <w:t>“</w:t>
      </w:r>
      <w:r>
        <w:rPr>
          <w:rFonts w:hint="eastAsia"/>
        </w:rPr>
        <w:t>三线</w:t>
      </w:r>
      <w:r>
        <w:t>一单”</w:t>
      </w:r>
      <w:r>
        <w:rPr>
          <w:rFonts w:hint="eastAsia"/>
        </w:rPr>
        <w:t>符合性</w:t>
      </w:r>
      <w:r>
        <w:t>分析</w:t>
      </w:r>
    </w:p>
    <w:tbl>
      <w:tblPr>
        <w:tblStyle w:val="27"/>
        <w:tblW w:w="13978"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705"/>
        <w:gridCol w:w="1266"/>
        <w:gridCol w:w="707"/>
        <w:gridCol w:w="7657"/>
        <w:gridCol w:w="2835"/>
        <w:gridCol w:w="80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blHeader/>
          <w:jc w:val="center"/>
        </w:trPr>
        <w:tc>
          <w:tcPr>
            <w:tcW w:w="705" w:type="dxa"/>
            <w:vAlign w:val="center"/>
          </w:tcPr>
          <w:p>
            <w:pPr>
              <w:widowControl/>
              <w:spacing w:line="320" w:lineRule="atLeast"/>
              <w:ind w:firstLine="0" w:firstLineChars="0"/>
              <w:jc w:val="center"/>
              <w:rPr>
                <w:kern w:val="0"/>
                <w:sz w:val="21"/>
                <w:szCs w:val="21"/>
                <w:lang w:bidi="en-US"/>
              </w:rPr>
            </w:pPr>
            <w:r>
              <w:rPr>
                <w:kern w:val="0"/>
                <w:sz w:val="21"/>
                <w:szCs w:val="21"/>
                <w:lang w:bidi="en-US"/>
              </w:rPr>
              <w:t>序号</w:t>
            </w:r>
          </w:p>
        </w:tc>
        <w:tc>
          <w:tcPr>
            <w:tcW w:w="1266" w:type="dxa"/>
            <w:vAlign w:val="center"/>
          </w:tcPr>
          <w:p>
            <w:pPr>
              <w:widowControl/>
              <w:spacing w:line="320" w:lineRule="atLeast"/>
              <w:ind w:firstLine="0" w:firstLineChars="0"/>
              <w:jc w:val="center"/>
              <w:rPr>
                <w:kern w:val="0"/>
                <w:sz w:val="21"/>
                <w:szCs w:val="21"/>
                <w:lang w:bidi="en-US"/>
              </w:rPr>
            </w:pPr>
            <w:r>
              <w:rPr>
                <w:kern w:val="0"/>
                <w:sz w:val="21"/>
                <w:szCs w:val="21"/>
                <w:lang w:bidi="en-US"/>
              </w:rPr>
              <w:t>名称</w:t>
            </w:r>
          </w:p>
        </w:tc>
        <w:tc>
          <w:tcPr>
            <w:tcW w:w="8364" w:type="dxa"/>
            <w:gridSpan w:val="2"/>
            <w:vAlign w:val="center"/>
          </w:tcPr>
          <w:p>
            <w:pPr>
              <w:widowControl/>
              <w:spacing w:line="320" w:lineRule="atLeast"/>
              <w:ind w:firstLine="0" w:firstLineChars="0"/>
              <w:jc w:val="center"/>
              <w:rPr>
                <w:kern w:val="0"/>
                <w:sz w:val="21"/>
                <w:szCs w:val="21"/>
                <w:lang w:bidi="en-US"/>
              </w:rPr>
            </w:pPr>
            <w:r>
              <w:rPr>
                <w:kern w:val="0"/>
                <w:sz w:val="21"/>
                <w:szCs w:val="21"/>
                <w:lang w:bidi="en-US"/>
              </w:rPr>
              <w:t>要求</w:t>
            </w:r>
          </w:p>
        </w:tc>
        <w:tc>
          <w:tcPr>
            <w:tcW w:w="2835" w:type="dxa"/>
            <w:vAlign w:val="center"/>
          </w:tcPr>
          <w:p>
            <w:pPr>
              <w:widowControl/>
              <w:spacing w:line="320" w:lineRule="atLeast"/>
              <w:ind w:firstLine="0" w:firstLineChars="0"/>
              <w:jc w:val="center"/>
              <w:rPr>
                <w:kern w:val="0"/>
                <w:sz w:val="21"/>
                <w:szCs w:val="21"/>
                <w:lang w:bidi="en-US"/>
              </w:rPr>
            </w:pPr>
            <w:r>
              <w:rPr>
                <w:kern w:val="0"/>
                <w:sz w:val="21"/>
                <w:szCs w:val="21"/>
                <w:lang w:bidi="en-US"/>
              </w:rPr>
              <w:t>本项目情况</w:t>
            </w:r>
          </w:p>
        </w:tc>
        <w:tc>
          <w:tcPr>
            <w:tcW w:w="808" w:type="dxa"/>
            <w:vAlign w:val="center"/>
          </w:tcPr>
          <w:p>
            <w:pPr>
              <w:widowControl/>
              <w:spacing w:line="320" w:lineRule="atLeast"/>
              <w:ind w:firstLine="0" w:firstLineChars="0"/>
              <w:jc w:val="center"/>
              <w:rPr>
                <w:kern w:val="0"/>
                <w:sz w:val="21"/>
                <w:szCs w:val="21"/>
                <w:lang w:bidi="en-US"/>
              </w:rPr>
            </w:pPr>
            <w:r>
              <w:rPr>
                <w:kern w:val="0"/>
                <w:sz w:val="21"/>
                <w:szCs w:val="21"/>
                <w:lang w:bidi="en-US"/>
              </w:rPr>
              <w:t>符合性</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restart"/>
            <w:vAlign w:val="center"/>
          </w:tcPr>
          <w:p>
            <w:pPr>
              <w:widowControl/>
              <w:spacing w:line="320" w:lineRule="atLeast"/>
              <w:ind w:firstLine="0" w:firstLineChars="0"/>
              <w:jc w:val="center"/>
              <w:rPr>
                <w:kern w:val="0"/>
                <w:sz w:val="21"/>
                <w:szCs w:val="21"/>
                <w:lang w:bidi="en-US"/>
              </w:rPr>
            </w:pPr>
            <w:r>
              <w:rPr>
                <w:kern w:val="0"/>
                <w:sz w:val="21"/>
                <w:szCs w:val="21"/>
                <w:lang w:bidi="en-US"/>
              </w:rPr>
              <w:t>1</w:t>
            </w:r>
          </w:p>
        </w:tc>
        <w:tc>
          <w:tcPr>
            <w:tcW w:w="1266" w:type="dxa"/>
            <w:vMerge w:val="restart"/>
            <w:vAlign w:val="center"/>
          </w:tcPr>
          <w:p>
            <w:pPr>
              <w:widowControl/>
              <w:adjustRightInd/>
              <w:snapToGrid/>
              <w:spacing w:line="240" w:lineRule="auto"/>
              <w:ind w:firstLine="0" w:firstLineChars="0"/>
              <w:jc w:val="center"/>
              <w:rPr>
                <w:kern w:val="0"/>
                <w:szCs w:val="24"/>
              </w:rPr>
            </w:pPr>
            <w:r>
              <w:rPr>
                <w:kern w:val="0"/>
                <w:sz w:val="21"/>
                <w:szCs w:val="21"/>
              </w:rPr>
              <w:t>《陕西省人民政府关于加快实施“三线一单”生态环境分区管控的意见》 （陕政发〔2020〕11 号）</w:t>
            </w:r>
          </w:p>
        </w:tc>
        <w:tc>
          <w:tcPr>
            <w:tcW w:w="707" w:type="dxa"/>
            <w:vAlign w:val="center"/>
          </w:tcPr>
          <w:p>
            <w:pPr>
              <w:widowControl/>
              <w:spacing w:line="320" w:lineRule="atLeast"/>
              <w:ind w:firstLine="0" w:firstLineChars="0"/>
              <w:jc w:val="center"/>
              <w:rPr>
                <w:kern w:val="0"/>
                <w:szCs w:val="24"/>
              </w:rPr>
            </w:pPr>
            <w:r>
              <w:rPr>
                <w:sz w:val="21"/>
                <w:szCs w:val="21"/>
              </w:rPr>
              <w:t>优先保护单元</w:t>
            </w:r>
          </w:p>
        </w:tc>
        <w:tc>
          <w:tcPr>
            <w:tcW w:w="7657" w:type="dxa"/>
            <w:vAlign w:val="center"/>
          </w:tcPr>
          <w:p>
            <w:pPr>
              <w:widowControl/>
              <w:adjustRightInd/>
              <w:snapToGrid/>
              <w:spacing w:line="240" w:lineRule="auto"/>
              <w:ind w:firstLine="0" w:firstLineChars="0"/>
              <w:rPr>
                <w:kern w:val="0"/>
                <w:szCs w:val="24"/>
              </w:rPr>
            </w:pPr>
            <w:r>
              <w:rPr>
                <w:kern w:val="0"/>
                <w:sz w:val="21"/>
                <w:szCs w:val="21"/>
              </w:rPr>
              <w:t>指以生态环境保护为主的区域，主要包括生态保护红线、自然保护地、集中式饮用水水源保护区等生态功能重要区、生态环境敏感区。全省划分优先保护单元895个，面积8.47万km</w:t>
            </w:r>
            <w:r>
              <w:rPr>
                <w:kern w:val="0"/>
                <w:sz w:val="21"/>
                <w:szCs w:val="21"/>
                <w:vertAlign w:val="superscript"/>
              </w:rPr>
              <w:t>2</w:t>
            </w:r>
            <w:r>
              <w:rPr>
                <w:kern w:val="0"/>
                <w:sz w:val="21"/>
                <w:szCs w:val="21"/>
              </w:rPr>
              <w:t xml:space="preserve">，占全省国土面积的41.2%，主要分布在秦巴山区、黄河流域重点生态功能区等。 </w:t>
            </w:r>
          </w:p>
          <w:p>
            <w:pPr>
              <w:widowControl/>
              <w:adjustRightInd/>
              <w:snapToGrid/>
              <w:spacing w:line="240" w:lineRule="auto"/>
              <w:ind w:firstLine="0" w:firstLineChars="0"/>
              <w:rPr>
                <w:kern w:val="0"/>
                <w:szCs w:val="24"/>
              </w:rPr>
            </w:pPr>
            <w:r>
              <w:rPr>
                <w:kern w:val="0"/>
                <w:sz w:val="21"/>
                <w:szCs w:val="21"/>
              </w:rPr>
              <w:t>要求：优先保护单元以生态优先为原则，突出空间布局约束，依法禁止或限制大规模、高强度工业开发和城镇建设活动，开展生态功能受损区域生态保护修复活动，确保重要生态环境功能不降低。</w:t>
            </w:r>
          </w:p>
        </w:tc>
        <w:tc>
          <w:tcPr>
            <w:tcW w:w="2835" w:type="dxa"/>
            <w:vMerge w:val="restart"/>
            <w:vAlign w:val="center"/>
          </w:tcPr>
          <w:p>
            <w:pPr>
              <w:widowControl/>
              <w:adjustRightInd/>
              <w:snapToGrid/>
              <w:spacing w:line="240" w:lineRule="auto"/>
              <w:ind w:firstLine="0" w:firstLineChars="0"/>
              <w:jc w:val="left"/>
              <w:rPr>
                <w:kern w:val="0"/>
                <w:szCs w:val="24"/>
              </w:rPr>
            </w:pPr>
            <w:r>
              <w:rPr>
                <w:kern w:val="0"/>
                <w:sz w:val="21"/>
                <w:szCs w:val="21"/>
              </w:rPr>
              <w:t>本项目位于</w:t>
            </w:r>
            <w:r>
              <w:rPr>
                <w:rFonts w:hint="eastAsia"/>
                <w:kern w:val="0"/>
                <w:sz w:val="21"/>
                <w:szCs w:val="21"/>
              </w:rPr>
              <w:t>旬阳市</w:t>
            </w:r>
            <w:r>
              <w:rPr>
                <w:kern w:val="0"/>
                <w:sz w:val="21"/>
                <w:szCs w:val="21"/>
              </w:rPr>
              <w:t xml:space="preserve">关口镇关坪村，对照《陕西省生态环境管控单元分布图》，本项目所处区域属于一般管控单元。 </w:t>
            </w:r>
          </w:p>
          <w:p>
            <w:pPr>
              <w:widowControl/>
              <w:adjustRightInd/>
              <w:snapToGrid/>
              <w:spacing w:line="240" w:lineRule="auto"/>
              <w:ind w:firstLine="0" w:firstLineChars="0"/>
              <w:jc w:val="left"/>
              <w:rPr>
                <w:kern w:val="0"/>
                <w:szCs w:val="24"/>
                <w:highlight w:val="yellow"/>
              </w:rPr>
            </w:pPr>
          </w:p>
        </w:tc>
        <w:tc>
          <w:tcPr>
            <w:tcW w:w="808" w:type="dxa"/>
            <w:vMerge w:val="restart"/>
            <w:vAlign w:val="center"/>
          </w:tcPr>
          <w:p>
            <w:pPr>
              <w:widowControl/>
              <w:spacing w:line="320" w:lineRule="atLeast"/>
              <w:ind w:firstLine="0" w:firstLineChars="0"/>
              <w:jc w:val="center"/>
              <w:rPr>
                <w:kern w:val="0"/>
                <w:sz w:val="21"/>
                <w:szCs w:val="21"/>
                <w:lang w:bidi="en-US"/>
              </w:rPr>
            </w:pPr>
            <w:r>
              <w:rPr>
                <w:kern w:val="0"/>
                <w:sz w:val="21"/>
                <w:szCs w:val="21"/>
                <w:lang w:bidi="en-US"/>
              </w:rPr>
              <w:t>符合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continue"/>
            <w:vAlign w:val="center"/>
          </w:tcPr>
          <w:p>
            <w:pPr>
              <w:widowControl/>
              <w:spacing w:line="320" w:lineRule="atLeast"/>
              <w:ind w:firstLine="0" w:firstLineChars="0"/>
              <w:jc w:val="center"/>
              <w:rPr>
                <w:kern w:val="0"/>
                <w:sz w:val="21"/>
                <w:szCs w:val="21"/>
                <w:lang w:bidi="en-US"/>
              </w:rPr>
            </w:pPr>
          </w:p>
        </w:tc>
        <w:tc>
          <w:tcPr>
            <w:tcW w:w="1266" w:type="dxa"/>
            <w:vMerge w:val="continue"/>
            <w:vAlign w:val="center"/>
          </w:tcPr>
          <w:p>
            <w:pPr>
              <w:autoSpaceDE w:val="0"/>
              <w:autoSpaceDN w:val="0"/>
              <w:spacing w:line="320" w:lineRule="atLeast"/>
              <w:ind w:firstLine="0" w:firstLineChars="0"/>
              <w:jc w:val="center"/>
              <w:rPr>
                <w:kern w:val="0"/>
                <w:sz w:val="21"/>
                <w:szCs w:val="21"/>
              </w:rPr>
            </w:pPr>
          </w:p>
        </w:tc>
        <w:tc>
          <w:tcPr>
            <w:tcW w:w="707" w:type="dxa"/>
            <w:vAlign w:val="center"/>
          </w:tcPr>
          <w:p>
            <w:pPr>
              <w:widowControl/>
              <w:spacing w:line="320" w:lineRule="atLeast"/>
              <w:ind w:firstLine="0" w:firstLineChars="0"/>
              <w:jc w:val="center"/>
              <w:rPr>
                <w:kern w:val="0"/>
                <w:szCs w:val="24"/>
              </w:rPr>
            </w:pPr>
            <w:r>
              <w:rPr>
                <w:sz w:val="21"/>
                <w:szCs w:val="21"/>
              </w:rPr>
              <w:t>重点管控单元</w:t>
            </w:r>
          </w:p>
        </w:tc>
        <w:tc>
          <w:tcPr>
            <w:tcW w:w="7657" w:type="dxa"/>
            <w:vAlign w:val="center"/>
          </w:tcPr>
          <w:p>
            <w:pPr>
              <w:adjustRightInd/>
              <w:snapToGrid/>
              <w:spacing w:line="240" w:lineRule="auto"/>
              <w:ind w:firstLine="0" w:firstLineChars="0"/>
              <w:rPr>
                <w:kern w:val="0"/>
                <w:szCs w:val="24"/>
              </w:rPr>
            </w:pPr>
            <w:r>
              <w:rPr>
                <w:sz w:val="21"/>
                <w:szCs w:val="21"/>
              </w:rPr>
              <w:t>指涉及大气、水、土壤、自然资源等资源环境要素重点管控的区域，主要包括城</w:t>
            </w:r>
            <w:r>
              <w:rPr>
                <w:kern w:val="0"/>
                <w:sz w:val="21"/>
                <w:szCs w:val="21"/>
              </w:rPr>
              <w:t>镇规划区、重点开发区等开发强度高和污染物排放强度大的区域。全省划分重点管控单元406个，面积4.88万km</w:t>
            </w:r>
            <w:r>
              <w:rPr>
                <w:kern w:val="0"/>
                <w:sz w:val="21"/>
                <w:szCs w:val="21"/>
                <w:vertAlign w:val="superscript"/>
              </w:rPr>
              <w:t>2</w:t>
            </w:r>
            <w:r>
              <w:rPr>
                <w:kern w:val="0"/>
                <w:sz w:val="21"/>
                <w:szCs w:val="21"/>
              </w:rPr>
              <w:t xml:space="preserve">，占全省国土面积的23.72%，主要分布在关中平原、陕北能源重化工产业聚集区、陕南重点城镇区以及环境问题相对集中的区域。 </w:t>
            </w:r>
          </w:p>
          <w:p>
            <w:pPr>
              <w:widowControl/>
              <w:adjustRightInd/>
              <w:snapToGrid/>
              <w:spacing w:line="240" w:lineRule="auto"/>
              <w:ind w:firstLine="0" w:firstLineChars="0"/>
              <w:jc w:val="left"/>
              <w:rPr>
                <w:kern w:val="0"/>
                <w:szCs w:val="24"/>
              </w:rPr>
            </w:pPr>
            <w:r>
              <w:rPr>
                <w:kern w:val="0"/>
                <w:sz w:val="21"/>
                <w:szCs w:val="21"/>
              </w:rPr>
              <w:t>要求：重点管控单元以提升资源利用效率、加强污染物减排治理和环境风险防控为重点，解决突出生态环境问题。</w:t>
            </w:r>
          </w:p>
        </w:tc>
        <w:tc>
          <w:tcPr>
            <w:tcW w:w="2835" w:type="dxa"/>
            <w:vMerge w:val="continue"/>
            <w:vAlign w:val="center"/>
          </w:tcPr>
          <w:p>
            <w:pPr>
              <w:spacing w:line="320" w:lineRule="atLeast"/>
              <w:ind w:firstLine="0" w:firstLineChars="0"/>
              <w:rPr>
                <w:kern w:val="0"/>
                <w:szCs w:val="24"/>
                <w:highlight w:val="yellow"/>
              </w:rPr>
            </w:pPr>
          </w:p>
        </w:tc>
        <w:tc>
          <w:tcPr>
            <w:tcW w:w="808" w:type="dxa"/>
            <w:vMerge w:val="continue"/>
            <w:vAlign w:val="center"/>
          </w:tcPr>
          <w:p>
            <w:pPr>
              <w:widowControl/>
              <w:spacing w:line="320" w:lineRule="atLeast"/>
              <w:ind w:firstLine="0" w:firstLineChars="0"/>
              <w:jc w:val="center"/>
              <w:rPr>
                <w:kern w:val="0"/>
                <w:sz w:val="21"/>
                <w:szCs w:val="21"/>
                <w:lang w:bidi="en-US"/>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continue"/>
            <w:vAlign w:val="center"/>
          </w:tcPr>
          <w:p>
            <w:pPr>
              <w:widowControl/>
              <w:spacing w:line="320" w:lineRule="atLeast"/>
              <w:ind w:firstLine="0" w:firstLineChars="0"/>
              <w:jc w:val="center"/>
              <w:rPr>
                <w:kern w:val="0"/>
                <w:sz w:val="21"/>
                <w:szCs w:val="21"/>
                <w:lang w:bidi="en-US"/>
              </w:rPr>
            </w:pPr>
          </w:p>
        </w:tc>
        <w:tc>
          <w:tcPr>
            <w:tcW w:w="1266" w:type="dxa"/>
            <w:vMerge w:val="continue"/>
            <w:vAlign w:val="center"/>
          </w:tcPr>
          <w:p>
            <w:pPr>
              <w:autoSpaceDE w:val="0"/>
              <w:autoSpaceDN w:val="0"/>
              <w:spacing w:line="320" w:lineRule="atLeast"/>
              <w:ind w:firstLine="0" w:firstLineChars="0"/>
              <w:jc w:val="center"/>
              <w:rPr>
                <w:kern w:val="0"/>
                <w:sz w:val="21"/>
                <w:szCs w:val="21"/>
              </w:rPr>
            </w:pPr>
          </w:p>
        </w:tc>
        <w:tc>
          <w:tcPr>
            <w:tcW w:w="707" w:type="dxa"/>
            <w:vAlign w:val="center"/>
          </w:tcPr>
          <w:p>
            <w:pPr>
              <w:widowControl/>
              <w:spacing w:line="320" w:lineRule="atLeast"/>
              <w:ind w:firstLine="0" w:firstLineChars="0"/>
              <w:jc w:val="center"/>
              <w:rPr>
                <w:kern w:val="0"/>
                <w:szCs w:val="24"/>
              </w:rPr>
            </w:pPr>
            <w:r>
              <w:rPr>
                <w:sz w:val="21"/>
                <w:szCs w:val="21"/>
              </w:rPr>
              <w:t>一般管控单元</w:t>
            </w:r>
          </w:p>
        </w:tc>
        <w:tc>
          <w:tcPr>
            <w:tcW w:w="7657" w:type="dxa"/>
            <w:vAlign w:val="center"/>
          </w:tcPr>
          <w:p>
            <w:pPr>
              <w:widowControl/>
              <w:adjustRightInd/>
              <w:snapToGrid/>
              <w:spacing w:line="240" w:lineRule="auto"/>
              <w:ind w:firstLine="0" w:firstLineChars="0"/>
              <w:rPr>
                <w:kern w:val="0"/>
                <w:szCs w:val="24"/>
              </w:rPr>
            </w:pPr>
            <w:r>
              <w:rPr>
                <w:kern w:val="0"/>
                <w:sz w:val="21"/>
                <w:szCs w:val="21"/>
              </w:rPr>
              <w:t>指除优先保护单元、重点管控单元以外的其他区域。全省划分一般管控单元80个， 面积7.21万km</w:t>
            </w:r>
            <w:r>
              <w:rPr>
                <w:kern w:val="0"/>
                <w:sz w:val="21"/>
                <w:szCs w:val="21"/>
                <w:vertAlign w:val="superscript"/>
              </w:rPr>
              <w:t>2</w:t>
            </w:r>
            <w:r>
              <w:rPr>
                <w:kern w:val="0"/>
                <w:sz w:val="21"/>
                <w:szCs w:val="21"/>
              </w:rPr>
              <w:t xml:space="preserve">，占全省国土面积的35.08%。 </w:t>
            </w:r>
          </w:p>
          <w:p>
            <w:pPr>
              <w:widowControl/>
              <w:spacing w:line="320" w:lineRule="atLeast"/>
              <w:ind w:firstLine="0" w:firstLineChars="0"/>
              <w:rPr>
                <w:kern w:val="0"/>
                <w:szCs w:val="24"/>
              </w:rPr>
            </w:pPr>
            <w:r>
              <w:rPr>
                <w:kern w:val="0"/>
                <w:sz w:val="21"/>
                <w:szCs w:val="21"/>
              </w:rPr>
              <w:t>要求：一般管控单元主要落实生态环境保护基本要求。</w:t>
            </w:r>
          </w:p>
        </w:tc>
        <w:tc>
          <w:tcPr>
            <w:tcW w:w="2835" w:type="dxa"/>
            <w:vMerge w:val="continue"/>
            <w:vAlign w:val="center"/>
          </w:tcPr>
          <w:p>
            <w:pPr>
              <w:widowControl/>
              <w:spacing w:line="320" w:lineRule="atLeast"/>
              <w:ind w:firstLine="0" w:firstLineChars="0"/>
              <w:rPr>
                <w:kern w:val="0"/>
                <w:sz w:val="21"/>
                <w:szCs w:val="21"/>
                <w:highlight w:val="yellow"/>
                <w:lang w:bidi="en-US"/>
              </w:rPr>
            </w:pPr>
          </w:p>
        </w:tc>
        <w:tc>
          <w:tcPr>
            <w:tcW w:w="808" w:type="dxa"/>
            <w:vMerge w:val="continue"/>
            <w:vAlign w:val="center"/>
          </w:tcPr>
          <w:p>
            <w:pPr>
              <w:widowControl/>
              <w:spacing w:line="320" w:lineRule="atLeast"/>
              <w:ind w:firstLine="0" w:firstLineChars="0"/>
              <w:jc w:val="center"/>
              <w:rPr>
                <w:kern w:val="0"/>
                <w:sz w:val="21"/>
                <w:szCs w:val="21"/>
                <w:lang w:bidi="en-US"/>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restart"/>
            <w:vAlign w:val="center"/>
          </w:tcPr>
          <w:p>
            <w:pPr>
              <w:widowControl/>
              <w:spacing w:line="320" w:lineRule="atLeast"/>
              <w:ind w:firstLine="0" w:firstLineChars="0"/>
              <w:jc w:val="center"/>
              <w:rPr>
                <w:kern w:val="0"/>
                <w:sz w:val="21"/>
                <w:szCs w:val="21"/>
                <w:lang w:bidi="en-US"/>
              </w:rPr>
            </w:pPr>
            <w:r>
              <w:rPr>
                <w:kern w:val="0"/>
                <w:sz w:val="21"/>
                <w:szCs w:val="21"/>
                <w:lang w:bidi="en-US"/>
              </w:rPr>
              <w:t>2</w:t>
            </w:r>
          </w:p>
        </w:tc>
        <w:tc>
          <w:tcPr>
            <w:tcW w:w="1266" w:type="dxa"/>
            <w:vMerge w:val="restart"/>
            <w:vAlign w:val="center"/>
          </w:tcPr>
          <w:p>
            <w:pPr>
              <w:widowControl/>
              <w:adjustRightInd/>
              <w:snapToGrid/>
              <w:spacing w:line="240" w:lineRule="auto"/>
              <w:ind w:firstLine="0" w:firstLineChars="0"/>
              <w:jc w:val="center"/>
              <w:rPr>
                <w:kern w:val="0"/>
                <w:sz w:val="21"/>
                <w:szCs w:val="21"/>
              </w:rPr>
            </w:pPr>
            <w:r>
              <w:rPr>
                <w:kern w:val="0"/>
                <w:sz w:val="21"/>
                <w:szCs w:val="21"/>
              </w:rPr>
              <w:t>安康市人民政府 关于印发</w:t>
            </w:r>
            <w:r>
              <w:rPr>
                <w:rFonts w:hint="eastAsia"/>
                <w:kern w:val="0"/>
                <w:sz w:val="21"/>
                <w:szCs w:val="21"/>
              </w:rPr>
              <w:t>《</w:t>
            </w:r>
            <w:r>
              <w:rPr>
                <w:kern w:val="0"/>
                <w:sz w:val="21"/>
                <w:szCs w:val="21"/>
              </w:rPr>
              <w:t>安康市“三线一单”生态环境分区管控方案</w:t>
            </w:r>
            <w:r>
              <w:rPr>
                <w:rFonts w:hint="eastAsia"/>
                <w:kern w:val="0"/>
                <w:sz w:val="21"/>
                <w:szCs w:val="21"/>
              </w:rPr>
              <w:t>》</w:t>
            </w:r>
            <w:r>
              <w:rPr>
                <w:kern w:val="0"/>
                <w:sz w:val="21"/>
                <w:szCs w:val="21"/>
              </w:rPr>
              <w:t>的通知（安政发〔2021〕18 号 ）</w:t>
            </w:r>
          </w:p>
          <w:p>
            <w:pPr>
              <w:autoSpaceDE w:val="0"/>
              <w:autoSpaceDN w:val="0"/>
              <w:spacing w:line="320" w:lineRule="atLeast"/>
              <w:ind w:firstLine="0" w:firstLineChars="0"/>
              <w:jc w:val="center"/>
              <w:rPr>
                <w:kern w:val="0"/>
                <w:sz w:val="21"/>
                <w:szCs w:val="21"/>
              </w:rPr>
            </w:pPr>
          </w:p>
        </w:tc>
        <w:tc>
          <w:tcPr>
            <w:tcW w:w="707" w:type="dxa"/>
            <w:vAlign w:val="center"/>
          </w:tcPr>
          <w:p>
            <w:pPr>
              <w:widowControl/>
              <w:spacing w:line="320" w:lineRule="atLeast"/>
              <w:ind w:firstLine="0" w:firstLineChars="0"/>
              <w:jc w:val="center"/>
              <w:rPr>
                <w:sz w:val="21"/>
                <w:szCs w:val="21"/>
              </w:rPr>
            </w:pPr>
            <w:r>
              <w:rPr>
                <w:sz w:val="21"/>
                <w:szCs w:val="21"/>
              </w:rPr>
              <w:t>优先保护单元</w:t>
            </w:r>
          </w:p>
        </w:tc>
        <w:tc>
          <w:tcPr>
            <w:tcW w:w="7657" w:type="dxa"/>
            <w:vAlign w:val="center"/>
          </w:tcPr>
          <w:p>
            <w:pPr>
              <w:widowControl/>
              <w:adjustRightInd/>
              <w:snapToGrid/>
              <w:spacing w:line="240" w:lineRule="auto"/>
              <w:ind w:firstLine="0" w:firstLineChars="0"/>
              <w:jc w:val="left"/>
              <w:rPr>
                <w:kern w:val="0"/>
                <w:sz w:val="21"/>
                <w:szCs w:val="21"/>
              </w:rPr>
            </w:pPr>
            <w:r>
              <w:rPr>
                <w:kern w:val="0"/>
                <w:sz w:val="21"/>
                <w:szCs w:val="21"/>
              </w:rPr>
              <w:t>指以生态环境保护为主的区域，主要包括各类自然保护地、饮用水水源保护区、环境空气一类功能区等。全市划分优先保护单元98个，面积12060.30平方公里，占全市国土面积的 51 .23 % 。</w:t>
            </w:r>
          </w:p>
          <w:p>
            <w:pPr>
              <w:widowControl/>
              <w:adjustRightInd/>
              <w:snapToGrid/>
              <w:spacing w:line="240" w:lineRule="auto"/>
              <w:ind w:firstLine="0" w:firstLineChars="0"/>
              <w:jc w:val="left"/>
              <w:rPr>
                <w:sz w:val="21"/>
                <w:szCs w:val="24"/>
              </w:rPr>
            </w:pPr>
            <w:r>
              <w:rPr>
                <w:kern w:val="0"/>
                <w:sz w:val="21"/>
                <w:szCs w:val="21"/>
              </w:rPr>
              <w:t>要求：优先保护单元以生态优先为原则，突出空间布局约束，依法禁止或限制大规模、高强度工业开发和城镇建设活动，开展生态功能受损区域生态保护修复活动，确保重要生态环境功能不降低。</w:t>
            </w:r>
          </w:p>
        </w:tc>
        <w:tc>
          <w:tcPr>
            <w:tcW w:w="2835" w:type="dxa"/>
            <w:vMerge w:val="restart"/>
            <w:vAlign w:val="center"/>
          </w:tcPr>
          <w:p>
            <w:pPr>
              <w:autoSpaceDE w:val="0"/>
              <w:autoSpaceDN w:val="0"/>
              <w:spacing w:line="360" w:lineRule="atLeast"/>
              <w:ind w:firstLine="0" w:firstLineChars="0"/>
              <w:jc w:val="left"/>
              <w:rPr>
                <w:kern w:val="0"/>
                <w:sz w:val="21"/>
                <w:szCs w:val="21"/>
                <w:highlight w:val="yellow"/>
              </w:rPr>
            </w:pPr>
            <w:r>
              <w:rPr>
                <w:kern w:val="0"/>
                <w:sz w:val="21"/>
                <w:szCs w:val="21"/>
              </w:rPr>
              <w:t>本项目位于</w:t>
            </w:r>
            <w:r>
              <w:rPr>
                <w:rFonts w:hint="eastAsia"/>
                <w:kern w:val="0"/>
                <w:sz w:val="21"/>
                <w:szCs w:val="21"/>
              </w:rPr>
              <w:t>旬阳市</w:t>
            </w:r>
            <w:r>
              <w:rPr>
                <w:kern w:val="0"/>
                <w:sz w:val="21"/>
                <w:szCs w:val="21"/>
              </w:rPr>
              <w:t>关口镇关坪村</w:t>
            </w:r>
            <w:r>
              <w:rPr>
                <w:rFonts w:hint="eastAsia"/>
                <w:kern w:val="0"/>
                <w:sz w:val="21"/>
                <w:szCs w:val="21"/>
              </w:rPr>
              <w:t>，</w:t>
            </w:r>
            <w:r>
              <w:rPr>
                <w:kern w:val="0"/>
                <w:sz w:val="21"/>
                <w:szCs w:val="21"/>
              </w:rPr>
              <w:t>不在生态保护红线、自然保护地、集中式饮用水水源保护区等生态功能重要区、生态环境敏感区内，所处区域属于一般管控单元。</w:t>
            </w:r>
          </w:p>
          <w:p>
            <w:pPr>
              <w:widowControl/>
              <w:spacing w:line="320" w:lineRule="atLeast"/>
              <w:ind w:firstLine="0" w:firstLineChars="0"/>
              <w:rPr>
                <w:kern w:val="0"/>
                <w:sz w:val="21"/>
                <w:szCs w:val="21"/>
                <w:highlight w:val="yellow"/>
                <w:lang w:bidi="en-US"/>
              </w:rPr>
            </w:pPr>
          </w:p>
        </w:tc>
        <w:tc>
          <w:tcPr>
            <w:tcW w:w="808" w:type="dxa"/>
            <w:vMerge w:val="restart"/>
            <w:vAlign w:val="center"/>
          </w:tcPr>
          <w:p>
            <w:pPr>
              <w:widowControl/>
              <w:spacing w:line="320" w:lineRule="atLeast"/>
              <w:ind w:firstLine="0" w:firstLineChars="0"/>
              <w:jc w:val="center"/>
              <w:rPr>
                <w:kern w:val="0"/>
                <w:sz w:val="21"/>
                <w:szCs w:val="21"/>
                <w:lang w:bidi="en-US"/>
              </w:rPr>
            </w:pPr>
            <w:r>
              <w:rPr>
                <w:kern w:val="0"/>
                <w:sz w:val="21"/>
                <w:szCs w:val="21"/>
                <w:lang w:bidi="en-US"/>
              </w:rPr>
              <w:t>符合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1652" w:hRule="exact"/>
          <w:jc w:val="center"/>
        </w:trPr>
        <w:tc>
          <w:tcPr>
            <w:tcW w:w="705" w:type="dxa"/>
            <w:vMerge w:val="continue"/>
            <w:vAlign w:val="center"/>
          </w:tcPr>
          <w:p>
            <w:pPr>
              <w:widowControl/>
              <w:spacing w:line="320" w:lineRule="atLeast"/>
              <w:ind w:firstLine="0" w:firstLineChars="0"/>
              <w:jc w:val="center"/>
              <w:rPr>
                <w:kern w:val="0"/>
                <w:sz w:val="21"/>
                <w:szCs w:val="21"/>
                <w:lang w:bidi="en-US"/>
              </w:rPr>
            </w:pPr>
          </w:p>
        </w:tc>
        <w:tc>
          <w:tcPr>
            <w:tcW w:w="1266" w:type="dxa"/>
            <w:vMerge w:val="continue"/>
            <w:vAlign w:val="center"/>
          </w:tcPr>
          <w:p>
            <w:pPr>
              <w:autoSpaceDE w:val="0"/>
              <w:autoSpaceDN w:val="0"/>
              <w:spacing w:line="320" w:lineRule="atLeast"/>
              <w:ind w:firstLine="0" w:firstLineChars="0"/>
              <w:jc w:val="center"/>
              <w:rPr>
                <w:kern w:val="0"/>
                <w:sz w:val="21"/>
                <w:szCs w:val="21"/>
              </w:rPr>
            </w:pPr>
          </w:p>
        </w:tc>
        <w:tc>
          <w:tcPr>
            <w:tcW w:w="707" w:type="dxa"/>
            <w:vAlign w:val="center"/>
          </w:tcPr>
          <w:p>
            <w:pPr>
              <w:widowControl/>
              <w:spacing w:line="320" w:lineRule="atLeast"/>
              <w:ind w:firstLine="0" w:firstLineChars="0"/>
              <w:jc w:val="center"/>
              <w:rPr>
                <w:sz w:val="21"/>
                <w:szCs w:val="21"/>
              </w:rPr>
            </w:pPr>
            <w:r>
              <w:rPr>
                <w:sz w:val="21"/>
                <w:szCs w:val="21"/>
              </w:rPr>
              <w:t>重点管控单元</w:t>
            </w:r>
          </w:p>
        </w:tc>
        <w:tc>
          <w:tcPr>
            <w:tcW w:w="7657" w:type="dxa"/>
            <w:vAlign w:val="center"/>
          </w:tcPr>
          <w:p>
            <w:pPr>
              <w:widowControl/>
              <w:adjustRightInd/>
              <w:snapToGrid/>
              <w:spacing w:line="240" w:lineRule="auto"/>
              <w:ind w:firstLine="0" w:firstLineChars="0"/>
              <w:jc w:val="left"/>
              <w:rPr>
                <w:kern w:val="0"/>
                <w:sz w:val="21"/>
                <w:szCs w:val="21"/>
              </w:rPr>
            </w:pPr>
            <w:r>
              <w:rPr>
                <w:kern w:val="0"/>
                <w:sz w:val="21"/>
                <w:szCs w:val="21"/>
              </w:rPr>
              <w:t>指涉及水、大气、土壤、自然资源等资源环境要素重点管控的区域，主要包括城镇规划区、产业园区和开发强度大、污染物排放强度高的区域等。全市划分重点管控单元42个，面积2942 .20平方公里，占全市国土面积的12 .50 %。</w:t>
            </w:r>
          </w:p>
          <w:p>
            <w:pPr>
              <w:widowControl/>
              <w:adjustRightInd/>
              <w:snapToGrid/>
              <w:spacing w:line="240" w:lineRule="auto"/>
              <w:ind w:firstLine="0" w:firstLineChars="0"/>
              <w:jc w:val="left"/>
              <w:rPr>
                <w:kern w:val="0"/>
                <w:sz w:val="21"/>
                <w:szCs w:val="21"/>
              </w:rPr>
            </w:pPr>
            <w:r>
              <w:rPr>
                <w:kern w:val="0"/>
                <w:sz w:val="21"/>
                <w:szCs w:val="21"/>
              </w:rPr>
              <w:t>要求：重点管控单元以提升资源利用效率、加强污染物减排治理和环境风险防控为重点，解决突出生态环境问题。</w:t>
            </w:r>
          </w:p>
          <w:p>
            <w:pPr>
              <w:widowControl/>
              <w:adjustRightInd/>
              <w:snapToGrid/>
              <w:spacing w:line="240" w:lineRule="auto"/>
              <w:ind w:firstLine="0" w:firstLineChars="0"/>
              <w:jc w:val="left"/>
              <w:rPr>
                <w:kern w:val="0"/>
                <w:sz w:val="21"/>
                <w:szCs w:val="21"/>
              </w:rPr>
            </w:pPr>
          </w:p>
        </w:tc>
        <w:tc>
          <w:tcPr>
            <w:tcW w:w="2835" w:type="dxa"/>
            <w:vMerge w:val="continue"/>
            <w:vAlign w:val="center"/>
          </w:tcPr>
          <w:p>
            <w:pPr>
              <w:widowControl/>
              <w:spacing w:line="320" w:lineRule="atLeast"/>
              <w:ind w:firstLine="0" w:firstLineChars="0"/>
              <w:rPr>
                <w:kern w:val="0"/>
                <w:sz w:val="21"/>
                <w:szCs w:val="21"/>
                <w:highlight w:val="yellow"/>
                <w:lang w:bidi="en-US"/>
              </w:rPr>
            </w:pPr>
          </w:p>
        </w:tc>
        <w:tc>
          <w:tcPr>
            <w:tcW w:w="808" w:type="dxa"/>
            <w:vMerge w:val="continue"/>
            <w:vAlign w:val="center"/>
          </w:tcPr>
          <w:p>
            <w:pPr>
              <w:widowControl/>
              <w:spacing w:line="320" w:lineRule="atLeast"/>
              <w:ind w:firstLine="0" w:firstLineChars="0"/>
              <w:jc w:val="center"/>
              <w:rPr>
                <w:kern w:val="0"/>
                <w:sz w:val="21"/>
                <w:szCs w:val="21"/>
                <w:lang w:bidi="en-US"/>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05" w:type="dxa"/>
            <w:vMerge w:val="continue"/>
            <w:vAlign w:val="center"/>
          </w:tcPr>
          <w:p>
            <w:pPr>
              <w:widowControl/>
              <w:spacing w:line="320" w:lineRule="atLeast"/>
              <w:ind w:firstLine="0" w:firstLineChars="0"/>
              <w:jc w:val="center"/>
              <w:rPr>
                <w:kern w:val="0"/>
                <w:sz w:val="21"/>
                <w:szCs w:val="21"/>
                <w:lang w:bidi="en-US"/>
              </w:rPr>
            </w:pPr>
          </w:p>
        </w:tc>
        <w:tc>
          <w:tcPr>
            <w:tcW w:w="1266" w:type="dxa"/>
            <w:vMerge w:val="continue"/>
            <w:vAlign w:val="center"/>
          </w:tcPr>
          <w:p>
            <w:pPr>
              <w:autoSpaceDE w:val="0"/>
              <w:autoSpaceDN w:val="0"/>
              <w:spacing w:line="320" w:lineRule="atLeast"/>
              <w:ind w:firstLine="0" w:firstLineChars="0"/>
              <w:jc w:val="center"/>
              <w:rPr>
                <w:kern w:val="0"/>
                <w:sz w:val="21"/>
                <w:szCs w:val="21"/>
              </w:rPr>
            </w:pPr>
          </w:p>
        </w:tc>
        <w:tc>
          <w:tcPr>
            <w:tcW w:w="707" w:type="dxa"/>
            <w:vAlign w:val="center"/>
          </w:tcPr>
          <w:p>
            <w:pPr>
              <w:widowControl/>
              <w:spacing w:line="320" w:lineRule="atLeast"/>
              <w:ind w:firstLine="0" w:firstLineChars="0"/>
              <w:jc w:val="center"/>
              <w:rPr>
                <w:sz w:val="21"/>
                <w:szCs w:val="21"/>
              </w:rPr>
            </w:pPr>
            <w:r>
              <w:rPr>
                <w:sz w:val="21"/>
                <w:szCs w:val="21"/>
              </w:rPr>
              <w:t>一般管控单元</w:t>
            </w:r>
          </w:p>
        </w:tc>
        <w:tc>
          <w:tcPr>
            <w:tcW w:w="7657" w:type="dxa"/>
            <w:vAlign w:val="center"/>
          </w:tcPr>
          <w:p>
            <w:pPr>
              <w:widowControl/>
              <w:adjustRightInd/>
              <w:snapToGrid/>
              <w:spacing w:line="240" w:lineRule="auto"/>
              <w:ind w:firstLine="0" w:firstLineChars="0"/>
              <w:jc w:val="left"/>
              <w:rPr>
                <w:kern w:val="0"/>
                <w:sz w:val="21"/>
                <w:szCs w:val="21"/>
              </w:rPr>
            </w:pPr>
            <w:r>
              <w:rPr>
                <w:kern w:val="0"/>
                <w:sz w:val="21"/>
                <w:szCs w:val="21"/>
              </w:rPr>
              <w:t>指优先保护单元和重点管控单元之外的其他区域。全市划分一般管控单元 10个，面积8539 .71平方公里，占全市国土面积的36 .27 %。</w:t>
            </w:r>
          </w:p>
          <w:p>
            <w:pPr>
              <w:widowControl/>
              <w:adjustRightInd/>
              <w:snapToGrid/>
              <w:spacing w:line="240" w:lineRule="auto"/>
              <w:ind w:firstLine="0" w:firstLineChars="0"/>
              <w:jc w:val="left"/>
              <w:rPr>
                <w:kern w:val="0"/>
                <w:sz w:val="21"/>
                <w:szCs w:val="21"/>
              </w:rPr>
            </w:pPr>
            <w:r>
              <w:rPr>
                <w:kern w:val="0"/>
                <w:sz w:val="21"/>
                <w:szCs w:val="21"/>
              </w:rPr>
              <w:t>要求：一般管控单元主要落实生态环境保护基本要求。</w:t>
            </w:r>
          </w:p>
        </w:tc>
        <w:tc>
          <w:tcPr>
            <w:tcW w:w="2835" w:type="dxa"/>
            <w:vMerge w:val="continue"/>
            <w:vAlign w:val="center"/>
          </w:tcPr>
          <w:p>
            <w:pPr>
              <w:widowControl/>
              <w:spacing w:line="320" w:lineRule="atLeast"/>
              <w:ind w:firstLine="0" w:firstLineChars="0"/>
              <w:rPr>
                <w:kern w:val="0"/>
                <w:sz w:val="21"/>
                <w:szCs w:val="21"/>
                <w:highlight w:val="yellow"/>
                <w:lang w:bidi="en-US"/>
              </w:rPr>
            </w:pPr>
          </w:p>
        </w:tc>
        <w:tc>
          <w:tcPr>
            <w:tcW w:w="808" w:type="dxa"/>
            <w:vMerge w:val="continue"/>
            <w:vAlign w:val="center"/>
          </w:tcPr>
          <w:p>
            <w:pPr>
              <w:widowControl/>
              <w:spacing w:line="320" w:lineRule="atLeast"/>
              <w:ind w:firstLine="0" w:firstLineChars="0"/>
              <w:jc w:val="center"/>
              <w:rPr>
                <w:kern w:val="0"/>
                <w:sz w:val="21"/>
                <w:szCs w:val="21"/>
                <w:lang w:bidi="en-US"/>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restart"/>
            <w:vAlign w:val="center"/>
          </w:tcPr>
          <w:p>
            <w:pPr>
              <w:widowControl/>
              <w:spacing w:line="320" w:lineRule="atLeast"/>
              <w:ind w:firstLine="0" w:firstLineChars="0"/>
              <w:jc w:val="center"/>
              <w:rPr>
                <w:kern w:val="0"/>
                <w:sz w:val="21"/>
                <w:szCs w:val="21"/>
                <w:lang w:bidi="en-US"/>
              </w:rPr>
            </w:pPr>
            <w:r>
              <w:rPr>
                <w:kern w:val="0"/>
                <w:sz w:val="21"/>
                <w:szCs w:val="21"/>
                <w:lang w:bidi="en-US"/>
              </w:rPr>
              <w:t>3</w:t>
            </w:r>
          </w:p>
        </w:tc>
        <w:tc>
          <w:tcPr>
            <w:tcW w:w="1266" w:type="dxa"/>
            <w:vMerge w:val="restart"/>
            <w:vAlign w:val="center"/>
          </w:tcPr>
          <w:p>
            <w:pPr>
              <w:widowControl/>
              <w:spacing w:line="320" w:lineRule="atLeast"/>
              <w:ind w:firstLine="0" w:firstLineChars="0"/>
              <w:jc w:val="center"/>
              <w:rPr>
                <w:kern w:val="0"/>
                <w:sz w:val="21"/>
                <w:szCs w:val="21"/>
              </w:rPr>
            </w:pPr>
            <w:r>
              <w:rPr>
                <w:sz w:val="21"/>
                <w:szCs w:val="21"/>
              </w:rPr>
              <w:t>三线一单</w:t>
            </w:r>
          </w:p>
        </w:tc>
        <w:tc>
          <w:tcPr>
            <w:tcW w:w="707" w:type="dxa"/>
            <w:vAlign w:val="center"/>
          </w:tcPr>
          <w:p>
            <w:pPr>
              <w:widowControl/>
              <w:adjustRightInd/>
              <w:snapToGrid/>
              <w:spacing w:line="240" w:lineRule="auto"/>
              <w:ind w:firstLine="0" w:firstLineChars="0"/>
              <w:jc w:val="center"/>
              <w:rPr>
                <w:kern w:val="0"/>
                <w:sz w:val="21"/>
                <w:szCs w:val="21"/>
              </w:rPr>
            </w:pPr>
            <w:r>
              <w:rPr>
                <w:kern w:val="0"/>
                <w:sz w:val="21"/>
                <w:szCs w:val="21"/>
              </w:rPr>
              <w:t>生态保护红线</w:t>
            </w:r>
          </w:p>
        </w:tc>
        <w:tc>
          <w:tcPr>
            <w:tcW w:w="7657" w:type="dxa"/>
            <w:vAlign w:val="center"/>
          </w:tcPr>
          <w:p>
            <w:pPr>
              <w:widowControl/>
              <w:adjustRightInd/>
              <w:snapToGrid/>
              <w:spacing w:line="240" w:lineRule="auto"/>
              <w:ind w:firstLine="0" w:firstLineChars="0"/>
              <w:jc w:val="left"/>
              <w:rPr>
                <w:kern w:val="0"/>
                <w:szCs w:val="24"/>
              </w:rPr>
            </w:pPr>
            <w:r>
              <w:rPr>
                <w:kern w:val="0"/>
                <w:sz w:val="21"/>
                <w:szCs w:val="21"/>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835" w:type="dxa"/>
            <w:vAlign w:val="center"/>
          </w:tcPr>
          <w:p>
            <w:pPr>
              <w:widowControl/>
              <w:adjustRightInd/>
              <w:snapToGrid/>
              <w:spacing w:line="240" w:lineRule="auto"/>
              <w:ind w:firstLine="0" w:firstLineChars="0"/>
              <w:jc w:val="left"/>
              <w:rPr>
                <w:kern w:val="0"/>
                <w:sz w:val="21"/>
                <w:szCs w:val="21"/>
                <w:highlight w:val="yellow"/>
              </w:rPr>
            </w:pPr>
            <w:r>
              <w:rPr>
                <w:kern w:val="0"/>
                <w:sz w:val="21"/>
                <w:szCs w:val="21"/>
              </w:rPr>
              <w:t>本项目位于</w:t>
            </w:r>
            <w:r>
              <w:rPr>
                <w:rFonts w:hint="eastAsia"/>
                <w:kern w:val="0"/>
                <w:sz w:val="21"/>
                <w:szCs w:val="21"/>
              </w:rPr>
              <w:t>旬阳市关口镇关坪村，根据安康市“三线一单”生态环境分区管控方案项目所在</w:t>
            </w:r>
            <w:r>
              <w:rPr>
                <w:kern w:val="0"/>
                <w:sz w:val="21"/>
                <w:szCs w:val="21"/>
              </w:rPr>
              <w:t>地属于一般管控单元，项目范围不涉及生态保护红线。</w:t>
            </w:r>
          </w:p>
        </w:tc>
        <w:tc>
          <w:tcPr>
            <w:tcW w:w="808" w:type="dxa"/>
            <w:vAlign w:val="center"/>
          </w:tcPr>
          <w:p>
            <w:pPr>
              <w:widowControl/>
              <w:spacing w:line="320" w:lineRule="atLeast"/>
              <w:ind w:firstLine="0" w:firstLineChars="0"/>
              <w:jc w:val="center"/>
              <w:rPr>
                <w:kern w:val="0"/>
                <w:sz w:val="21"/>
                <w:szCs w:val="21"/>
                <w:lang w:bidi="en-US"/>
              </w:rPr>
            </w:pPr>
            <w:r>
              <w:rPr>
                <w:kern w:val="0"/>
                <w:sz w:val="21"/>
                <w:szCs w:val="21"/>
                <w:lang w:bidi="en-US"/>
              </w:rPr>
              <w:t>符合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continue"/>
            <w:vAlign w:val="center"/>
          </w:tcPr>
          <w:p>
            <w:pPr>
              <w:widowControl/>
              <w:spacing w:line="320" w:lineRule="atLeast"/>
              <w:ind w:firstLine="0" w:firstLineChars="0"/>
              <w:jc w:val="center"/>
              <w:rPr>
                <w:kern w:val="0"/>
                <w:sz w:val="21"/>
                <w:szCs w:val="21"/>
                <w:lang w:bidi="en-US"/>
              </w:rPr>
            </w:pPr>
          </w:p>
        </w:tc>
        <w:tc>
          <w:tcPr>
            <w:tcW w:w="1266" w:type="dxa"/>
            <w:vMerge w:val="continue"/>
            <w:vAlign w:val="center"/>
          </w:tcPr>
          <w:p>
            <w:pPr>
              <w:widowControl/>
              <w:spacing w:line="320" w:lineRule="atLeast"/>
              <w:ind w:firstLine="0" w:firstLineChars="0"/>
              <w:jc w:val="center"/>
              <w:rPr>
                <w:kern w:val="0"/>
                <w:sz w:val="21"/>
                <w:szCs w:val="21"/>
              </w:rPr>
            </w:pPr>
          </w:p>
        </w:tc>
        <w:tc>
          <w:tcPr>
            <w:tcW w:w="707" w:type="dxa"/>
            <w:vAlign w:val="center"/>
          </w:tcPr>
          <w:p>
            <w:pPr>
              <w:widowControl/>
              <w:adjustRightInd/>
              <w:snapToGrid/>
              <w:spacing w:line="240" w:lineRule="auto"/>
              <w:ind w:firstLine="0" w:firstLineChars="0"/>
              <w:jc w:val="center"/>
              <w:rPr>
                <w:kern w:val="0"/>
                <w:sz w:val="21"/>
                <w:szCs w:val="21"/>
              </w:rPr>
            </w:pPr>
            <w:r>
              <w:rPr>
                <w:kern w:val="0"/>
                <w:sz w:val="21"/>
                <w:szCs w:val="21"/>
              </w:rPr>
              <w:t>环境质量底线</w:t>
            </w:r>
          </w:p>
        </w:tc>
        <w:tc>
          <w:tcPr>
            <w:tcW w:w="7657" w:type="dxa"/>
            <w:vAlign w:val="center"/>
          </w:tcPr>
          <w:p>
            <w:pPr>
              <w:widowControl/>
              <w:adjustRightInd/>
              <w:snapToGrid/>
              <w:spacing w:line="240" w:lineRule="auto"/>
              <w:ind w:firstLine="0" w:firstLineChars="0"/>
              <w:jc w:val="left"/>
              <w:rPr>
                <w:kern w:val="0"/>
                <w:szCs w:val="24"/>
              </w:rPr>
            </w:pPr>
            <w:r>
              <w:rPr>
                <w:kern w:val="0"/>
                <w:sz w:val="21"/>
                <w:szCs w:val="21"/>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2835" w:type="dxa"/>
            <w:vAlign w:val="center"/>
          </w:tcPr>
          <w:p>
            <w:pPr>
              <w:widowControl/>
              <w:adjustRightInd/>
              <w:snapToGrid/>
              <w:spacing w:line="240" w:lineRule="auto"/>
              <w:ind w:firstLine="0" w:firstLineChars="0"/>
              <w:jc w:val="left"/>
              <w:rPr>
                <w:kern w:val="0"/>
                <w:szCs w:val="24"/>
                <w:highlight w:val="yellow"/>
              </w:rPr>
            </w:pPr>
            <w:r>
              <w:rPr>
                <w:kern w:val="0"/>
                <w:sz w:val="21"/>
                <w:szCs w:val="21"/>
              </w:rPr>
              <w:t>项目通过采取措施可以实现达标排放，满足区域环境质量控制目标要求。</w:t>
            </w:r>
          </w:p>
        </w:tc>
        <w:tc>
          <w:tcPr>
            <w:tcW w:w="808" w:type="dxa"/>
            <w:vAlign w:val="center"/>
          </w:tcPr>
          <w:p>
            <w:pPr>
              <w:widowControl/>
              <w:spacing w:line="320" w:lineRule="atLeast"/>
              <w:ind w:firstLine="0" w:firstLineChars="0"/>
              <w:jc w:val="center"/>
              <w:rPr>
                <w:kern w:val="0"/>
                <w:sz w:val="21"/>
                <w:szCs w:val="21"/>
                <w:lang w:bidi="en-US"/>
              </w:rPr>
            </w:pPr>
            <w:r>
              <w:rPr>
                <w:kern w:val="0"/>
                <w:sz w:val="21"/>
                <w:szCs w:val="21"/>
                <w:lang w:bidi="en-US"/>
              </w:rPr>
              <w:t>符合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continue"/>
            <w:vAlign w:val="center"/>
          </w:tcPr>
          <w:p>
            <w:pPr>
              <w:widowControl/>
              <w:spacing w:line="320" w:lineRule="atLeast"/>
              <w:ind w:firstLine="0" w:firstLineChars="0"/>
              <w:jc w:val="center"/>
              <w:rPr>
                <w:kern w:val="0"/>
                <w:sz w:val="21"/>
                <w:szCs w:val="21"/>
                <w:lang w:bidi="en-US"/>
              </w:rPr>
            </w:pPr>
          </w:p>
        </w:tc>
        <w:tc>
          <w:tcPr>
            <w:tcW w:w="1266" w:type="dxa"/>
            <w:vMerge w:val="continue"/>
            <w:vAlign w:val="center"/>
          </w:tcPr>
          <w:p>
            <w:pPr>
              <w:widowControl/>
              <w:spacing w:line="320" w:lineRule="atLeast"/>
              <w:ind w:firstLine="0" w:firstLineChars="0"/>
              <w:jc w:val="center"/>
              <w:rPr>
                <w:kern w:val="0"/>
                <w:sz w:val="21"/>
                <w:szCs w:val="21"/>
              </w:rPr>
            </w:pPr>
          </w:p>
        </w:tc>
        <w:tc>
          <w:tcPr>
            <w:tcW w:w="707" w:type="dxa"/>
            <w:vAlign w:val="center"/>
          </w:tcPr>
          <w:p>
            <w:pPr>
              <w:widowControl/>
              <w:spacing w:line="320" w:lineRule="atLeast"/>
              <w:ind w:firstLine="0" w:firstLineChars="0"/>
              <w:jc w:val="center"/>
              <w:rPr>
                <w:sz w:val="21"/>
                <w:szCs w:val="21"/>
              </w:rPr>
            </w:pPr>
            <w:r>
              <w:rPr>
                <w:sz w:val="21"/>
                <w:szCs w:val="21"/>
              </w:rPr>
              <w:t>资源利用上线</w:t>
            </w:r>
          </w:p>
        </w:tc>
        <w:tc>
          <w:tcPr>
            <w:tcW w:w="7657" w:type="dxa"/>
            <w:vAlign w:val="center"/>
          </w:tcPr>
          <w:p>
            <w:pPr>
              <w:widowControl/>
              <w:adjustRightInd/>
              <w:snapToGrid/>
              <w:spacing w:line="240" w:lineRule="auto"/>
              <w:ind w:firstLine="0" w:firstLineChars="0"/>
              <w:jc w:val="left"/>
              <w:rPr>
                <w:kern w:val="0"/>
                <w:szCs w:val="24"/>
              </w:rPr>
            </w:pPr>
            <w:r>
              <w:rPr>
                <w:kern w:val="0"/>
                <w:sz w:val="21"/>
                <w:szCs w:val="21"/>
              </w:rPr>
              <w:t>资源是环境的载体，资源利用上线是各地区能源、水、土地等资源消耗不得突破的“天花板”。</w:t>
            </w:r>
          </w:p>
        </w:tc>
        <w:tc>
          <w:tcPr>
            <w:tcW w:w="2835" w:type="dxa"/>
            <w:vAlign w:val="center"/>
          </w:tcPr>
          <w:p>
            <w:pPr>
              <w:widowControl/>
              <w:adjustRightInd/>
              <w:snapToGrid/>
              <w:spacing w:line="240" w:lineRule="auto"/>
              <w:ind w:firstLine="0" w:firstLineChars="0"/>
              <w:jc w:val="left"/>
              <w:rPr>
                <w:kern w:val="0"/>
                <w:szCs w:val="24"/>
                <w:highlight w:val="yellow"/>
              </w:rPr>
            </w:pPr>
            <w:r>
              <w:rPr>
                <w:kern w:val="0"/>
                <w:sz w:val="21"/>
                <w:szCs w:val="21"/>
              </w:rPr>
              <w:t>项目</w:t>
            </w:r>
            <w:r>
              <w:rPr>
                <w:rFonts w:hint="eastAsia"/>
                <w:kern w:val="0"/>
                <w:sz w:val="21"/>
                <w:szCs w:val="21"/>
              </w:rPr>
              <w:t>涉及</w:t>
            </w:r>
            <w:r>
              <w:rPr>
                <w:kern w:val="0"/>
                <w:sz w:val="21"/>
                <w:szCs w:val="21"/>
              </w:rPr>
              <w:t>的主要能源为电和水，</w:t>
            </w:r>
            <w:r>
              <w:rPr>
                <w:rFonts w:hint="eastAsia"/>
                <w:kern w:val="0"/>
                <w:sz w:val="21"/>
                <w:szCs w:val="21"/>
              </w:rPr>
              <w:t>但</w:t>
            </w:r>
            <w:r>
              <w:rPr>
                <w:kern w:val="0"/>
                <w:sz w:val="21"/>
                <w:szCs w:val="21"/>
              </w:rPr>
              <w:t>其资源消耗相对区域资源利用总量较小，运营期通过加强管理节水节电等措施达到节约资源能源的目的不会突破资源利用上线。</w:t>
            </w:r>
          </w:p>
        </w:tc>
        <w:tc>
          <w:tcPr>
            <w:tcW w:w="808" w:type="dxa"/>
            <w:vAlign w:val="center"/>
          </w:tcPr>
          <w:p>
            <w:pPr>
              <w:widowControl/>
              <w:spacing w:line="320" w:lineRule="atLeast"/>
              <w:ind w:firstLine="0" w:firstLineChars="0"/>
              <w:jc w:val="center"/>
              <w:rPr>
                <w:kern w:val="0"/>
                <w:sz w:val="21"/>
                <w:szCs w:val="21"/>
                <w:lang w:bidi="en-US"/>
              </w:rPr>
            </w:pPr>
            <w:r>
              <w:rPr>
                <w:kern w:val="0"/>
                <w:sz w:val="21"/>
                <w:szCs w:val="21"/>
                <w:lang w:bidi="en-US"/>
              </w:rPr>
              <w:t>符合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jc w:val="center"/>
        </w:trPr>
        <w:tc>
          <w:tcPr>
            <w:tcW w:w="705" w:type="dxa"/>
            <w:vMerge w:val="continue"/>
            <w:vAlign w:val="center"/>
          </w:tcPr>
          <w:p>
            <w:pPr>
              <w:widowControl/>
              <w:spacing w:line="320" w:lineRule="atLeast"/>
              <w:ind w:firstLine="0" w:firstLineChars="0"/>
              <w:jc w:val="center"/>
              <w:rPr>
                <w:kern w:val="0"/>
                <w:sz w:val="21"/>
                <w:szCs w:val="21"/>
                <w:lang w:bidi="en-US"/>
              </w:rPr>
            </w:pPr>
          </w:p>
        </w:tc>
        <w:tc>
          <w:tcPr>
            <w:tcW w:w="1266" w:type="dxa"/>
            <w:vMerge w:val="continue"/>
            <w:vAlign w:val="center"/>
          </w:tcPr>
          <w:p>
            <w:pPr>
              <w:widowControl/>
              <w:spacing w:line="320" w:lineRule="atLeast"/>
              <w:ind w:firstLine="0" w:firstLineChars="0"/>
              <w:jc w:val="center"/>
              <w:rPr>
                <w:kern w:val="0"/>
                <w:sz w:val="21"/>
                <w:szCs w:val="21"/>
              </w:rPr>
            </w:pPr>
          </w:p>
        </w:tc>
        <w:tc>
          <w:tcPr>
            <w:tcW w:w="707" w:type="dxa"/>
            <w:vAlign w:val="center"/>
          </w:tcPr>
          <w:p>
            <w:pPr>
              <w:widowControl/>
              <w:adjustRightInd/>
              <w:snapToGrid/>
              <w:spacing w:line="240" w:lineRule="auto"/>
              <w:ind w:firstLine="0" w:firstLineChars="0"/>
              <w:rPr>
                <w:kern w:val="0"/>
                <w:sz w:val="21"/>
                <w:szCs w:val="21"/>
              </w:rPr>
            </w:pPr>
            <w:r>
              <w:rPr>
                <w:rFonts w:hint="eastAsia"/>
                <w:kern w:val="0"/>
                <w:sz w:val="21"/>
                <w:szCs w:val="21"/>
              </w:rPr>
              <w:t>环境准入</w:t>
            </w:r>
            <w:r>
              <w:rPr>
                <w:kern w:val="0"/>
                <w:sz w:val="21"/>
                <w:szCs w:val="21"/>
              </w:rPr>
              <w:t>负面清单</w:t>
            </w:r>
          </w:p>
        </w:tc>
        <w:tc>
          <w:tcPr>
            <w:tcW w:w="10492" w:type="dxa"/>
            <w:gridSpan w:val="2"/>
            <w:vAlign w:val="center"/>
          </w:tcPr>
          <w:p>
            <w:pPr>
              <w:widowControl/>
              <w:adjustRightInd/>
              <w:snapToGrid/>
              <w:spacing w:line="240" w:lineRule="auto"/>
              <w:ind w:firstLine="0" w:firstLineChars="0"/>
              <w:rPr>
                <w:kern w:val="0"/>
                <w:sz w:val="21"/>
                <w:szCs w:val="21"/>
              </w:rPr>
            </w:pPr>
            <w:r>
              <w:rPr>
                <w:rFonts w:hint="eastAsia"/>
                <w:kern w:val="0"/>
                <w:sz w:val="21"/>
                <w:szCs w:val="21"/>
              </w:rPr>
              <w:t>对照《市场准入负面清单》（20</w:t>
            </w:r>
            <w:r>
              <w:rPr>
                <w:kern w:val="0"/>
                <w:sz w:val="21"/>
                <w:szCs w:val="21"/>
              </w:rPr>
              <w:t>22</w:t>
            </w:r>
            <w:r>
              <w:rPr>
                <w:rFonts w:hint="eastAsia"/>
                <w:kern w:val="0"/>
                <w:sz w:val="21"/>
                <w:szCs w:val="21"/>
              </w:rPr>
              <w:t>年版），本项目不在清单中禁止准入类或许可准入类之列，可依法平等进入；对照《陕西省国家重点生态功能区产业准入负面清单（试行）》（陕发改规划〔2018〕213号）中旬阳县重点生态功能区产业准入负面清单，本项目不属于</w:t>
            </w:r>
            <w:r>
              <w:rPr>
                <w:kern w:val="0"/>
                <w:sz w:val="21"/>
                <w:szCs w:val="21"/>
              </w:rPr>
              <w:t>限养区和禁养区，</w:t>
            </w:r>
            <w:r>
              <w:rPr>
                <w:rFonts w:hint="eastAsia"/>
                <w:kern w:val="0"/>
                <w:sz w:val="21"/>
                <w:szCs w:val="21"/>
              </w:rPr>
              <w:t>舍</w:t>
            </w:r>
            <w:r>
              <w:rPr>
                <w:kern w:val="0"/>
                <w:sz w:val="21"/>
                <w:szCs w:val="21"/>
              </w:rPr>
              <w:t>饲</w:t>
            </w:r>
            <w:r>
              <w:rPr>
                <w:rFonts w:hint="eastAsia"/>
                <w:kern w:val="0"/>
                <w:sz w:val="21"/>
                <w:szCs w:val="21"/>
              </w:rPr>
              <w:t>圈</w:t>
            </w:r>
            <w:r>
              <w:rPr>
                <w:kern w:val="0"/>
                <w:sz w:val="21"/>
                <w:szCs w:val="21"/>
              </w:rPr>
              <w:t>养并配套建设</w:t>
            </w:r>
            <w:r>
              <w:rPr>
                <w:rFonts w:hint="eastAsia"/>
                <w:kern w:val="0"/>
                <w:sz w:val="21"/>
                <w:szCs w:val="21"/>
              </w:rPr>
              <w:t>牲畜</w:t>
            </w:r>
            <w:r>
              <w:rPr>
                <w:kern w:val="0"/>
                <w:sz w:val="21"/>
                <w:szCs w:val="21"/>
              </w:rPr>
              <w:t>排泄物集中处理设施</w:t>
            </w:r>
            <w:r>
              <w:rPr>
                <w:rFonts w:hint="eastAsia"/>
                <w:kern w:val="0"/>
                <w:sz w:val="21"/>
                <w:szCs w:val="21"/>
              </w:rPr>
              <w:t>，满足环境准入负面清单管控</w:t>
            </w:r>
            <w:r>
              <w:rPr>
                <w:kern w:val="0"/>
                <w:sz w:val="21"/>
                <w:szCs w:val="21"/>
              </w:rPr>
              <w:t>要求</w:t>
            </w:r>
            <w:r>
              <w:rPr>
                <w:rFonts w:hint="eastAsia"/>
                <w:kern w:val="0"/>
                <w:sz w:val="21"/>
                <w:szCs w:val="21"/>
              </w:rPr>
              <w:t>。</w:t>
            </w:r>
          </w:p>
        </w:tc>
        <w:tc>
          <w:tcPr>
            <w:tcW w:w="808" w:type="dxa"/>
            <w:vAlign w:val="center"/>
          </w:tcPr>
          <w:p>
            <w:pPr>
              <w:widowControl/>
              <w:spacing w:line="320" w:lineRule="atLeast"/>
              <w:ind w:firstLine="0" w:firstLineChars="0"/>
              <w:jc w:val="center"/>
              <w:rPr>
                <w:kern w:val="0"/>
                <w:sz w:val="21"/>
                <w:szCs w:val="21"/>
                <w:lang w:bidi="en-US"/>
              </w:rPr>
            </w:pPr>
            <w:r>
              <w:rPr>
                <w:kern w:val="0"/>
                <w:sz w:val="21"/>
                <w:szCs w:val="21"/>
                <w:lang w:bidi="en-US"/>
              </w:rPr>
              <w:t>符合</w:t>
            </w:r>
          </w:p>
        </w:tc>
      </w:tr>
    </w:tbl>
    <w:p>
      <w:pPr>
        <w:ind w:firstLine="0" w:firstLineChars="0"/>
        <w:sectPr>
          <w:pgSz w:w="16838" w:h="11906" w:orient="landscape"/>
          <w:pgMar w:top="1440" w:right="1440" w:bottom="1440" w:left="1440" w:header="992" w:footer="992" w:gutter="0"/>
          <w:pgNumType w:fmt="numberInDash" w:start="1"/>
          <w:cols w:space="425" w:num="1"/>
          <w:docGrid w:type="lines" w:linePitch="326" w:charSpace="0"/>
        </w:sectPr>
      </w:pPr>
    </w:p>
    <w:p>
      <w:pPr>
        <w:pStyle w:val="4"/>
      </w:pPr>
      <w:r>
        <w:rPr>
          <w:rFonts w:hint="eastAsia"/>
        </w:rPr>
        <w:t>土地</w:t>
      </w:r>
      <w:r>
        <w:t>利用合理性分析</w:t>
      </w:r>
    </w:p>
    <w:p>
      <w:pPr>
        <w:pStyle w:val="79"/>
        <w:ind w:firstLine="480"/>
      </w:pPr>
      <w:r>
        <w:rPr>
          <w:rFonts w:hint="eastAsia"/>
        </w:rPr>
        <w:t>根据《自然</w:t>
      </w:r>
      <w:r>
        <w:t>资源部办公厅</w:t>
      </w:r>
      <w:r>
        <w:rPr>
          <w:rFonts w:hint="eastAsia"/>
        </w:rPr>
        <w:t>关于</w:t>
      </w:r>
      <w:r>
        <w:t>保障生猪养殖用地有关问题的通知</w:t>
      </w:r>
      <w:r>
        <w:rPr>
          <w:rFonts w:hint="eastAsia"/>
        </w:rPr>
        <w:t>》</w:t>
      </w:r>
      <w:r>
        <w:t>（</w:t>
      </w:r>
      <w:r>
        <w:rPr>
          <w:rFonts w:hint="eastAsia"/>
        </w:rPr>
        <w:t>自然</w:t>
      </w:r>
      <w:r>
        <w:t>资电</w:t>
      </w:r>
      <w:r>
        <w:rPr>
          <w:rFonts w:hint="eastAsia"/>
        </w:rPr>
        <w:t>发[</w:t>
      </w:r>
      <w:r>
        <w:t>2019</w:t>
      </w:r>
      <w:r>
        <w:rPr>
          <w:rFonts w:hint="eastAsia"/>
        </w:rPr>
        <w:t>]</w:t>
      </w:r>
      <w:r>
        <w:t>39</w:t>
      </w:r>
      <w:r>
        <w:rPr>
          <w:rFonts w:hint="eastAsia"/>
        </w:rPr>
        <w:t>号</w:t>
      </w:r>
      <w:r>
        <w:t>）</w:t>
      </w:r>
      <w:r>
        <w:rPr>
          <w:rFonts w:hint="eastAsia"/>
        </w:rPr>
        <w:t>：“一是，生猪养殖用地作为设施农用地，按农用地管理，不需办理建设用地审批手续。在不占用基本农田的前提下，合理安排生猪养殖用地空间，作为养殖用途不需耕地占补平衡。二是，生猪养殖圈舍、场区内通道及绿化隔离带等生产设施用地，根据养殖规模确定用地规模；增加附属设施用地规模，取消15亩上限规定，保障生猪养殖生产的废弃物处理等设施用地需要。三是，鼓励利用荒山、荒沟、荒丘、荒滩和农村集体建设用地安排生猪养殖生产，鼓励利用原有养殖设施用地进行生猪养殖生产，各地可根据实际情况进一步制定鼓励支持政策。”</w:t>
      </w:r>
    </w:p>
    <w:p>
      <w:pPr>
        <w:pStyle w:val="79"/>
        <w:ind w:firstLine="480"/>
      </w:pPr>
      <w:r>
        <w:rPr>
          <w:rFonts w:hint="eastAsia"/>
        </w:rPr>
        <w:t>根据旬阳县关口</w:t>
      </w:r>
      <w:r>
        <w:t>镇人民政府</w:t>
      </w:r>
      <w:r>
        <w:rPr>
          <w:rFonts w:hint="eastAsia"/>
        </w:rPr>
        <w:t>关于本项目设施农用地备案批复通知（见附件），项目不涉及占用基本农田，符合设施农业用地条件。</w:t>
      </w:r>
    </w:p>
    <w:p>
      <w:pPr>
        <w:pStyle w:val="79"/>
        <w:ind w:firstLine="480"/>
      </w:pPr>
      <w:r>
        <w:rPr>
          <w:rFonts w:hint="eastAsia"/>
        </w:rPr>
        <w:t>综上分析，本项目建设不占用自然保护区林地、水源林和生态公益林等，不违反土地利用原则，项目对用地范围内公益林林地采取就地保护的措施。</w:t>
      </w:r>
    </w:p>
    <w:p>
      <w:pPr>
        <w:pStyle w:val="3"/>
      </w:pPr>
      <w:bookmarkStart w:id="11" w:name="_Toc108422215"/>
      <w:r>
        <w:rPr>
          <w:rFonts w:hint="eastAsia"/>
        </w:rPr>
        <w:t>建设</w:t>
      </w:r>
      <w:r>
        <w:t>项目特点</w:t>
      </w:r>
      <w:bookmarkEnd w:id="11"/>
    </w:p>
    <w:p>
      <w:pPr>
        <w:pStyle w:val="79"/>
        <w:ind w:firstLine="480"/>
      </w:pPr>
      <w:r>
        <w:rPr>
          <w:rFonts w:hint="eastAsia"/>
        </w:rPr>
        <w:t>（1）本项目为畜禽养殖类项目，属新建项目，年存</w:t>
      </w:r>
      <w:r>
        <w:t>栏5</w:t>
      </w:r>
      <w:r>
        <w:rPr>
          <w:rFonts w:hint="eastAsia"/>
        </w:rPr>
        <w:t>000</w:t>
      </w:r>
      <w:r>
        <w:t>头</w:t>
      </w:r>
      <w:r>
        <w:rPr>
          <w:rFonts w:hint="eastAsia"/>
        </w:rPr>
        <w:t>标准化生</w:t>
      </w:r>
      <w:r>
        <w:t>猪</w:t>
      </w:r>
      <w:r>
        <w:rPr>
          <w:rFonts w:hint="eastAsia"/>
        </w:rPr>
        <w:t>。属于</w:t>
      </w:r>
      <w:r>
        <w:t>《</w:t>
      </w:r>
      <w:r>
        <w:rPr>
          <w:rFonts w:hint="eastAsia"/>
        </w:rPr>
        <w:t>畜禽</w:t>
      </w:r>
      <w:r>
        <w:t>养殖污染防治最</w:t>
      </w:r>
      <w:r>
        <w:rPr>
          <w:rFonts w:hint="eastAsia"/>
        </w:rPr>
        <w:t>佳</w:t>
      </w:r>
      <w:r>
        <w:t>可行技术指南》</w:t>
      </w:r>
      <w:r>
        <w:rPr>
          <w:rFonts w:hint="eastAsia"/>
        </w:rPr>
        <w:t>（HJ</w:t>
      </w:r>
      <w:r>
        <w:t>-BAT-10</w:t>
      </w:r>
      <w:r>
        <w:rPr>
          <w:rFonts w:hint="eastAsia"/>
        </w:rPr>
        <w:t>）中</w:t>
      </w:r>
      <w:r>
        <w:t>的</w:t>
      </w:r>
      <w:r>
        <w:rPr>
          <w:rFonts w:hint="eastAsia"/>
        </w:rPr>
        <w:t>大型</w:t>
      </w:r>
      <w:r>
        <w:t>养殖规模</w:t>
      </w:r>
      <w:r>
        <w:rPr>
          <w:rFonts w:hint="eastAsia"/>
        </w:rPr>
        <w:t>、</w:t>
      </w:r>
      <w:r>
        <w:t>《</w:t>
      </w:r>
      <w:r>
        <w:rPr>
          <w:rFonts w:hint="eastAsia"/>
        </w:rPr>
        <w:t>畜禽</w:t>
      </w:r>
      <w:r>
        <w:t>养殖业污染物排放标准》</w:t>
      </w:r>
      <w:r>
        <w:rPr>
          <w:rFonts w:hint="eastAsia"/>
        </w:rPr>
        <w:t>（GB</w:t>
      </w:r>
      <w:r>
        <w:t>18596-2001</w:t>
      </w:r>
      <w:r>
        <w:rPr>
          <w:rFonts w:hint="eastAsia"/>
        </w:rPr>
        <w:t>）中</w:t>
      </w:r>
      <w:r>
        <w:t>的</w:t>
      </w:r>
      <w:r>
        <w:rPr>
          <w:rFonts w:hint="eastAsia"/>
        </w:rPr>
        <w:t>Ⅱ级</w:t>
      </w:r>
      <w:r>
        <w:t>养殖场规模。</w:t>
      </w:r>
    </w:p>
    <w:p>
      <w:pPr>
        <w:pStyle w:val="79"/>
        <w:ind w:firstLine="480"/>
      </w:pPr>
      <w:r>
        <w:rPr>
          <w:rFonts w:hint="eastAsia"/>
        </w:rPr>
        <w:t>（2）本项目种猪场饲养阶段划分为配种怀孕阶段、分娩哺乳阶段，育肥场阶段分为保育和育肥阶段，各阶段均会产生一定量的养殖臭气、猪舍废水、猪尿粪等，除此之外，还会产生一定量的病死猪（含分娩胎衣）。</w:t>
      </w:r>
    </w:p>
    <w:p>
      <w:pPr>
        <w:pStyle w:val="79"/>
        <w:ind w:firstLine="480"/>
      </w:pPr>
      <w:r>
        <w:rPr>
          <w:rFonts w:hint="eastAsia"/>
        </w:rPr>
        <w:t>（3）项目采用干清粪工艺，猪粪</w:t>
      </w:r>
      <w:r>
        <w:t>经固液分类设备处理后暂存于干粪暂存区，外售作为有机肥生产原料，职工生活污水和</w:t>
      </w:r>
      <w:r>
        <w:rPr>
          <w:rFonts w:hint="eastAsia"/>
        </w:rPr>
        <w:t>养殖过程产生的废水</w:t>
      </w:r>
      <w:r>
        <w:t>经“</w:t>
      </w:r>
      <w:r>
        <w:rPr>
          <w:rFonts w:hint="eastAsia"/>
        </w:rPr>
        <w:t>集粪</w:t>
      </w:r>
      <w:r>
        <w:t>池</w:t>
      </w:r>
      <w:r>
        <w:rPr>
          <w:rFonts w:hint="eastAsia"/>
        </w:rPr>
        <w:t>+固液</w:t>
      </w:r>
      <w:r>
        <w:t>分离</w:t>
      </w:r>
      <w:r>
        <w:rPr>
          <w:rFonts w:hint="eastAsia"/>
        </w:rPr>
        <w:t>+厌氧发酵池</w:t>
      </w:r>
      <w:r>
        <w:t>”</w:t>
      </w:r>
      <w:r>
        <w:rPr>
          <w:rFonts w:hint="eastAsia"/>
        </w:rPr>
        <w:t>处理</w:t>
      </w:r>
      <w:r>
        <w:t>后用于</w:t>
      </w:r>
      <w:r>
        <w:rPr>
          <w:rFonts w:hint="eastAsia"/>
        </w:rPr>
        <w:t>魔芋、林果等施肥，不外排。</w:t>
      </w:r>
    </w:p>
    <w:p>
      <w:pPr>
        <w:pStyle w:val="3"/>
      </w:pPr>
      <w:bookmarkStart w:id="12" w:name="_Toc108422216"/>
      <w:r>
        <w:rPr>
          <w:rFonts w:hint="eastAsia"/>
        </w:rPr>
        <w:t>环境影响评价过程</w:t>
      </w:r>
      <w:bookmarkEnd w:id="4"/>
      <w:bookmarkEnd w:id="12"/>
    </w:p>
    <w:p>
      <w:pPr>
        <w:pStyle w:val="79"/>
        <w:ind w:firstLine="480"/>
        <w:rPr>
          <w:rFonts w:cs="Times New Roman"/>
        </w:rPr>
      </w:pPr>
      <w:r>
        <w:t>根据《中华人民共和国环境保护法》、《中华人民共和国环境影响评价法》、《建设项目环境保护管理条例》</w:t>
      </w:r>
      <w:r>
        <w:rPr>
          <w:rFonts w:cs="Times New Roman"/>
        </w:rPr>
        <w:t>（国务院令第682号）等有关法律、法规规定，</w:t>
      </w:r>
      <w:r>
        <w:rPr>
          <w:rFonts w:hint="eastAsia" w:asciiTheme="minorEastAsia" w:hAnsiTheme="minorEastAsia" w:eastAsiaTheme="minorEastAsia"/>
        </w:rPr>
        <w:t>本项目</w:t>
      </w:r>
      <w:r>
        <w:rPr>
          <w:bCs/>
        </w:rPr>
        <w:t>需进行环境影响评价，</w:t>
      </w:r>
      <w:r>
        <w:rPr>
          <w:rFonts w:hint="eastAsia"/>
        </w:rPr>
        <w:t>根据</w:t>
      </w:r>
      <w:r>
        <w:t>《建设项目环境影响评价分类管理名录</w:t>
      </w:r>
      <w:r>
        <w:rPr>
          <w:rFonts w:hint="eastAsia"/>
        </w:rPr>
        <w:t>（2021年版）</w:t>
      </w:r>
      <w:r>
        <w:t>》</w:t>
      </w:r>
      <w:r>
        <w:rPr>
          <w:rFonts w:hint="eastAsia"/>
        </w:rPr>
        <w:t>（</w:t>
      </w:r>
      <w:r>
        <w:rPr>
          <w:rFonts w:hint="eastAsia" w:cs="Times New Roman"/>
        </w:rPr>
        <w:t>部令第16号</w:t>
      </w:r>
      <w:r>
        <w:rPr>
          <w:rFonts w:hint="eastAsia"/>
        </w:rPr>
        <w:t>）</w:t>
      </w:r>
      <w:r>
        <w:t>的有关规</w:t>
      </w:r>
      <w:r>
        <w:rPr>
          <w:bCs/>
        </w:rPr>
        <w:t>定，</w:t>
      </w:r>
      <w:r>
        <w:rPr>
          <w:rFonts w:hint="eastAsia" w:cs="Times New Roman"/>
        </w:rPr>
        <w:t>本项目的项目类别属于</w:t>
      </w:r>
      <w:r>
        <w:rPr>
          <w:rFonts w:hint="eastAsia" w:cs="Times New Roman" w:eastAsiaTheme="minorEastAsia"/>
        </w:rPr>
        <w:t>“</w:t>
      </w:r>
      <w:r>
        <w:rPr>
          <w:rFonts w:cs="Times New Roman" w:hAnsiTheme="minorEastAsia" w:eastAsiaTheme="minorEastAsia"/>
        </w:rPr>
        <w:t>二、畜牧业</w:t>
      </w:r>
      <w:r>
        <w:rPr>
          <w:rFonts w:hint="eastAsia" w:cs="Times New Roman" w:hAnsiTheme="minorEastAsia" w:eastAsiaTheme="minorEastAsia"/>
        </w:rPr>
        <w:t>-</w:t>
      </w:r>
      <w:r>
        <w:rPr>
          <w:rFonts w:cs="Times New Roman" w:eastAsiaTheme="minorEastAsia"/>
        </w:rPr>
        <w:t>031</w:t>
      </w:r>
      <w:r>
        <w:rPr>
          <w:rFonts w:hint="eastAsia" w:cs="Times New Roman" w:asciiTheme="minorEastAsia" w:hAnsiTheme="minorEastAsia" w:eastAsiaTheme="minorEastAsia"/>
        </w:rPr>
        <w:t>牲畜饲养</w:t>
      </w:r>
      <w:r>
        <w:rPr>
          <w:rFonts w:hint="eastAsia"/>
        </w:rPr>
        <w:t>-年出栏生猪5000头（其他畜禽种类折合猪的养殖量）及以上的规模化畜禽养殖；存栏生猪2500头（其他畜禽种类折合猪的养殖规模）及以上无出栏量的规模化畜禽养殖；涉及环境敏感区的规模化畜禽养殖</w:t>
      </w:r>
      <w:r>
        <w:rPr>
          <w:rFonts w:hint="eastAsia" w:cs="Times New Roman" w:eastAsiaTheme="minorEastAsia"/>
        </w:rPr>
        <w:t>”中的“</w:t>
      </w:r>
      <w:r>
        <w:rPr>
          <w:rFonts w:hint="eastAsia"/>
        </w:rPr>
        <w:t>年出栏生猪5000头（其他畜禽种类折合猪的养殖量）及以上的规模化畜禽养殖</w:t>
      </w:r>
      <w:r>
        <w:rPr>
          <w:rFonts w:hint="eastAsia" w:cs="Times New Roman" w:eastAsiaTheme="minorEastAsia"/>
        </w:rPr>
        <w:t>”</w:t>
      </w:r>
      <w:r>
        <w:rPr>
          <w:rFonts w:cs="Times New Roman" w:asciiTheme="minorEastAsia" w:hAnsiTheme="minorEastAsia" w:eastAsiaTheme="minorEastAsia"/>
        </w:rPr>
        <w:t>，</w:t>
      </w:r>
      <w:r>
        <w:rPr>
          <w:rFonts w:cs="Times New Roman"/>
        </w:rPr>
        <w:t>因此，本项目应编制环境影响报告书</w:t>
      </w:r>
      <w:r>
        <w:rPr>
          <w:rFonts w:hint="eastAsia" w:cs="Times New Roman"/>
        </w:rPr>
        <w:t>，建设项目环境影响评价分类管理名录（摘录）见表1.4-1。</w:t>
      </w:r>
    </w:p>
    <w:p>
      <w:pPr>
        <w:pStyle w:val="79"/>
        <w:spacing w:line="240" w:lineRule="auto"/>
        <w:ind w:firstLine="0" w:firstLineChars="0"/>
        <w:jc w:val="center"/>
        <w:rPr>
          <w:rFonts w:hAnsi="宋体" w:cs="Times New Roman"/>
          <w:b/>
          <w:sz w:val="21"/>
          <w:szCs w:val="21"/>
        </w:rPr>
      </w:pPr>
      <w:r>
        <w:rPr>
          <w:rFonts w:hAnsi="宋体" w:cs="Times New Roman"/>
          <w:b/>
          <w:sz w:val="21"/>
          <w:szCs w:val="21"/>
        </w:rPr>
        <w:t>表</w:t>
      </w:r>
      <w:r>
        <w:rPr>
          <w:rFonts w:cs="Times New Roman"/>
          <w:b/>
          <w:sz w:val="21"/>
          <w:szCs w:val="21"/>
        </w:rPr>
        <w:t>1.4-1</w:t>
      </w:r>
      <w:r>
        <w:rPr>
          <w:rFonts w:hAnsi="宋体" w:cs="Times New Roman"/>
          <w:b/>
          <w:sz w:val="21"/>
          <w:szCs w:val="21"/>
        </w:rPr>
        <w:t>建设项目环境影响评价分类管理名录（摘录）</w:t>
      </w:r>
    </w:p>
    <w:tbl>
      <w:tblPr>
        <w:tblStyle w:val="28"/>
        <w:tblW w:w="8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2969"/>
        <w:gridCol w:w="831"/>
        <w:gridCol w:w="1516"/>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9" w:type="dxa"/>
            <w:tcBorders>
              <w:top w:val="single" w:color="auto" w:sz="12" w:space="0"/>
              <w:left w:val="single" w:color="auto" w:sz="12" w:space="0"/>
              <w:tl2br w:val="single" w:color="auto" w:sz="4"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 xml:space="preserve">     项目类别</w:t>
            </w:r>
          </w:p>
          <w:p>
            <w:pPr>
              <w:pStyle w:val="79"/>
              <w:spacing w:line="240" w:lineRule="auto"/>
              <w:ind w:firstLine="0" w:firstLineChars="0"/>
              <w:rPr>
                <w:rFonts w:cs="Times New Roman"/>
                <w:sz w:val="21"/>
                <w:szCs w:val="21"/>
              </w:rPr>
            </w:pPr>
            <w:r>
              <w:rPr>
                <w:rFonts w:hint="eastAsia" w:cs="Times New Roman"/>
                <w:sz w:val="21"/>
                <w:szCs w:val="21"/>
              </w:rPr>
              <w:t>环评类别</w:t>
            </w:r>
          </w:p>
        </w:tc>
        <w:tc>
          <w:tcPr>
            <w:tcW w:w="2969" w:type="dxa"/>
            <w:tcBorders>
              <w:top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报告书</w:t>
            </w:r>
          </w:p>
        </w:tc>
        <w:tc>
          <w:tcPr>
            <w:tcW w:w="831" w:type="dxa"/>
            <w:tcBorders>
              <w:top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报告表</w:t>
            </w:r>
          </w:p>
        </w:tc>
        <w:tc>
          <w:tcPr>
            <w:tcW w:w="1516" w:type="dxa"/>
            <w:tcBorders>
              <w:top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登记表</w:t>
            </w:r>
          </w:p>
        </w:tc>
        <w:tc>
          <w:tcPr>
            <w:tcW w:w="1301" w:type="dxa"/>
            <w:tcBorders>
              <w:top w:val="single" w:color="auto" w:sz="12" w:space="0"/>
              <w:right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本栏目环境敏感区含义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76" w:type="dxa"/>
            <w:gridSpan w:val="5"/>
            <w:tcBorders>
              <w:left w:val="single" w:color="auto" w:sz="12" w:space="0"/>
              <w:right w:val="single" w:color="auto" w:sz="12" w:space="0"/>
            </w:tcBorders>
            <w:vAlign w:val="center"/>
          </w:tcPr>
          <w:p>
            <w:pPr>
              <w:pStyle w:val="79"/>
              <w:spacing w:line="240" w:lineRule="auto"/>
              <w:ind w:firstLine="0" w:firstLineChars="0"/>
              <w:rPr>
                <w:rFonts w:cs="Times New Roman"/>
                <w:sz w:val="21"/>
                <w:szCs w:val="21"/>
              </w:rPr>
            </w:pPr>
            <w:r>
              <w:rPr>
                <w:rFonts w:hint="eastAsia" w:cs="Times New Roman"/>
                <w:sz w:val="21"/>
                <w:szCs w:val="21"/>
              </w:rPr>
              <w:t>二、畜牧业03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9" w:type="dxa"/>
            <w:tcBorders>
              <w:left w:val="single" w:color="auto" w:sz="12" w:space="0"/>
              <w:bottom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牲畜饲养031；家禽饲养032；其他畜牧业039</w:t>
            </w:r>
          </w:p>
        </w:tc>
        <w:tc>
          <w:tcPr>
            <w:tcW w:w="2969" w:type="dxa"/>
            <w:tcBorders>
              <w:bottom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b/>
                <w:sz w:val="21"/>
                <w:szCs w:val="21"/>
              </w:rPr>
              <w:t>年出栏生猪5000头（其他畜禽种类折合猪的养殖量）及以上的规模化畜禽养殖</w:t>
            </w:r>
            <w:r>
              <w:rPr>
                <w:rFonts w:hint="eastAsia" w:cs="Times New Roman"/>
                <w:sz w:val="21"/>
                <w:szCs w:val="21"/>
              </w:rPr>
              <w:t>；存栏生猪2500头（其他畜禽种类折合猪的养殖规模）及以上无出栏量的规模化畜禽养殖；涉及环境敏感区的规模化畜禽养殖</w:t>
            </w:r>
          </w:p>
        </w:tc>
        <w:tc>
          <w:tcPr>
            <w:tcW w:w="831" w:type="dxa"/>
            <w:tcBorders>
              <w:bottom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w:t>
            </w:r>
          </w:p>
        </w:tc>
        <w:tc>
          <w:tcPr>
            <w:tcW w:w="1516" w:type="dxa"/>
            <w:tcBorders>
              <w:bottom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其他（规模化以下的除外）（具体规模化的标准按《畜禽规模化养殖污染防治条例》执行）</w:t>
            </w:r>
          </w:p>
        </w:tc>
        <w:tc>
          <w:tcPr>
            <w:tcW w:w="1301" w:type="dxa"/>
            <w:tcBorders>
              <w:bottom w:val="single" w:color="auto" w:sz="12" w:space="0"/>
              <w:right w:val="single" w:color="auto" w:sz="12" w:space="0"/>
            </w:tcBorders>
            <w:vAlign w:val="center"/>
          </w:tcPr>
          <w:p>
            <w:pPr>
              <w:pStyle w:val="79"/>
              <w:spacing w:line="240" w:lineRule="auto"/>
              <w:ind w:firstLine="0" w:firstLineChars="0"/>
              <w:jc w:val="center"/>
              <w:rPr>
                <w:rFonts w:cs="Times New Roman"/>
                <w:sz w:val="21"/>
                <w:szCs w:val="21"/>
              </w:rPr>
            </w:pPr>
            <w:r>
              <w:rPr>
                <w:rFonts w:hint="eastAsia" w:cs="Times New Roman"/>
                <w:sz w:val="21"/>
                <w:szCs w:val="21"/>
              </w:rPr>
              <w:t>第三条（一）中的全部区域；第三条（三）中的全部区域</w:t>
            </w:r>
          </w:p>
        </w:tc>
      </w:tr>
    </w:tbl>
    <w:p>
      <w:pPr>
        <w:pStyle w:val="79"/>
        <w:ind w:firstLine="480"/>
      </w:pPr>
      <w:r>
        <w:rPr>
          <w:rFonts w:hint="eastAsia"/>
        </w:rPr>
        <w:t>陕西绿森园牧业有限公司</w:t>
      </w:r>
      <w:r>
        <w:t>于2020年</w:t>
      </w:r>
      <w:r>
        <w:rPr>
          <w:rFonts w:hint="eastAsia"/>
        </w:rPr>
        <w:t>11</w:t>
      </w:r>
      <w:r>
        <w:t>月</w:t>
      </w:r>
      <w:r>
        <w:rPr>
          <w:rFonts w:hint="eastAsia"/>
        </w:rPr>
        <w:t>20日</w:t>
      </w:r>
      <w:r>
        <w:t>委托</w:t>
      </w:r>
      <w:r>
        <w:rPr>
          <w:rFonts w:hint="eastAsia"/>
        </w:rPr>
        <w:t>西安君润环保科技工程有限公司</w:t>
      </w:r>
      <w:r>
        <w:t>（以下简称评价单位）承担本项目的环境影响评价工作（</w:t>
      </w:r>
      <w:r>
        <w:rPr>
          <w:rFonts w:hint="eastAsia"/>
        </w:rPr>
        <w:t>委托书</w:t>
      </w:r>
      <w:r>
        <w:t>见附件）。接受委托后，</w:t>
      </w:r>
      <w:r>
        <w:rPr>
          <w:rFonts w:hint="eastAsia"/>
        </w:rPr>
        <w:t>我单位</w:t>
      </w:r>
      <w:r>
        <w:t>专门成立了评价小组</w:t>
      </w:r>
      <w:r>
        <w:rPr>
          <w:rFonts w:hint="eastAsia"/>
        </w:rPr>
        <w:t>并</w:t>
      </w:r>
      <w:r>
        <w:t>组织相关技术人员对评价区域进行了详细的现场勘察，收集整理了与本项目有关的环境现状资料，研究了建设单位提供的工程资料。根据现场调查、收集到的有关文件、资料，开展了初步的工程分析，确定了各环境要素的评价工作等级，在此基础上进行了环境质量现状监测，获得了区域环境质量现状数据。</w:t>
      </w:r>
    </w:p>
    <w:p>
      <w:pPr>
        <w:pStyle w:val="79"/>
        <w:ind w:firstLine="480"/>
        <w:rPr>
          <w:bCs/>
        </w:rPr>
      </w:pPr>
      <w:r>
        <w:t>评价小组依据现状数据和有关资料，结合项目特点，经过深入的调查、分析和预测，并在充分的公众参与调查基础上，根据环境影响评价有关技术导则、规范的要求，编制完成了</w:t>
      </w:r>
      <w:r>
        <w:rPr>
          <w:bCs/>
        </w:rPr>
        <w:t>《</w:t>
      </w:r>
      <w:r>
        <w:rPr>
          <w:rFonts w:hint="eastAsia"/>
          <w:bCs/>
        </w:rPr>
        <w:t>陕</w:t>
      </w:r>
      <w:r>
        <w:rPr>
          <w:rFonts w:hint="eastAsia"/>
        </w:rPr>
        <w:t>西绿森园牧业有限公司种养殖项目</w:t>
      </w:r>
      <w:r>
        <w:rPr>
          <w:bCs/>
        </w:rPr>
        <w:t>环境影响报告书》，由建设单位报请</w:t>
      </w:r>
      <w:r>
        <w:rPr>
          <w:rFonts w:hint="eastAsia"/>
          <w:bCs/>
        </w:rPr>
        <w:t>安康市生态环境局</w:t>
      </w:r>
      <w:r>
        <w:rPr>
          <w:bCs/>
        </w:rPr>
        <w:t>组织审查。</w:t>
      </w:r>
    </w:p>
    <w:p>
      <w:pPr>
        <w:pStyle w:val="3"/>
      </w:pPr>
      <w:bookmarkStart w:id="13" w:name="_Toc108422217"/>
      <w:bookmarkStart w:id="14" w:name="_Toc488102145"/>
      <w:r>
        <w:rPr>
          <w:rFonts w:hint="eastAsia"/>
        </w:rPr>
        <w:t>关注的主要环境问题</w:t>
      </w:r>
      <w:bookmarkEnd w:id="13"/>
      <w:bookmarkEnd w:id="14"/>
    </w:p>
    <w:p>
      <w:pPr>
        <w:ind w:firstLine="480"/>
      </w:pPr>
      <w:r>
        <w:t>（1）废气方面：主要关注运营期养殖区恶臭。</w:t>
      </w:r>
    </w:p>
    <w:p>
      <w:pPr>
        <w:ind w:firstLine="480"/>
      </w:pPr>
      <w:r>
        <w:t>重点分析废气源强、治理措施的可行性及对周边大气环境的影响。</w:t>
      </w:r>
    </w:p>
    <w:p>
      <w:pPr>
        <w:ind w:firstLine="480"/>
      </w:pPr>
      <w:r>
        <w:t>（2）废水方面：主要关注运营过程中养殖废水和生活污水。废水污染因子为pH、COD、NH</w:t>
      </w:r>
      <w:r>
        <w:rPr>
          <w:vertAlign w:val="subscript"/>
        </w:rPr>
        <w:t>3</w:t>
      </w:r>
      <w:r>
        <w:t>-N、SS和粪大肠杆菌。</w:t>
      </w:r>
    </w:p>
    <w:p>
      <w:pPr>
        <w:ind w:firstLine="480"/>
      </w:pPr>
      <w:r>
        <w:t>重点分析废水水量、水质及处理工艺的可行性，废水不外排的可行性。</w:t>
      </w:r>
    </w:p>
    <w:p>
      <w:pPr>
        <w:ind w:firstLine="480"/>
      </w:pPr>
      <w:r>
        <w:t>（3）噪声方面：关注运营期场界噪声是否可以达到相应的标准要求。</w:t>
      </w:r>
    </w:p>
    <w:p>
      <w:pPr>
        <w:ind w:firstLine="480"/>
      </w:pPr>
      <w:r>
        <w:t>重点分析噪声控制措施的可行性及场界的达标可行性。</w:t>
      </w:r>
    </w:p>
    <w:p>
      <w:pPr>
        <w:ind w:firstLine="480"/>
      </w:pPr>
      <w:r>
        <w:t>（4）固废方面：关注猪粪、废脱硫剂、医疗废物的去向。</w:t>
      </w:r>
    </w:p>
    <w:p>
      <w:pPr>
        <w:ind w:firstLine="480"/>
      </w:pPr>
      <w:r>
        <w:t>重点分析固废的产生情况、暂存设施设置的规范要求及处置是否符合环保要求。</w:t>
      </w:r>
    </w:p>
    <w:p>
      <w:pPr>
        <w:pStyle w:val="3"/>
      </w:pPr>
      <w:bookmarkStart w:id="15" w:name="_Toc108422218"/>
      <w:bookmarkStart w:id="16" w:name="_Toc488102146"/>
      <w:r>
        <w:rPr>
          <w:rFonts w:hint="eastAsia"/>
        </w:rPr>
        <w:t>环境影响评价的主要结论</w:t>
      </w:r>
      <w:bookmarkEnd w:id="15"/>
      <w:bookmarkEnd w:id="16"/>
    </w:p>
    <w:p>
      <w:pPr>
        <w:ind w:firstLine="480"/>
      </w:pPr>
      <w:r>
        <w:rPr>
          <w:rFonts w:hint="eastAsia"/>
          <w:bCs/>
        </w:rPr>
        <w:t>陕</w:t>
      </w:r>
      <w:r>
        <w:rPr>
          <w:rFonts w:hint="eastAsia"/>
        </w:rPr>
        <w:t>西绿森园牧业有限公司种养殖项目符合国家产业政策和地方相关规划的要求；各项污染物能够达标排放；项目运行后对周围环境影响较小；项目建成后对当地经济起到促进作用。但考虑项目在建设过程中的不确定因素，项目建设过程中要认真落实环境保护“三同时”，严格落实设计和环评报告提出的污染防治措施和环境保护措施，并加强环保设施的运行维护和管理，保证各种环保设施的正常运行和污染物长期稳定达标排放。项目需落实并保证以上条件实施，不改变周边环境的功能要求，在满足环境质量目标要求情况下，该项目建设具有环境可行性。</w:t>
      </w:r>
    </w:p>
    <w:p>
      <w:pPr>
        <w:ind w:firstLine="480"/>
        <w:sectPr>
          <w:pgSz w:w="11906" w:h="16838"/>
          <w:pgMar w:top="1440" w:right="1800" w:bottom="1440" w:left="1800" w:header="992" w:footer="992" w:gutter="0"/>
          <w:pgNumType w:fmt="numberInDash"/>
          <w:cols w:space="425" w:num="1"/>
          <w:docGrid w:type="lines" w:linePitch="326" w:charSpace="0"/>
        </w:sectPr>
      </w:pPr>
    </w:p>
    <w:p>
      <w:pPr>
        <w:pStyle w:val="2"/>
      </w:pPr>
      <w:bookmarkStart w:id="17" w:name="_Toc108422219"/>
      <w:bookmarkStart w:id="18" w:name="_Toc488102147"/>
      <w:r>
        <w:rPr>
          <w:rFonts w:hint="eastAsia"/>
        </w:rPr>
        <w:t>总则</w:t>
      </w:r>
      <w:bookmarkEnd w:id="17"/>
      <w:bookmarkEnd w:id="18"/>
    </w:p>
    <w:p>
      <w:pPr>
        <w:pStyle w:val="3"/>
      </w:pPr>
      <w:bookmarkStart w:id="19" w:name="_Toc488102148"/>
      <w:bookmarkStart w:id="20" w:name="_Toc108422220"/>
      <w:r>
        <w:rPr>
          <w:rFonts w:hint="eastAsia"/>
        </w:rPr>
        <w:t>编制依据</w:t>
      </w:r>
      <w:bookmarkEnd w:id="19"/>
      <w:bookmarkEnd w:id="20"/>
    </w:p>
    <w:p>
      <w:pPr>
        <w:pStyle w:val="4"/>
      </w:pPr>
      <w:r>
        <w:rPr>
          <w:rFonts w:hint="eastAsia"/>
        </w:rPr>
        <w:t>国家法律法规</w:t>
      </w:r>
    </w:p>
    <w:p>
      <w:pPr>
        <w:numPr>
          <w:ilvl w:val="0"/>
          <w:numId w:val="4"/>
        </w:numPr>
      </w:pPr>
      <w:r>
        <w:t>《中华人民共和国环境保护法》，2015</w:t>
      </w:r>
      <w:r>
        <w:rPr>
          <w:rFonts w:hint="eastAsia"/>
        </w:rPr>
        <w:t>.</w:t>
      </w:r>
      <w:r>
        <w:t>1</w:t>
      </w:r>
      <w:r>
        <w:rPr>
          <w:rFonts w:hint="eastAsia"/>
        </w:rPr>
        <w:t>.</w:t>
      </w:r>
      <w:r>
        <w:t>1；</w:t>
      </w:r>
    </w:p>
    <w:p>
      <w:pPr>
        <w:numPr>
          <w:ilvl w:val="0"/>
          <w:numId w:val="4"/>
        </w:numPr>
      </w:pPr>
      <w:r>
        <w:t>《中华人民共和国环境影响评价法》</w:t>
      </w:r>
      <w:r>
        <w:rPr>
          <w:rFonts w:hint="eastAsia"/>
        </w:rPr>
        <w:t>（</w:t>
      </w:r>
      <w:r>
        <w:t>修订</w:t>
      </w:r>
      <w:r>
        <w:rPr>
          <w:rFonts w:hint="eastAsia"/>
        </w:rPr>
        <w:t>版）</w:t>
      </w:r>
      <w:r>
        <w:t>，2018</w:t>
      </w:r>
      <w:r>
        <w:rPr>
          <w:rFonts w:hint="eastAsia"/>
        </w:rPr>
        <w:t>.</w:t>
      </w:r>
      <w:r>
        <w:t>12</w:t>
      </w:r>
      <w:r>
        <w:rPr>
          <w:rFonts w:hint="eastAsia"/>
        </w:rPr>
        <w:t>.</w:t>
      </w:r>
      <w:r>
        <w:t>29；</w:t>
      </w:r>
    </w:p>
    <w:p>
      <w:pPr>
        <w:numPr>
          <w:ilvl w:val="0"/>
          <w:numId w:val="4"/>
        </w:numPr>
      </w:pPr>
      <w:r>
        <w:t>《中华人民共和国大气污染防治法》</w:t>
      </w:r>
      <w:r>
        <w:rPr>
          <w:rFonts w:hint="eastAsia"/>
        </w:rPr>
        <w:t>（修订版）</w:t>
      </w:r>
      <w:r>
        <w:t>，2018</w:t>
      </w:r>
      <w:r>
        <w:rPr>
          <w:rFonts w:hint="eastAsia"/>
        </w:rPr>
        <w:t>.</w:t>
      </w:r>
      <w:r>
        <w:t>10</w:t>
      </w:r>
      <w:r>
        <w:rPr>
          <w:rFonts w:hint="eastAsia"/>
        </w:rPr>
        <w:t>.</w:t>
      </w:r>
      <w:r>
        <w:t>26；</w:t>
      </w:r>
    </w:p>
    <w:p>
      <w:pPr>
        <w:numPr>
          <w:ilvl w:val="0"/>
          <w:numId w:val="4"/>
        </w:numPr>
      </w:pPr>
      <w:r>
        <w:t>《中华人民共和国水污染防治法》</w:t>
      </w:r>
      <w:r>
        <w:rPr>
          <w:rFonts w:hint="eastAsia"/>
        </w:rPr>
        <w:t>（修订版）</w:t>
      </w:r>
      <w:r>
        <w:t>，2018</w:t>
      </w:r>
      <w:r>
        <w:rPr>
          <w:rFonts w:hint="eastAsia"/>
        </w:rPr>
        <w:t>.1.</w:t>
      </w:r>
      <w:r>
        <w:t>1；</w:t>
      </w:r>
    </w:p>
    <w:p>
      <w:pPr>
        <w:numPr>
          <w:ilvl w:val="0"/>
          <w:numId w:val="4"/>
        </w:numPr>
      </w:pPr>
      <w:r>
        <w:t>《中华人民共和国环境噪声污染防治法》</w:t>
      </w:r>
      <w:r>
        <w:rPr>
          <w:rFonts w:hint="eastAsia"/>
        </w:rPr>
        <w:t>（修订版）</w:t>
      </w:r>
      <w:r>
        <w:t>，2018</w:t>
      </w:r>
      <w:r>
        <w:rPr>
          <w:rFonts w:hint="eastAsia"/>
        </w:rPr>
        <w:t>.</w:t>
      </w:r>
      <w:r>
        <w:t>12</w:t>
      </w:r>
      <w:r>
        <w:rPr>
          <w:rFonts w:hint="eastAsia"/>
        </w:rPr>
        <w:t>.</w:t>
      </w:r>
      <w:r>
        <w:t>29；</w:t>
      </w:r>
    </w:p>
    <w:p>
      <w:pPr>
        <w:numPr>
          <w:ilvl w:val="0"/>
          <w:numId w:val="4"/>
        </w:numPr>
      </w:pPr>
      <w:r>
        <w:t>《中华人民共和国固体废物污染环境防治法》</w:t>
      </w:r>
      <w:r>
        <w:rPr>
          <w:rFonts w:hint="eastAsia"/>
        </w:rPr>
        <w:t>（修订版）</w:t>
      </w:r>
      <w:r>
        <w:t>，20</w:t>
      </w:r>
      <w:r>
        <w:rPr>
          <w:rFonts w:hint="eastAsia"/>
        </w:rPr>
        <w:t>20.9.1；</w:t>
      </w:r>
    </w:p>
    <w:p>
      <w:pPr>
        <w:numPr>
          <w:ilvl w:val="0"/>
          <w:numId w:val="4"/>
        </w:numPr>
      </w:pPr>
      <w:r>
        <w:rPr>
          <w:rFonts w:hint="eastAsia"/>
        </w:rPr>
        <w:t>《</w:t>
      </w:r>
      <w:r>
        <w:rPr>
          <w:kern w:val="0"/>
          <w:szCs w:val="24"/>
          <w:lang w:val="zh-CN"/>
        </w:rPr>
        <w:t>中华人民共和国土壤污染防治法</w:t>
      </w:r>
      <w:r>
        <w:rPr>
          <w:rFonts w:hint="eastAsia"/>
        </w:rPr>
        <w:t>》，2019.1.1；</w:t>
      </w:r>
    </w:p>
    <w:p>
      <w:pPr>
        <w:numPr>
          <w:ilvl w:val="0"/>
          <w:numId w:val="4"/>
        </w:numPr>
      </w:pPr>
      <w:r>
        <w:t>《中华人民共和国清洁生产促进法》，2012</w:t>
      </w:r>
      <w:r>
        <w:rPr>
          <w:rFonts w:hint="eastAsia"/>
        </w:rPr>
        <w:t>.</w:t>
      </w:r>
      <w:r>
        <w:t>7</w:t>
      </w:r>
      <w:r>
        <w:rPr>
          <w:rFonts w:hint="eastAsia"/>
        </w:rPr>
        <w:t>.</w:t>
      </w:r>
      <w:r>
        <w:t>3；</w:t>
      </w:r>
    </w:p>
    <w:p>
      <w:pPr>
        <w:numPr>
          <w:ilvl w:val="0"/>
          <w:numId w:val="4"/>
        </w:numPr>
      </w:pPr>
      <w:r>
        <w:t>《中华人民共和国循环经济促进法》</w:t>
      </w:r>
      <w:r>
        <w:rPr>
          <w:rFonts w:hint="eastAsia"/>
        </w:rPr>
        <w:t>（修订版）</w:t>
      </w:r>
      <w:r>
        <w:t>，20</w:t>
      </w:r>
      <w:r>
        <w:rPr>
          <w:rFonts w:hint="eastAsia"/>
        </w:rPr>
        <w:t>18.</w:t>
      </w:r>
      <w:r>
        <w:t>1</w:t>
      </w:r>
      <w:r>
        <w:rPr>
          <w:rFonts w:hint="eastAsia"/>
        </w:rPr>
        <w:t>0.26</w:t>
      </w:r>
      <w:r>
        <w:t>；</w:t>
      </w:r>
    </w:p>
    <w:p>
      <w:pPr>
        <w:numPr>
          <w:ilvl w:val="0"/>
          <w:numId w:val="4"/>
        </w:numPr>
      </w:pPr>
      <w:r>
        <w:rPr>
          <w:rFonts w:hint="eastAsia"/>
        </w:rPr>
        <w:t>《中华</w:t>
      </w:r>
      <w:r>
        <w:t>人民共和国动物防疫法</w:t>
      </w:r>
      <w:r>
        <w:rPr>
          <w:rFonts w:hint="eastAsia"/>
        </w:rPr>
        <w:t>》（修订版），2015.</w:t>
      </w:r>
      <w:r>
        <w:t>4</w:t>
      </w:r>
      <w:r>
        <w:rPr>
          <w:rFonts w:hint="eastAsia"/>
        </w:rPr>
        <w:t>.24。</w:t>
      </w:r>
    </w:p>
    <w:p>
      <w:pPr>
        <w:pStyle w:val="4"/>
      </w:pPr>
      <w:r>
        <w:rPr>
          <w:rFonts w:hint="eastAsia"/>
        </w:rPr>
        <w:t>国务院</w:t>
      </w:r>
      <w:r>
        <w:t>行政法规及规范性文件</w:t>
      </w:r>
    </w:p>
    <w:p>
      <w:pPr>
        <w:numPr>
          <w:ilvl w:val="0"/>
          <w:numId w:val="5"/>
        </w:numPr>
        <w:ind w:firstLineChars="0"/>
      </w:pPr>
      <w:r>
        <w:t>《建设项目环境保护管理条例》（</w:t>
      </w:r>
      <w:r>
        <w:rPr>
          <w:rFonts w:hint="eastAsia"/>
        </w:rPr>
        <w:t>修订版</w:t>
      </w:r>
      <w:r>
        <w:t>）</w:t>
      </w:r>
      <w:r>
        <w:rPr>
          <w:rFonts w:hint="eastAsia"/>
        </w:rPr>
        <w:t>，</w:t>
      </w:r>
      <w:r>
        <w:t>2017</w:t>
      </w:r>
      <w:r>
        <w:rPr>
          <w:rFonts w:hint="eastAsia"/>
        </w:rPr>
        <w:t>.10.</w:t>
      </w:r>
      <w:r>
        <w:t>1；</w:t>
      </w:r>
    </w:p>
    <w:p>
      <w:pPr>
        <w:numPr>
          <w:ilvl w:val="0"/>
          <w:numId w:val="5"/>
        </w:numPr>
        <w:ind w:firstLineChars="0"/>
      </w:pPr>
      <w:r>
        <w:t>《关于划定并严守生态保护红线的若干意见》（国务院办公厅，2017年2月7日）；</w:t>
      </w:r>
    </w:p>
    <w:p>
      <w:pPr>
        <w:numPr>
          <w:ilvl w:val="0"/>
          <w:numId w:val="5"/>
        </w:numPr>
        <w:ind w:firstLineChars="0"/>
      </w:pPr>
      <w:r>
        <w:t>《关于加强环境保护重点工作的意见》（国发[2011]35号）；</w:t>
      </w:r>
    </w:p>
    <w:p>
      <w:pPr>
        <w:numPr>
          <w:ilvl w:val="0"/>
          <w:numId w:val="5"/>
        </w:numPr>
        <w:ind w:firstLineChars="0"/>
      </w:pPr>
      <w:r>
        <w:t>《土壤污染防治行动计划》，国发[2016]31号，2016</w:t>
      </w:r>
      <w:r>
        <w:rPr>
          <w:rFonts w:hint="eastAsia"/>
        </w:rPr>
        <w:t>.</w:t>
      </w:r>
      <w:r>
        <w:t>5</w:t>
      </w:r>
      <w:r>
        <w:rPr>
          <w:rFonts w:hint="eastAsia"/>
        </w:rPr>
        <w:t>.</w:t>
      </w:r>
      <w:r>
        <w:t>28；</w:t>
      </w:r>
    </w:p>
    <w:p>
      <w:pPr>
        <w:numPr>
          <w:ilvl w:val="0"/>
          <w:numId w:val="5"/>
        </w:numPr>
        <w:ind w:firstLineChars="0"/>
      </w:pPr>
      <w:r>
        <w:t>《水污染防治行动计划》，国发[2015]17号，2015</w:t>
      </w:r>
      <w:r>
        <w:rPr>
          <w:rFonts w:hint="eastAsia"/>
        </w:rPr>
        <w:t>.</w:t>
      </w:r>
      <w:r>
        <w:t>4</w:t>
      </w:r>
      <w:r>
        <w:rPr>
          <w:rFonts w:hint="eastAsia"/>
        </w:rPr>
        <w:t>.</w:t>
      </w:r>
      <w:r>
        <w:t>2；</w:t>
      </w:r>
    </w:p>
    <w:p>
      <w:pPr>
        <w:numPr>
          <w:ilvl w:val="0"/>
          <w:numId w:val="5"/>
        </w:numPr>
        <w:ind w:firstLineChars="0"/>
      </w:pPr>
      <w:r>
        <w:t>《大气污染防治行动计划》，国发[2013]37号，2013</w:t>
      </w:r>
      <w:r>
        <w:rPr>
          <w:rFonts w:hint="eastAsia"/>
        </w:rPr>
        <w:t>.</w:t>
      </w:r>
      <w:r>
        <w:t>9</w:t>
      </w:r>
      <w:r>
        <w:rPr>
          <w:rFonts w:hint="eastAsia"/>
        </w:rPr>
        <w:t>.</w:t>
      </w:r>
      <w:r>
        <w:t>10；</w:t>
      </w:r>
    </w:p>
    <w:p>
      <w:pPr>
        <w:numPr>
          <w:ilvl w:val="0"/>
          <w:numId w:val="5"/>
        </w:numPr>
        <w:ind w:firstLineChars="0"/>
      </w:pPr>
      <w:r>
        <w:rPr>
          <w:rFonts w:hint="eastAsia"/>
        </w:rPr>
        <w:t>《全国主体功能区规划》，</w:t>
      </w:r>
      <w:r>
        <w:t>2010.10.21</w:t>
      </w:r>
      <w:r>
        <w:rPr>
          <w:rFonts w:hint="eastAsia"/>
        </w:rPr>
        <w:t>；</w:t>
      </w:r>
    </w:p>
    <w:p>
      <w:pPr>
        <w:numPr>
          <w:ilvl w:val="0"/>
          <w:numId w:val="5"/>
        </w:numPr>
        <w:ind w:firstLineChars="0"/>
      </w:pPr>
      <w:r>
        <w:rPr>
          <w:rFonts w:hint="eastAsia"/>
        </w:rPr>
        <w:t>《畜禽规模养殖污染防治条例》，国务院令第</w:t>
      </w:r>
      <w:r>
        <w:t>643</w:t>
      </w:r>
      <w:r>
        <w:rPr>
          <w:rFonts w:hint="eastAsia"/>
        </w:rPr>
        <w:t>号，</w:t>
      </w:r>
      <w:r>
        <w:t>2014.1.1</w:t>
      </w:r>
      <w:r>
        <w:rPr>
          <w:rFonts w:hint="eastAsia"/>
        </w:rPr>
        <w:t>；</w:t>
      </w:r>
    </w:p>
    <w:p>
      <w:pPr>
        <w:numPr>
          <w:ilvl w:val="0"/>
          <w:numId w:val="5"/>
        </w:numPr>
        <w:ind w:firstLineChars="0"/>
      </w:pPr>
      <w:r>
        <w:rPr>
          <w:rFonts w:hint="eastAsia"/>
        </w:rPr>
        <w:t>《重大动物疫情应急条例》（修订版），国务院令第</w:t>
      </w:r>
      <w:r>
        <w:t>687</w:t>
      </w:r>
      <w:r>
        <w:rPr>
          <w:rFonts w:hint="eastAsia"/>
        </w:rPr>
        <w:t>号，</w:t>
      </w:r>
      <w:r>
        <w:t>2017.10.7</w:t>
      </w:r>
      <w:r>
        <w:rPr>
          <w:rFonts w:hint="eastAsia"/>
        </w:rPr>
        <w:t>；</w:t>
      </w:r>
    </w:p>
    <w:p>
      <w:pPr>
        <w:numPr>
          <w:ilvl w:val="0"/>
          <w:numId w:val="5"/>
        </w:numPr>
        <w:ind w:firstLineChars="0"/>
      </w:pPr>
      <w:r>
        <w:rPr>
          <w:rFonts w:hint="eastAsia"/>
        </w:rPr>
        <w:t>《国务院关于促进畜牧业持续健康发展的意见》，国发[</w:t>
      </w:r>
      <w:r>
        <w:t>2007</w:t>
      </w:r>
      <w:r>
        <w:rPr>
          <w:rFonts w:hint="eastAsia"/>
        </w:rPr>
        <w:t>]</w:t>
      </w:r>
      <w:r>
        <w:t>4</w:t>
      </w:r>
      <w:r>
        <w:rPr>
          <w:rFonts w:hint="eastAsia"/>
        </w:rPr>
        <w:t>号，</w:t>
      </w:r>
      <w:r>
        <w:t>2007.2.6</w:t>
      </w:r>
      <w:r>
        <w:rPr>
          <w:rFonts w:hint="eastAsia"/>
        </w:rPr>
        <w:t>；</w:t>
      </w:r>
    </w:p>
    <w:p>
      <w:pPr>
        <w:numPr>
          <w:ilvl w:val="0"/>
          <w:numId w:val="5"/>
        </w:numPr>
        <w:ind w:firstLineChars="0"/>
      </w:pPr>
      <w:r>
        <w:rPr>
          <w:rFonts w:hint="eastAsia"/>
        </w:rPr>
        <w:t>《关于促进规模化畜禽养殖有关用地政策的通知》，国土资发[</w:t>
      </w:r>
      <w:r>
        <w:t>2007</w:t>
      </w:r>
      <w:r>
        <w:rPr>
          <w:rFonts w:hint="eastAsia"/>
        </w:rPr>
        <w:t>]</w:t>
      </w:r>
      <w:r>
        <w:t>220</w:t>
      </w:r>
      <w:r>
        <w:rPr>
          <w:rFonts w:hint="eastAsia"/>
        </w:rPr>
        <w:t>号，</w:t>
      </w:r>
      <w:r>
        <w:t>2007.9.21</w:t>
      </w:r>
      <w:r>
        <w:rPr>
          <w:rFonts w:hint="eastAsia"/>
        </w:rPr>
        <w:t>；</w:t>
      </w:r>
    </w:p>
    <w:p>
      <w:pPr>
        <w:numPr>
          <w:ilvl w:val="0"/>
          <w:numId w:val="5"/>
        </w:numPr>
        <w:ind w:firstLineChars="0"/>
      </w:pPr>
      <w:r>
        <w:rPr>
          <w:rFonts w:hint="eastAsia"/>
        </w:rPr>
        <w:t>《加快推进畜禽养殖废弃物资源化利用的意见》（国办[</w:t>
      </w:r>
      <w:r>
        <w:t>2017</w:t>
      </w:r>
      <w:r>
        <w:rPr>
          <w:rFonts w:hint="eastAsia"/>
        </w:rPr>
        <w:t>]</w:t>
      </w:r>
      <w:r>
        <w:t>48</w:t>
      </w:r>
      <w:r>
        <w:rPr>
          <w:rFonts w:hint="eastAsia"/>
        </w:rPr>
        <w:t>号），</w:t>
      </w:r>
      <w:r>
        <w:t>2017.5.31</w:t>
      </w:r>
      <w:r>
        <w:rPr>
          <w:rFonts w:hint="eastAsia"/>
        </w:rPr>
        <w:t>。</w:t>
      </w:r>
    </w:p>
    <w:p>
      <w:pPr>
        <w:pStyle w:val="4"/>
      </w:pPr>
      <w:r>
        <w:rPr>
          <w:rFonts w:hint="eastAsia"/>
        </w:rPr>
        <w:t>部门</w:t>
      </w:r>
      <w:r>
        <w:t>规章</w:t>
      </w:r>
      <w:r>
        <w:rPr>
          <w:rFonts w:hint="eastAsia"/>
        </w:rPr>
        <w:t>及规范性</w:t>
      </w:r>
      <w:r>
        <w:t>文件</w:t>
      </w:r>
    </w:p>
    <w:p>
      <w:pPr>
        <w:numPr>
          <w:ilvl w:val="0"/>
          <w:numId w:val="6"/>
        </w:numPr>
      </w:pPr>
      <w:r>
        <w:t>《国家发展和改革委员会产业结构调整指导目录（2019年本）》（2020年1月1日）；</w:t>
      </w:r>
    </w:p>
    <w:p>
      <w:pPr>
        <w:numPr>
          <w:ilvl w:val="0"/>
          <w:numId w:val="6"/>
        </w:numPr>
      </w:pPr>
      <w:r>
        <w:t>《关于防范环境风险加强环境影响评价管理的通知》（环发[2005]152号）；</w:t>
      </w:r>
    </w:p>
    <w:p>
      <w:pPr>
        <w:numPr>
          <w:ilvl w:val="0"/>
          <w:numId w:val="6"/>
        </w:numPr>
      </w:pPr>
      <w:r>
        <w:t>《关于加强西部地区环境影响评价工作的通知》（环发[2011]150号）；</w:t>
      </w:r>
    </w:p>
    <w:p>
      <w:pPr>
        <w:numPr>
          <w:ilvl w:val="0"/>
          <w:numId w:val="6"/>
        </w:numPr>
      </w:pPr>
      <w:r>
        <w:t>《关于进一步加强环境影响评价管理防范环境风险的通知》（环发[2012]77号）；</w:t>
      </w:r>
    </w:p>
    <w:p>
      <w:pPr>
        <w:numPr>
          <w:ilvl w:val="0"/>
          <w:numId w:val="6"/>
        </w:numPr>
      </w:pPr>
      <w:r>
        <w:t>《建设项目环境影响评价分类管理名录</w:t>
      </w:r>
      <w:r>
        <w:rPr>
          <w:rFonts w:hint="eastAsia"/>
        </w:rPr>
        <w:t>（2021年</w:t>
      </w:r>
      <w:r>
        <w:t>版</w:t>
      </w:r>
      <w:r>
        <w:rPr>
          <w:rFonts w:hint="eastAsia"/>
        </w:rPr>
        <w:t>）</w:t>
      </w:r>
      <w:r>
        <w:t>》（</w:t>
      </w:r>
      <w:r>
        <w:rPr>
          <w:rFonts w:hint="eastAsia"/>
        </w:rPr>
        <w:t>部令第16号，2021.1.1</w:t>
      </w:r>
      <w:r>
        <w:t>）；</w:t>
      </w:r>
    </w:p>
    <w:p>
      <w:pPr>
        <w:numPr>
          <w:ilvl w:val="0"/>
          <w:numId w:val="6"/>
        </w:numPr>
      </w:pPr>
      <w:r>
        <w:t>《关于强化建设项目环境影响评价事中事后监管的实施意见》，环境保护部，环环评[2018]11号；</w:t>
      </w:r>
    </w:p>
    <w:p>
      <w:pPr>
        <w:numPr>
          <w:ilvl w:val="0"/>
          <w:numId w:val="6"/>
        </w:numPr>
        <w:rPr>
          <w:b/>
        </w:rPr>
      </w:pPr>
      <w:r>
        <w:rPr>
          <w:rFonts w:hint="eastAsia"/>
        </w:rPr>
        <w:t>《国家危险废物名录》（</w:t>
      </w:r>
      <w:r>
        <w:t>20</w:t>
      </w:r>
      <w:r>
        <w:rPr>
          <w:rFonts w:hint="eastAsia"/>
        </w:rPr>
        <w:t>2</w:t>
      </w:r>
      <w:r>
        <w:t>1</w:t>
      </w:r>
      <w:r>
        <w:rPr>
          <w:rFonts w:hint="eastAsia"/>
        </w:rPr>
        <w:t>年版），</w:t>
      </w:r>
      <w:r>
        <w:t>20</w:t>
      </w:r>
      <w:r>
        <w:rPr>
          <w:rFonts w:hint="eastAsia"/>
        </w:rPr>
        <w:t>21</w:t>
      </w:r>
      <w:r>
        <w:t>.</w:t>
      </w:r>
      <w:r>
        <w:rPr>
          <w:rFonts w:hint="eastAsia"/>
        </w:rPr>
        <w:t>1</w:t>
      </w:r>
      <w:r>
        <w:t>.</w:t>
      </w:r>
      <w:r>
        <w:rPr>
          <w:rFonts w:hint="eastAsia"/>
        </w:rPr>
        <w:t>1；</w:t>
      </w:r>
    </w:p>
    <w:p>
      <w:pPr>
        <w:numPr>
          <w:ilvl w:val="0"/>
          <w:numId w:val="6"/>
        </w:numPr>
      </w:pPr>
      <w:r>
        <w:rPr>
          <w:rFonts w:hint="eastAsia"/>
        </w:rPr>
        <w:t>《关于落实</w:t>
      </w:r>
      <w:r>
        <w:t>&lt;</w:t>
      </w:r>
      <w:r>
        <w:rPr>
          <w:rFonts w:hint="eastAsia"/>
        </w:rPr>
        <w:t>水污染防治行动计划</w:t>
      </w:r>
      <w:r>
        <w:t>&gt;</w:t>
      </w:r>
      <w:r>
        <w:rPr>
          <w:rFonts w:hint="eastAsia"/>
        </w:rPr>
        <w:t>实施区域差别化环境准入的指导意见》（环环评</w:t>
      </w:r>
      <w:r>
        <w:t>[2016]190</w:t>
      </w:r>
      <w:r>
        <w:rPr>
          <w:rFonts w:hint="eastAsia"/>
        </w:rPr>
        <w:t>号，</w:t>
      </w:r>
      <w:r>
        <w:t>2016.12.27</w:t>
      </w:r>
      <w:r>
        <w:rPr>
          <w:rFonts w:hint="eastAsia"/>
        </w:rPr>
        <w:t>）；</w:t>
      </w:r>
    </w:p>
    <w:p>
      <w:pPr>
        <w:numPr>
          <w:ilvl w:val="0"/>
          <w:numId w:val="6"/>
        </w:numPr>
      </w:pPr>
      <w:r>
        <w:rPr>
          <w:rFonts w:hint="eastAsia"/>
        </w:rPr>
        <w:t>《环境空气细颗粒物污染综合防治技术政策》（公告</w:t>
      </w:r>
      <w:r>
        <w:t>2013</w:t>
      </w:r>
      <w:r>
        <w:rPr>
          <w:rFonts w:hint="eastAsia"/>
        </w:rPr>
        <w:t>年第</w:t>
      </w:r>
      <w:r>
        <w:t>59</w:t>
      </w:r>
      <w:r>
        <w:rPr>
          <w:rFonts w:hint="eastAsia"/>
        </w:rPr>
        <w:t>号，</w:t>
      </w:r>
      <w:r>
        <w:t>2013.9.13</w:t>
      </w:r>
      <w:r>
        <w:rPr>
          <w:rFonts w:hint="eastAsia"/>
        </w:rPr>
        <w:t>）；</w:t>
      </w:r>
    </w:p>
    <w:p>
      <w:pPr>
        <w:numPr>
          <w:ilvl w:val="0"/>
          <w:numId w:val="6"/>
        </w:numPr>
      </w:pPr>
      <w:r>
        <w:rPr>
          <w:rFonts w:hint="eastAsia"/>
        </w:rPr>
        <w:t>《突发环境事件信息报告办法》（环境保护部令第</w:t>
      </w:r>
      <w:r>
        <w:t>17</w:t>
      </w:r>
      <w:r>
        <w:rPr>
          <w:rFonts w:hint="eastAsia"/>
        </w:rPr>
        <w:t>号，</w:t>
      </w:r>
      <w:r>
        <w:t>2011.4.18</w:t>
      </w:r>
      <w:r>
        <w:rPr>
          <w:rFonts w:hint="eastAsia"/>
        </w:rPr>
        <w:t>）；</w:t>
      </w:r>
    </w:p>
    <w:p>
      <w:pPr>
        <w:numPr>
          <w:ilvl w:val="0"/>
          <w:numId w:val="6"/>
        </w:numPr>
      </w:pPr>
      <w:r>
        <w:rPr>
          <w:rFonts w:hint="eastAsia"/>
        </w:rPr>
        <w:t>《关于做好畜禽规模养殖项目环境影响评价管理工作的通知》（环办环评</w:t>
      </w:r>
      <w:r>
        <w:t>[2018]31</w:t>
      </w:r>
      <w:r>
        <w:rPr>
          <w:rFonts w:hint="eastAsia"/>
        </w:rPr>
        <w:t>号，</w:t>
      </w:r>
      <w:r>
        <w:t>2018.10.15</w:t>
      </w:r>
      <w:r>
        <w:rPr>
          <w:rFonts w:hint="eastAsia"/>
        </w:rPr>
        <w:t>）；</w:t>
      </w:r>
    </w:p>
    <w:p>
      <w:pPr>
        <w:numPr>
          <w:ilvl w:val="0"/>
          <w:numId w:val="6"/>
        </w:numPr>
      </w:pPr>
      <w:r>
        <w:rPr>
          <w:rFonts w:hint="eastAsia"/>
        </w:rPr>
        <w:t>《全国生态功能区划（修编版）》，</w:t>
      </w:r>
      <w:r>
        <w:t>2015.11.13</w:t>
      </w:r>
      <w:r>
        <w:rPr>
          <w:rFonts w:hint="eastAsia"/>
        </w:rPr>
        <w:t>；</w:t>
      </w:r>
    </w:p>
    <w:p>
      <w:pPr>
        <w:numPr>
          <w:ilvl w:val="0"/>
          <w:numId w:val="6"/>
        </w:numPr>
      </w:pPr>
      <w:r>
        <w:rPr>
          <w:rFonts w:hint="eastAsia"/>
        </w:rPr>
        <w:t>《关于病害动物无害化处理有关意见的复函》（环办函</w:t>
      </w:r>
      <w:r>
        <w:t>[2014]789</w:t>
      </w:r>
      <w:r>
        <w:rPr>
          <w:rFonts w:hint="eastAsia"/>
        </w:rPr>
        <w:t>号），</w:t>
      </w:r>
      <w:r>
        <w:t>2014.6.24</w:t>
      </w:r>
      <w:r>
        <w:rPr>
          <w:rFonts w:hint="eastAsia"/>
        </w:rPr>
        <w:t>；</w:t>
      </w:r>
    </w:p>
    <w:p>
      <w:pPr>
        <w:numPr>
          <w:ilvl w:val="0"/>
          <w:numId w:val="6"/>
        </w:numPr>
      </w:pPr>
      <w:r>
        <w:rPr>
          <w:rFonts w:hint="eastAsia"/>
        </w:rPr>
        <w:t>《动物防疫条件审查办法》（</w:t>
      </w:r>
      <w:r>
        <w:t>2010.5.1</w:t>
      </w:r>
      <w:r>
        <w:rPr>
          <w:rFonts w:hint="eastAsia"/>
        </w:rPr>
        <w:t>）；</w:t>
      </w:r>
    </w:p>
    <w:p>
      <w:pPr>
        <w:numPr>
          <w:ilvl w:val="0"/>
          <w:numId w:val="6"/>
        </w:numPr>
      </w:pPr>
      <w:r>
        <w:rPr>
          <w:rFonts w:hint="eastAsia"/>
        </w:rPr>
        <w:t>《危险化学品名录》（</w:t>
      </w:r>
      <w:r>
        <w:t>201</w:t>
      </w:r>
      <w:r>
        <w:rPr>
          <w:rFonts w:hint="eastAsia"/>
        </w:rPr>
        <w:t>9年版），</w:t>
      </w:r>
      <w:r>
        <w:t>201</w:t>
      </w:r>
      <w:r>
        <w:rPr>
          <w:rFonts w:hint="eastAsia"/>
        </w:rPr>
        <w:t>8</w:t>
      </w:r>
      <w:r>
        <w:t>.</w:t>
      </w:r>
      <w:r>
        <w:rPr>
          <w:rFonts w:hint="eastAsia"/>
        </w:rPr>
        <w:t>1</w:t>
      </w:r>
      <w:r>
        <w:t>2</w:t>
      </w:r>
      <w:r>
        <w:rPr>
          <w:rFonts w:hint="eastAsia"/>
        </w:rPr>
        <w:t>；</w:t>
      </w:r>
    </w:p>
    <w:p>
      <w:pPr>
        <w:numPr>
          <w:ilvl w:val="0"/>
          <w:numId w:val="6"/>
        </w:numPr>
      </w:pPr>
      <w:r>
        <w:rPr>
          <w:rFonts w:hint="eastAsia"/>
        </w:rPr>
        <w:t>《危险废物转移管理办法》（生态</w:t>
      </w:r>
      <w:r>
        <w:t>环境部、公安部、交通运输部令</w:t>
      </w:r>
      <w:r>
        <w:rPr>
          <w:rFonts w:hint="eastAsia"/>
        </w:rPr>
        <w:t>第</w:t>
      </w:r>
      <w:r>
        <w:t>23</w:t>
      </w:r>
      <w:r>
        <w:rPr>
          <w:rFonts w:hint="eastAsia"/>
        </w:rPr>
        <w:t>号，</w:t>
      </w:r>
      <w:r>
        <w:t>2022.1.1</w:t>
      </w:r>
      <w:r>
        <w:rPr>
          <w:rFonts w:hint="eastAsia"/>
        </w:rPr>
        <w:t>）；</w:t>
      </w:r>
    </w:p>
    <w:p>
      <w:pPr>
        <w:numPr>
          <w:ilvl w:val="0"/>
          <w:numId w:val="6"/>
        </w:numPr>
      </w:pPr>
      <w:r>
        <w:rPr>
          <w:rFonts w:hint="eastAsia"/>
        </w:rPr>
        <w:t>《农业部关于加快推进畜禽标准化规模养殖的意见》（农牧发[</w:t>
      </w:r>
      <w:r>
        <w:t>2010</w:t>
      </w:r>
      <w:r>
        <w:rPr>
          <w:rFonts w:hint="eastAsia"/>
        </w:rPr>
        <w:t>]</w:t>
      </w:r>
      <w:r>
        <w:t>6</w:t>
      </w:r>
      <w:r>
        <w:rPr>
          <w:rFonts w:hint="eastAsia"/>
        </w:rPr>
        <w:t>号，</w:t>
      </w:r>
      <w:r>
        <w:t>2010.3.29</w:t>
      </w:r>
      <w:r>
        <w:rPr>
          <w:rFonts w:hint="eastAsia"/>
        </w:rPr>
        <w:t>）；</w:t>
      </w:r>
    </w:p>
    <w:p>
      <w:pPr>
        <w:numPr>
          <w:ilvl w:val="0"/>
          <w:numId w:val="6"/>
        </w:numPr>
        <w:ind w:firstLineChars="0"/>
      </w:pPr>
      <w:r>
        <w:rPr>
          <w:rFonts w:hint="eastAsia"/>
        </w:rPr>
        <w:t>农业农村办公厅、生态环境部办公厅关于印发《畜禽养殖场（户）粪污处理设施建设技术指南》的</w:t>
      </w:r>
      <w:r>
        <w:t>通知</w:t>
      </w:r>
      <w:r>
        <w:rPr>
          <w:rFonts w:hint="eastAsia"/>
        </w:rPr>
        <w:t>（农</w:t>
      </w:r>
      <w:r>
        <w:t>办牧</w:t>
      </w:r>
      <w:r>
        <w:rPr>
          <w:rFonts w:hint="eastAsia"/>
        </w:rPr>
        <w:t>[</w:t>
      </w:r>
      <w:r>
        <w:t>2022</w:t>
      </w:r>
      <w:r>
        <w:rPr>
          <w:rFonts w:hint="eastAsia"/>
        </w:rPr>
        <w:t>]</w:t>
      </w:r>
      <w:r>
        <w:t>19</w:t>
      </w:r>
      <w:r>
        <w:rPr>
          <w:rFonts w:hint="eastAsia"/>
        </w:rPr>
        <w:t>号）（2022年</w:t>
      </w:r>
      <w:r>
        <w:t>6</w:t>
      </w:r>
      <w:r>
        <w:rPr>
          <w:rFonts w:hint="eastAsia"/>
        </w:rPr>
        <w:t>月</w:t>
      </w:r>
      <w:r>
        <w:t>24</w:t>
      </w:r>
      <w:r>
        <w:rPr>
          <w:rFonts w:hint="eastAsia"/>
        </w:rPr>
        <w:t>日）；</w:t>
      </w:r>
    </w:p>
    <w:p>
      <w:pPr>
        <w:numPr>
          <w:ilvl w:val="0"/>
          <w:numId w:val="6"/>
        </w:numPr>
        <w:ind w:firstLineChars="0"/>
      </w:pPr>
      <w:r>
        <w:rPr>
          <w:rFonts w:hint="eastAsia"/>
        </w:rPr>
        <w:t>农业部关于印发《畜禽粪污资源化利用行动方案（2017—2020 年）》的通知，农牧发[2017]11号，2017.7.7；</w:t>
      </w:r>
    </w:p>
    <w:p>
      <w:pPr>
        <w:numPr>
          <w:ilvl w:val="0"/>
          <w:numId w:val="6"/>
        </w:numPr>
        <w:ind w:firstLineChars="0"/>
      </w:pPr>
      <w:r>
        <w:rPr>
          <w:rFonts w:hint="eastAsia"/>
        </w:rPr>
        <w:t>《农业部关于进一步加强病死动物无害化处理监管工作的通知》（农医发[2012]12号，2012.4.5）；</w:t>
      </w:r>
    </w:p>
    <w:p>
      <w:pPr>
        <w:numPr>
          <w:ilvl w:val="0"/>
          <w:numId w:val="6"/>
        </w:numPr>
        <w:ind w:firstLineChars="0"/>
      </w:pPr>
      <w:r>
        <w:rPr>
          <w:rFonts w:hint="eastAsia"/>
        </w:rPr>
        <w:t>《规模畜禽养殖污染防治最佳可行技术指南（试行）》（HJ</w:t>
      </w:r>
      <w:r>
        <w:t>-BAT-10</w:t>
      </w:r>
      <w:r>
        <w:rPr>
          <w:rFonts w:hint="eastAsia"/>
        </w:rPr>
        <w:t>），</w:t>
      </w:r>
      <w:r>
        <w:t>（</w:t>
      </w:r>
      <w:r>
        <w:rPr>
          <w:rFonts w:hint="eastAsia"/>
        </w:rPr>
        <w:t>2013</w:t>
      </w:r>
      <w:r>
        <w:t>.7）</w:t>
      </w:r>
      <w:r>
        <w:rPr>
          <w:rFonts w:hint="eastAsia"/>
        </w:rPr>
        <w:t>；</w:t>
      </w:r>
    </w:p>
    <w:p>
      <w:pPr>
        <w:numPr>
          <w:ilvl w:val="0"/>
          <w:numId w:val="6"/>
        </w:numPr>
        <w:ind w:firstLineChars="0"/>
      </w:pPr>
      <w:r>
        <w:rPr>
          <w:rFonts w:hint="eastAsia"/>
        </w:rPr>
        <w:t>《关于印发〈畜禽养殖禁养区划定技术指南〉的通知》（环办水体[2016]99号，2016.10.24）。</w:t>
      </w:r>
    </w:p>
    <w:p>
      <w:pPr>
        <w:numPr>
          <w:ilvl w:val="0"/>
          <w:numId w:val="6"/>
        </w:numPr>
        <w:ind w:firstLineChars="0"/>
      </w:pPr>
      <w:r>
        <w:rPr>
          <w:rFonts w:hint="eastAsia"/>
        </w:rPr>
        <w:t>《关于做好环境影响评价制度与排污许可制衔接相关工作的通知》（环办环评[2017]84号，2017.11.14）；</w:t>
      </w:r>
    </w:p>
    <w:p>
      <w:pPr>
        <w:numPr>
          <w:ilvl w:val="0"/>
          <w:numId w:val="6"/>
        </w:numPr>
        <w:ind w:firstLineChars="0"/>
      </w:pPr>
      <w:r>
        <w:rPr>
          <w:rFonts w:hint="eastAsia"/>
        </w:rPr>
        <w:t>《环境保护部农业部关于进一步加强畜禽养殖污染防治工作的通知》，环水体[2016]44号，2016.10.25；</w:t>
      </w:r>
    </w:p>
    <w:p>
      <w:pPr>
        <w:numPr>
          <w:ilvl w:val="0"/>
          <w:numId w:val="6"/>
        </w:numPr>
        <w:ind w:firstLineChars="0"/>
      </w:pPr>
      <w:r>
        <w:rPr>
          <w:rFonts w:hint="eastAsia"/>
          <w:spacing w:val="2"/>
        </w:rPr>
        <w:t>《关于进一步做好当前生猪规模养殖环评管理相关工作的通知》，环办</w:t>
      </w:r>
      <w:r>
        <w:rPr>
          <w:spacing w:val="2"/>
        </w:rPr>
        <w:t>环评函</w:t>
      </w:r>
      <w:r>
        <w:rPr>
          <w:rFonts w:hint="eastAsia"/>
          <w:spacing w:val="2"/>
        </w:rPr>
        <w:t>[</w:t>
      </w:r>
      <w:r>
        <w:rPr>
          <w:spacing w:val="2"/>
        </w:rPr>
        <w:t>2019</w:t>
      </w:r>
      <w:r>
        <w:rPr>
          <w:rFonts w:hint="eastAsia"/>
          <w:spacing w:val="2"/>
        </w:rPr>
        <w:t>]</w:t>
      </w:r>
      <w:r>
        <w:rPr>
          <w:spacing w:val="2"/>
        </w:rPr>
        <w:t>872</w:t>
      </w:r>
      <w:r>
        <w:rPr>
          <w:rFonts w:hint="eastAsia"/>
          <w:spacing w:val="2"/>
        </w:rPr>
        <w:t>号</w:t>
      </w:r>
      <w:r>
        <w:rPr>
          <w:spacing w:val="2"/>
        </w:rPr>
        <w:t>，</w:t>
      </w:r>
      <w:r>
        <w:rPr>
          <w:rFonts w:hint="eastAsia"/>
          <w:spacing w:val="2"/>
        </w:rPr>
        <w:t>2019.11.29；</w:t>
      </w:r>
    </w:p>
    <w:p>
      <w:pPr>
        <w:numPr>
          <w:ilvl w:val="0"/>
          <w:numId w:val="6"/>
        </w:numPr>
        <w:ind w:firstLineChars="0"/>
      </w:pPr>
      <w:r>
        <w:rPr>
          <w:szCs w:val="24"/>
        </w:rPr>
        <w:t>农业农村部办公厅 生态环境部办公厅《关于进一步明确畜禽粪污还田利用要求强化养殖污染监管的通知》（农办牧〔2020〕23号）</w:t>
      </w:r>
    </w:p>
    <w:p>
      <w:pPr>
        <w:numPr>
          <w:ilvl w:val="0"/>
          <w:numId w:val="6"/>
        </w:numPr>
        <w:ind w:firstLineChars="0"/>
      </w:pPr>
      <w:r>
        <w:rPr>
          <w:rFonts w:hint="eastAsia"/>
        </w:rPr>
        <w:t>《病死及病害动物无害化处理技术规范》，2017.7.3；</w:t>
      </w:r>
    </w:p>
    <w:p>
      <w:pPr>
        <w:numPr>
          <w:ilvl w:val="0"/>
          <w:numId w:val="6"/>
        </w:numPr>
        <w:ind w:firstLineChars="0"/>
      </w:pPr>
      <w:r>
        <w:rPr>
          <w:rFonts w:hint="eastAsia"/>
        </w:rPr>
        <w:t>《关于印发地下水污染防治实施方案的通知》，环土壤[2019]25号，2019.3.28。</w:t>
      </w:r>
    </w:p>
    <w:p>
      <w:pPr>
        <w:pStyle w:val="4"/>
      </w:pPr>
      <w:r>
        <w:rPr>
          <w:rFonts w:hint="eastAsia"/>
        </w:rPr>
        <w:t>地方</w:t>
      </w:r>
      <w:r>
        <w:t>政府及其</w:t>
      </w:r>
      <w:r>
        <w:rPr>
          <w:rFonts w:hint="eastAsia"/>
        </w:rPr>
        <w:t>相关</w:t>
      </w:r>
      <w:r>
        <w:t>部门的法规、政策、</w:t>
      </w:r>
      <w:r>
        <w:rPr>
          <w:rFonts w:hint="eastAsia"/>
        </w:rPr>
        <w:t>规划</w:t>
      </w:r>
      <w:r>
        <w:t>及规范性</w:t>
      </w:r>
      <w:r>
        <w:rPr>
          <w:rFonts w:hint="eastAsia"/>
        </w:rPr>
        <w:t>文件</w:t>
      </w:r>
    </w:p>
    <w:p>
      <w:pPr>
        <w:numPr>
          <w:ilvl w:val="0"/>
          <w:numId w:val="7"/>
        </w:numPr>
        <w:ind w:firstLineChars="0"/>
      </w:pPr>
      <w:r>
        <w:t>《陕西省循环经济促进条例》</w:t>
      </w:r>
      <w:r>
        <w:rPr>
          <w:rFonts w:hint="eastAsia"/>
        </w:rPr>
        <w:t>，</w:t>
      </w:r>
      <w:r>
        <w:t>2011</w:t>
      </w:r>
      <w:r>
        <w:rPr>
          <w:rFonts w:hint="eastAsia"/>
        </w:rPr>
        <w:t>.</w:t>
      </w:r>
      <w:r>
        <w:t>12</w:t>
      </w:r>
      <w:r>
        <w:rPr>
          <w:rFonts w:hint="eastAsia"/>
        </w:rPr>
        <w:t>.</w:t>
      </w:r>
      <w:r>
        <w:t>1；</w:t>
      </w:r>
    </w:p>
    <w:p>
      <w:pPr>
        <w:numPr>
          <w:ilvl w:val="0"/>
          <w:numId w:val="7"/>
        </w:numPr>
      </w:pPr>
      <w:r>
        <w:t>《陕西省地下水条例》</w:t>
      </w:r>
      <w:r>
        <w:rPr>
          <w:rFonts w:hint="eastAsia"/>
        </w:rPr>
        <w:t>，</w:t>
      </w:r>
      <w:r>
        <w:t>2016</w:t>
      </w:r>
      <w:r>
        <w:rPr>
          <w:rFonts w:hint="eastAsia"/>
        </w:rPr>
        <w:t>.</w:t>
      </w:r>
      <w:r>
        <w:t>4</w:t>
      </w:r>
      <w:r>
        <w:rPr>
          <w:rFonts w:hint="eastAsia"/>
        </w:rPr>
        <w:t>.</w:t>
      </w:r>
      <w:r>
        <w:t>1；</w:t>
      </w:r>
    </w:p>
    <w:p>
      <w:pPr>
        <w:numPr>
          <w:ilvl w:val="0"/>
          <w:numId w:val="7"/>
        </w:numPr>
      </w:pPr>
      <w:r>
        <w:t>《陕西省固体废物污染环境防治条例》</w:t>
      </w:r>
      <w:r>
        <w:rPr>
          <w:rFonts w:hint="eastAsia"/>
        </w:rPr>
        <w:t>，</w:t>
      </w:r>
      <w:r>
        <w:t>2015</w:t>
      </w:r>
      <w:r>
        <w:rPr>
          <w:rFonts w:hint="eastAsia"/>
        </w:rPr>
        <w:t>.</w:t>
      </w:r>
      <w:r>
        <w:t>11</w:t>
      </w:r>
      <w:r>
        <w:rPr>
          <w:rFonts w:hint="eastAsia"/>
        </w:rPr>
        <w:t>.</w:t>
      </w:r>
      <w:r>
        <w:t>19；</w:t>
      </w:r>
    </w:p>
    <w:p>
      <w:pPr>
        <w:numPr>
          <w:ilvl w:val="0"/>
          <w:numId w:val="7"/>
        </w:numPr>
      </w:pPr>
      <w:r>
        <w:t>《陕西省大气污染防治条例（201</w:t>
      </w:r>
      <w:r>
        <w:rPr>
          <w:rFonts w:hint="eastAsia"/>
        </w:rPr>
        <w:t>9</w:t>
      </w:r>
      <w:r>
        <w:t>修正版）》，2017</w:t>
      </w:r>
      <w:r>
        <w:rPr>
          <w:rFonts w:hint="eastAsia"/>
        </w:rPr>
        <w:t>.</w:t>
      </w:r>
      <w:r>
        <w:t>7</w:t>
      </w:r>
      <w:r>
        <w:rPr>
          <w:rFonts w:hint="eastAsia"/>
        </w:rPr>
        <w:t>.31</w:t>
      </w:r>
      <w:r>
        <w:t>；</w:t>
      </w:r>
    </w:p>
    <w:p>
      <w:pPr>
        <w:numPr>
          <w:ilvl w:val="0"/>
          <w:numId w:val="7"/>
        </w:numPr>
      </w:pPr>
      <w:r>
        <w:t>《陕西省水污染防治工作方案》，2015</w:t>
      </w:r>
      <w:r>
        <w:rPr>
          <w:rFonts w:hint="eastAsia"/>
        </w:rPr>
        <w:t>.</w:t>
      </w:r>
      <w:r>
        <w:t>12</w:t>
      </w:r>
      <w:r>
        <w:rPr>
          <w:rFonts w:hint="eastAsia"/>
        </w:rPr>
        <w:t>.</w:t>
      </w:r>
      <w:r>
        <w:t>30；</w:t>
      </w:r>
    </w:p>
    <w:p>
      <w:pPr>
        <w:numPr>
          <w:ilvl w:val="0"/>
          <w:numId w:val="7"/>
        </w:numPr>
      </w:pPr>
      <w:r>
        <w:t>《陕西省土壤污染防治工作》，2017</w:t>
      </w:r>
      <w:r>
        <w:rPr>
          <w:rFonts w:hint="eastAsia"/>
        </w:rPr>
        <w:t>.</w:t>
      </w:r>
      <w:r>
        <w:t>1</w:t>
      </w:r>
      <w:r>
        <w:rPr>
          <w:rFonts w:hint="eastAsia"/>
        </w:rPr>
        <w:t>.</w:t>
      </w:r>
      <w:r>
        <w:t>4</w:t>
      </w:r>
      <w:r>
        <w:rPr>
          <w:rFonts w:hint="eastAsia"/>
        </w:rPr>
        <w:t>；</w:t>
      </w:r>
    </w:p>
    <w:p>
      <w:pPr>
        <w:numPr>
          <w:ilvl w:val="0"/>
          <w:numId w:val="7"/>
        </w:numPr>
        <w:ind w:firstLineChars="0"/>
      </w:pPr>
      <w:r>
        <w:t>《陕西省主体功能区规划》（</w:t>
      </w:r>
      <w:r>
        <w:rPr>
          <w:rFonts w:hint="eastAsia"/>
        </w:rPr>
        <w:t>陕政发[2013]）15号</w:t>
      </w:r>
      <w:r>
        <w:t>，2013</w:t>
      </w:r>
      <w:r>
        <w:rPr>
          <w:rFonts w:hint="eastAsia"/>
        </w:rPr>
        <w:t>.</w:t>
      </w:r>
      <w:r>
        <w:t>3）；</w:t>
      </w:r>
    </w:p>
    <w:p>
      <w:pPr>
        <w:numPr>
          <w:ilvl w:val="0"/>
          <w:numId w:val="7"/>
        </w:numPr>
      </w:pPr>
      <w:r>
        <w:t>《陕西省生态功能区划》（陕政办发[2004] 115号）；</w:t>
      </w:r>
    </w:p>
    <w:p>
      <w:pPr>
        <w:numPr>
          <w:ilvl w:val="0"/>
          <w:numId w:val="7"/>
        </w:numPr>
      </w:pPr>
      <w:r>
        <w:t>《行业用水定额》（DB 61/T 943-20</w:t>
      </w:r>
      <w:r>
        <w:rPr>
          <w:rFonts w:hint="eastAsia"/>
        </w:rPr>
        <w:t>20</w:t>
      </w:r>
      <w:r>
        <w:t>）；</w:t>
      </w:r>
    </w:p>
    <w:p>
      <w:pPr>
        <w:numPr>
          <w:ilvl w:val="0"/>
          <w:numId w:val="7"/>
        </w:numPr>
      </w:pPr>
      <w:r>
        <w:t>《陕西省水功能区划》（陕政发[2004]100号）；</w:t>
      </w:r>
    </w:p>
    <w:p>
      <w:pPr>
        <w:numPr>
          <w:ilvl w:val="0"/>
          <w:numId w:val="7"/>
        </w:numPr>
        <w:ind w:firstLineChars="0"/>
      </w:pPr>
      <w:r>
        <w:rPr>
          <w:rFonts w:hint="eastAsia"/>
        </w:rPr>
        <w:t>《陕西省“十四五”生态环境保护规划》；</w:t>
      </w:r>
    </w:p>
    <w:p>
      <w:pPr>
        <w:numPr>
          <w:ilvl w:val="0"/>
          <w:numId w:val="7"/>
        </w:numPr>
        <w:ind w:firstLineChars="0"/>
      </w:pPr>
      <w:r>
        <w:rPr>
          <w:rFonts w:hint="eastAsia"/>
        </w:rPr>
        <w:t>《陕西省“十四五”推进</w:t>
      </w:r>
      <w:r>
        <w:t>农业农村</w:t>
      </w:r>
      <w:r>
        <w:rPr>
          <w:rFonts w:hint="eastAsia"/>
        </w:rPr>
        <w:t>现代化规划》，陕政发[20</w:t>
      </w:r>
      <w:r>
        <w:t>21</w:t>
      </w:r>
      <w:r>
        <w:rPr>
          <w:rFonts w:hint="eastAsia"/>
        </w:rPr>
        <w:t>]</w:t>
      </w:r>
      <w:r>
        <w:t>38</w:t>
      </w:r>
      <w:r>
        <w:rPr>
          <w:rFonts w:hint="eastAsia"/>
        </w:rPr>
        <w:t xml:space="preserve"> 号；</w:t>
      </w:r>
    </w:p>
    <w:p>
      <w:pPr>
        <w:numPr>
          <w:ilvl w:val="0"/>
          <w:numId w:val="7"/>
        </w:numPr>
        <w:ind w:firstLineChars="0"/>
      </w:pPr>
      <w:r>
        <w:rPr>
          <w:rFonts w:hint="eastAsia"/>
        </w:rPr>
        <w:t>《陕西省</w:t>
      </w:r>
      <w:r>
        <w:t>生态环境厅陕西省农业农村厅关于转发进一步做好当前生猪规模养殖环评</w:t>
      </w:r>
      <w:r>
        <w:rPr>
          <w:rFonts w:hint="eastAsia"/>
        </w:rPr>
        <w:t>管理</w:t>
      </w:r>
      <w:r>
        <w:t>相关工作的通知</w:t>
      </w:r>
      <w:r>
        <w:rPr>
          <w:rFonts w:hint="eastAsia"/>
        </w:rPr>
        <w:t>》（陕</w:t>
      </w:r>
      <w:r>
        <w:t>环函</w:t>
      </w:r>
      <w:r>
        <w:rPr>
          <w:rFonts w:hint="eastAsia"/>
        </w:rPr>
        <w:t>[</w:t>
      </w:r>
      <w:r>
        <w:t>2019</w:t>
      </w:r>
      <w:r>
        <w:rPr>
          <w:rFonts w:hint="eastAsia"/>
        </w:rPr>
        <w:t>]</w:t>
      </w:r>
      <w:r>
        <w:t>335</w:t>
      </w:r>
      <w:r>
        <w:rPr>
          <w:rFonts w:hint="eastAsia"/>
        </w:rPr>
        <w:t>号）；</w:t>
      </w:r>
    </w:p>
    <w:p>
      <w:pPr>
        <w:numPr>
          <w:ilvl w:val="0"/>
          <w:numId w:val="7"/>
        </w:numPr>
        <w:ind w:firstLineChars="0"/>
      </w:pPr>
      <w:r>
        <w:rPr>
          <w:rFonts w:hint="eastAsia"/>
        </w:rPr>
        <w:t>《大中型家畜养殖场建设环境保护标准》（DB61/422-2008）；</w:t>
      </w:r>
    </w:p>
    <w:p>
      <w:pPr>
        <w:numPr>
          <w:ilvl w:val="0"/>
          <w:numId w:val="7"/>
        </w:numPr>
        <w:ind w:firstLineChars="0"/>
      </w:pPr>
      <w:r>
        <w:rPr>
          <w:rFonts w:hint="eastAsia"/>
        </w:rPr>
        <w:t>《陕西省畜禽养殖场养殖小区备案管理办法（试行）》陕农业发[2015]50 号；</w:t>
      </w:r>
    </w:p>
    <w:p>
      <w:pPr>
        <w:numPr>
          <w:ilvl w:val="0"/>
          <w:numId w:val="7"/>
        </w:numPr>
        <w:ind w:firstLineChars="0"/>
      </w:pPr>
      <w:r>
        <w:rPr>
          <w:rFonts w:hint="eastAsia"/>
        </w:rPr>
        <w:t>《安康市</w:t>
      </w:r>
      <w:r>
        <w:t>汉江流域水质保护条例</w:t>
      </w:r>
      <w:r>
        <w:rPr>
          <w:rFonts w:hint="eastAsia"/>
        </w:rPr>
        <w:t>》（2021.4.1）；</w:t>
      </w:r>
    </w:p>
    <w:p>
      <w:pPr>
        <w:numPr>
          <w:ilvl w:val="0"/>
          <w:numId w:val="7"/>
        </w:numPr>
        <w:ind w:firstLineChars="0"/>
      </w:pPr>
      <w:r>
        <w:rPr>
          <w:rFonts w:hint="eastAsia"/>
          <w:szCs w:val="21"/>
        </w:rPr>
        <w:t>《安康市“</w:t>
      </w:r>
      <w:r>
        <w:rPr>
          <w:szCs w:val="21"/>
        </w:rPr>
        <w:t>十四五</w:t>
      </w:r>
      <w:r>
        <w:rPr>
          <w:rFonts w:hint="eastAsia"/>
          <w:szCs w:val="21"/>
        </w:rPr>
        <w:t>”</w:t>
      </w:r>
      <w:r>
        <w:rPr>
          <w:szCs w:val="21"/>
        </w:rPr>
        <w:t>生态环境保护规划</w:t>
      </w:r>
      <w:r>
        <w:rPr>
          <w:rFonts w:hint="eastAsia"/>
          <w:szCs w:val="21"/>
        </w:rPr>
        <w:t>》（安政办发[2021]33号，2021.12.31）；</w:t>
      </w:r>
    </w:p>
    <w:p>
      <w:pPr>
        <w:numPr>
          <w:ilvl w:val="0"/>
          <w:numId w:val="7"/>
        </w:numPr>
        <w:ind w:firstLineChars="0"/>
      </w:pPr>
      <w:r>
        <w:rPr>
          <w:rFonts w:hint="eastAsia"/>
          <w:bCs/>
        </w:rPr>
        <w:t>《旬阳县</w:t>
      </w:r>
      <w:r>
        <w:rPr>
          <w:bCs/>
        </w:rPr>
        <w:t>畜禽养殖</w:t>
      </w:r>
      <w:r>
        <w:rPr>
          <w:rFonts w:hint="eastAsia"/>
          <w:bCs/>
        </w:rPr>
        <w:t>禁养区</w:t>
      </w:r>
      <w:r>
        <w:rPr>
          <w:bCs/>
        </w:rPr>
        <w:t>划分方案</w:t>
      </w:r>
      <w:r>
        <w:rPr>
          <w:rFonts w:hint="eastAsia"/>
          <w:bCs/>
        </w:rPr>
        <w:t>》（旬</w:t>
      </w:r>
      <w:r>
        <w:rPr>
          <w:bCs/>
        </w:rPr>
        <w:t>政办法</w:t>
      </w:r>
      <w:r>
        <w:rPr>
          <w:rFonts w:hint="eastAsia"/>
          <w:bCs/>
        </w:rPr>
        <w:t>[</w:t>
      </w:r>
      <w:r>
        <w:rPr>
          <w:bCs/>
        </w:rPr>
        <w:t>2020</w:t>
      </w:r>
      <w:r>
        <w:rPr>
          <w:rFonts w:hint="eastAsia"/>
          <w:bCs/>
        </w:rPr>
        <w:t>]</w:t>
      </w:r>
      <w:r>
        <w:rPr>
          <w:bCs/>
        </w:rPr>
        <w:t>1</w:t>
      </w:r>
      <w:r>
        <w:rPr>
          <w:rFonts w:hint="eastAsia"/>
          <w:bCs/>
        </w:rPr>
        <w:t>号）；</w:t>
      </w:r>
    </w:p>
    <w:p>
      <w:pPr>
        <w:pStyle w:val="4"/>
      </w:pPr>
      <w:r>
        <w:rPr>
          <w:rFonts w:hint="eastAsia"/>
        </w:rPr>
        <w:t>技术依据</w:t>
      </w:r>
    </w:p>
    <w:p>
      <w:pPr>
        <w:numPr>
          <w:ilvl w:val="0"/>
          <w:numId w:val="8"/>
        </w:numPr>
        <w:ind w:firstLineChars="0"/>
      </w:pPr>
      <w:r>
        <w:t>《环境影响评价技术导则</w:t>
      </w:r>
      <w:r>
        <w:rPr>
          <w:rFonts w:hint="eastAsia"/>
        </w:rPr>
        <w:t xml:space="preserve"> </w:t>
      </w:r>
      <w:r>
        <w:t>总纲》（HJ 2.1-2016）；</w:t>
      </w:r>
    </w:p>
    <w:p>
      <w:pPr>
        <w:numPr>
          <w:ilvl w:val="0"/>
          <w:numId w:val="8"/>
        </w:numPr>
      </w:pPr>
      <w:r>
        <w:t>《环境影响评价技术导则</w:t>
      </w:r>
      <w:r>
        <w:rPr>
          <w:rFonts w:hint="eastAsia"/>
        </w:rPr>
        <w:t xml:space="preserve"> </w:t>
      </w:r>
      <w:r>
        <w:t>大气环境》（HJ2.2-2018）；</w:t>
      </w:r>
    </w:p>
    <w:p>
      <w:pPr>
        <w:numPr>
          <w:ilvl w:val="0"/>
          <w:numId w:val="8"/>
        </w:numPr>
      </w:pPr>
      <w:r>
        <w:t>《环境影响评价技术导则</w:t>
      </w:r>
      <w:r>
        <w:rPr>
          <w:rFonts w:hint="eastAsia"/>
        </w:rPr>
        <w:t xml:space="preserve"> 地表</w:t>
      </w:r>
      <w:r>
        <w:t>水环境》（HJ2.3-2018）；</w:t>
      </w:r>
    </w:p>
    <w:p>
      <w:pPr>
        <w:numPr>
          <w:ilvl w:val="0"/>
          <w:numId w:val="8"/>
        </w:numPr>
      </w:pPr>
      <w:r>
        <w:t>《环境影响评价技术导则</w:t>
      </w:r>
      <w:r>
        <w:rPr>
          <w:rFonts w:hint="eastAsia"/>
        </w:rPr>
        <w:t xml:space="preserve"> </w:t>
      </w:r>
      <w:r>
        <w:t>声环境》（HJ2.4-2021）；</w:t>
      </w:r>
    </w:p>
    <w:p>
      <w:pPr>
        <w:numPr>
          <w:ilvl w:val="0"/>
          <w:numId w:val="8"/>
        </w:numPr>
      </w:pPr>
      <w:r>
        <w:rPr>
          <w:rFonts w:hint="eastAsia"/>
        </w:rPr>
        <w:t>《环境</w:t>
      </w:r>
      <w:r>
        <w:t>影响评价技术导则</w:t>
      </w:r>
      <w:r>
        <w:rPr>
          <w:rFonts w:hint="eastAsia"/>
        </w:rPr>
        <w:t xml:space="preserve"> 土壤</w:t>
      </w:r>
      <w:r>
        <w:t>环境（</w:t>
      </w:r>
      <w:r>
        <w:rPr>
          <w:rFonts w:hint="eastAsia"/>
        </w:rPr>
        <w:t>试行</w:t>
      </w:r>
      <w:r>
        <w:t>）</w:t>
      </w:r>
      <w:r>
        <w:rPr>
          <w:rFonts w:hint="eastAsia"/>
        </w:rPr>
        <w:t>》（HJ</w:t>
      </w:r>
      <w:r>
        <w:t>964-2018</w:t>
      </w:r>
      <w:r>
        <w:rPr>
          <w:rFonts w:hint="eastAsia"/>
        </w:rPr>
        <w:t>）；</w:t>
      </w:r>
    </w:p>
    <w:p>
      <w:pPr>
        <w:numPr>
          <w:ilvl w:val="0"/>
          <w:numId w:val="8"/>
        </w:numPr>
      </w:pPr>
      <w:r>
        <w:t>《环境影响评价技术导则</w:t>
      </w:r>
      <w:r>
        <w:rPr>
          <w:rFonts w:hint="eastAsia"/>
        </w:rPr>
        <w:t xml:space="preserve"> </w:t>
      </w:r>
      <w:r>
        <w:t>地下水环境》（HJ610-2016）；</w:t>
      </w:r>
    </w:p>
    <w:p>
      <w:pPr>
        <w:numPr>
          <w:ilvl w:val="0"/>
          <w:numId w:val="8"/>
        </w:numPr>
      </w:pPr>
      <w:r>
        <w:t>《环境影响评价技术导则</w:t>
      </w:r>
      <w:r>
        <w:rPr>
          <w:rFonts w:hint="eastAsia"/>
        </w:rPr>
        <w:t xml:space="preserve"> </w:t>
      </w:r>
      <w:r>
        <w:t>生态影响》（HJ 19-2022）；</w:t>
      </w:r>
    </w:p>
    <w:p>
      <w:pPr>
        <w:numPr>
          <w:ilvl w:val="0"/>
          <w:numId w:val="8"/>
        </w:numPr>
      </w:pPr>
      <w:r>
        <w:rPr>
          <w:rFonts w:hint="eastAsia"/>
        </w:rPr>
        <w:t>《环境影响评价技术导则 土壤》（HJ964-2018）；</w:t>
      </w:r>
    </w:p>
    <w:p>
      <w:pPr>
        <w:numPr>
          <w:ilvl w:val="0"/>
          <w:numId w:val="8"/>
        </w:numPr>
      </w:pPr>
      <w:r>
        <w:rPr>
          <w:szCs w:val="21"/>
        </w:rPr>
        <w:t>《建设项目环境风险评价技术导则》（HJ169-2018）；</w:t>
      </w:r>
    </w:p>
    <w:p>
      <w:pPr>
        <w:numPr>
          <w:ilvl w:val="0"/>
          <w:numId w:val="8"/>
        </w:numPr>
      </w:pPr>
      <w:r>
        <w:t>《畜禽养殖业污染治理工程技术规范》（HJ497-2009，2009年12月1日）；</w:t>
      </w:r>
    </w:p>
    <w:p>
      <w:pPr>
        <w:numPr>
          <w:ilvl w:val="0"/>
          <w:numId w:val="8"/>
        </w:numPr>
      </w:pPr>
      <w:r>
        <w:t>《畜禽养殖业污染防治技术规范》（HT/T81-2001，2002年4月1日）；</w:t>
      </w:r>
    </w:p>
    <w:p>
      <w:pPr>
        <w:numPr>
          <w:ilvl w:val="0"/>
          <w:numId w:val="8"/>
        </w:numPr>
      </w:pPr>
      <w:r>
        <w:t>《畜禽养殖产地环境评价规范》(HJ568-2010)；</w:t>
      </w:r>
    </w:p>
    <w:p>
      <w:pPr>
        <w:numPr>
          <w:ilvl w:val="0"/>
          <w:numId w:val="8"/>
        </w:numPr>
        <w:ind w:firstLineChars="0"/>
      </w:pPr>
      <w:r>
        <w:rPr>
          <w:rFonts w:hint="eastAsia"/>
        </w:rPr>
        <w:t>《规模畜禽养殖场污染防治最佳可行技术指南（试行）》（HJ-BAT-10）；</w:t>
      </w:r>
    </w:p>
    <w:p>
      <w:pPr>
        <w:numPr>
          <w:ilvl w:val="0"/>
          <w:numId w:val="8"/>
        </w:numPr>
      </w:pPr>
      <w:r>
        <w:rPr>
          <w:kern w:val="0"/>
        </w:rPr>
        <w:t>《大中型畜禽养殖场能源环境工程建设规划》，农业部；</w:t>
      </w:r>
    </w:p>
    <w:p>
      <w:pPr>
        <w:numPr>
          <w:ilvl w:val="0"/>
          <w:numId w:val="8"/>
        </w:numPr>
      </w:pPr>
      <w:r>
        <w:rPr>
          <w:rFonts w:hint="eastAsia"/>
        </w:rPr>
        <w:t>《畜禽粪便无害化</w:t>
      </w:r>
      <w:r>
        <w:t>处理</w:t>
      </w:r>
      <w:r>
        <w:rPr>
          <w:rFonts w:hint="eastAsia"/>
        </w:rPr>
        <w:t>技术规范》（GB</w:t>
      </w:r>
      <w:r>
        <w:t>/T 36195-2018</w:t>
      </w:r>
      <w:r>
        <w:rPr>
          <w:rFonts w:hint="eastAsia"/>
        </w:rPr>
        <w:t>）；</w:t>
      </w:r>
    </w:p>
    <w:p>
      <w:pPr>
        <w:numPr>
          <w:ilvl w:val="0"/>
          <w:numId w:val="8"/>
        </w:numPr>
      </w:pPr>
      <w:r>
        <w:rPr>
          <w:rFonts w:hint="eastAsia"/>
        </w:rPr>
        <w:t>《畜禽粪便还田技术规范》（GB</w:t>
      </w:r>
      <w:r>
        <w:t>25246-2010</w:t>
      </w:r>
      <w:r>
        <w:rPr>
          <w:rFonts w:hint="eastAsia"/>
        </w:rPr>
        <w:t>）；</w:t>
      </w:r>
    </w:p>
    <w:p>
      <w:pPr>
        <w:numPr>
          <w:ilvl w:val="0"/>
          <w:numId w:val="8"/>
        </w:numPr>
      </w:pPr>
      <w:r>
        <w:rPr>
          <w:rFonts w:hint="eastAsia"/>
        </w:rPr>
        <w:t>《排污</w:t>
      </w:r>
      <w:r>
        <w:t>许可申请与核发技术规范</w:t>
      </w:r>
      <w:r>
        <w:rPr>
          <w:rFonts w:hint="eastAsia"/>
        </w:rPr>
        <w:t xml:space="preserve"> 畜禽</w:t>
      </w:r>
      <w:r>
        <w:t>养殖行业</w:t>
      </w:r>
      <w:r>
        <w:rPr>
          <w:rFonts w:hint="eastAsia"/>
        </w:rPr>
        <w:t>》（HJ</w:t>
      </w:r>
      <w:r>
        <w:t>102-2019</w:t>
      </w:r>
      <w:r>
        <w:rPr>
          <w:rFonts w:hint="eastAsia"/>
        </w:rPr>
        <w:t>）；</w:t>
      </w:r>
    </w:p>
    <w:p>
      <w:pPr>
        <w:numPr>
          <w:ilvl w:val="0"/>
          <w:numId w:val="8"/>
        </w:numPr>
      </w:pPr>
      <w:r>
        <w:rPr>
          <w:rFonts w:hint="eastAsia"/>
        </w:rPr>
        <w:t>《排污</w:t>
      </w:r>
      <w:r>
        <w:t>单位</w:t>
      </w:r>
      <w:r>
        <w:rPr>
          <w:rFonts w:hint="eastAsia"/>
        </w:rPr>
        <w:t>自行</w:t>
      </w:r>
      <w:r>
        <w:t>监测技术指南</w:t>
      </w:r>
      <w:r>
        <w:rPr>
          <w:rFonts w:hint="eastAsia"/>
        </w:rPr>
        <w:t xml:space="preserve"> 畜禽养殖</w:t>
      </w:r>
      <w:r>
        <w:t>行业</w:t>
      </w:r>
      <w:r>
        <w:rPr>
          <w:rFonts w:hint="eastAsia"/>
        </w:rPr>
        <w:t>》（HJ</w:t>
      </w:r>
      <w:r>
        <w:t>1252-2022</w:t>
      </w:r>
      <w:r>
        <w:rPr>
          <w:rFonts w:hint="eastAsia"/>
        </w:rPr>
        <w:t>）；</w:t>
      </w:r>
    </w:p>
    <w:p>
      <w:pPr>
        <w:numPr>
          <w:ilvl w:val="0"/>
          <w:numId w:val="8"/>
        </w:numPr>
      </w:pPr>
      <w:r>
        <w:t>《规模化养殖场沼气工程设计规范》（NY/T1222-2006）</w:t>
      </w:r>
      <w:r>
        <w:rPr>
          <w:rFonts w:hint="eastAsia"/>
        </w:rPr>
        <w:t>。</w:t>
      </w:r>
    </w:p>
    <w:p>
      <w:pPr>
        <w:pStyle w:val="4"/>
      </w:pPr>
      <w:r>
        <w:rPr>
          <w:rFonts w:hint="eastAsia"/>
        </w:rPr>
        <w:t>任务依据</w:t>
      </w:r>
    </w:p>
    <w:p>
      <w:pPr>
        <w:numPr>
          <w:ilvl w:val="0"/>
          <w:numId w:val="9"/>
        </w:numPr>
        <w:ind w:firstLineChars="0"/>
        <w:rPr>
          <w:kern w:val="0"/>
        </w:rPr>
      </w:pPr>
      <w:r>
        <w:rPr>
          <w:rFonts w:hint="eastAsia"/>
          <w:kern w:val="0"/>
        </w:rPr>
        <w:t>陕西绿森园牧业有限公司种养殖项目</w:t>
      </w:r>
      <w:r>
        <w:rPr>
          <w:kern w:val="0"/>
        </w:rPr>
        <w:t>环境影响评价委托书；</w:t>
      </w:r>
    </w:p>
    <w:p>
      <w:pPr>
        <w:numPr>
          <w:ilvl w:val="0"/>
          <w:numId w:val="9"/>
        </w:numPr>
        <w:ind w:firstLineChars="0"/>
        <w:rPr>
          <w:kern w:val="0"/>
        </w:rPr>
      </w:pPr>
      <w:r>
        <w:rPr>
          <w:rFonts w:hint="eastAsia"/>
          <w:kern w:val="0"/>
        </w:rPr>
        <w:t>陕西省企业投资项目备案确任书（项目代码：</w:t>
      </w:r>
      <w:r>
        <w:rPr>
          <w:kern w:val="0"/>
        </w:rPr>
        <w:t>2020-610928-03-03-025020</w:t>
      </w:r>
      <w:r>
        <w:rPr>
          <w:rFonts w:hint="eastAsia"/>
          <w:kern w:val="0"/>
        </w:rPr>
        <w:t>）；</w:t>
      </w:r>
    </w:p>
    <w:p>
      <w:pPr>
        <w:numPr>
          <w:ilvl w:val="0"/>
          <w:numId w:val="9"/>
        </w:numPr>
        <w:ind w:firstLineChars="0"/>
        <w:rPr>
          <w:kern w:val="0"/>
        </w:rPr>
      </w:pPr>
      <w:r>
        <w:rPr>
          <w:rFonts w:hint="eastAsia"/>
          <w:kern w:val="0"/>
        </w:rPr>
        <w:t>关口镇人民政府关于对陕西绿森园牧业有限公司设施农用地备案批复的通知；</w:t>
      </w:r>
    </w:p>
    <w:p>
      <w:pPr>
        <w:numPr>
          <w:ilvl w:val="0"/>
          <w:numId w:val="9"/>
        </w:numPr>
        <w:ind w:firstLineChars="0"/>
        <w:rPr>
          <w:kern w:val="0"/>
        </w:rPr>
      </w:pPr>
      <w:r>
        <w:rPr>
          <w:rFonts w:hint="eastAsia"/>
          <w:kern w:val="0"/>
        </w:rPr>
        <w:t>陕西绿森园牧业有限公司种养殖场项目环境质量现状监测；</w:t>
      </w:r>
    </w:p>
    <w:p>
      <w:pPr>
        <w:numPr>
          <w:ilvl w:val="0"/>
          <w:numId w:val="9"/>
        </w:numPr>
        <w:ind w:firstLineChars="0"/>
        <w:rPr>
          <w:kern w:val="0"/>
        </w:rPr>
      </w:pPr>
      <w:r>
        <w:rPr>
          <w:rFonts w:hint="eastAsia"/>
          <w:kern w:val="0"/>
        </w:rPr>
        <w:t>陕西绿森园牧业有限公司提供的其他资料。</w:t>
      </w:r>
    </w:p>
    <w:p>
      <w:pPr>
        <w:pStyle w:val="3"/>
      </w:pPr>
      <w:bookmarkStart w:id="21" w:name="_Toc35439722"/>
      <w:bookmarkStart w:id="22" w:name="_Toc108422221"/>
      <w:r>
        <w:t>评价目的和原则</w:t>
      </w:r>
      <w:bookmarkEnd w:id="21"/>
      <w:bookmarkEnd w:id="22"/>
    </w:p>
    <w:p>
      <w:pPr>
        <w:pStyle w:val="4"/>
      </w:pPr>
      <w:r>
        <w:t>评价目的</w:t>
      </w:r>
    </w:p>
    <w:p>
      <w:pPr>
        <w:ind w:firstLine="480"/>
      </w:pPr>
      <w:r>
        <w:t>（1）通过对项目建</w:t>
      </w:r>
      <w:r>
        <w:rPr>
          <w:rFonts w:hint="eastAsia"/>
        </w:rPr>
        <w:t>设</w:t>
      </w:r>
      <w:r>
        <w:t>地和周围环境现状的调查，掌握项目区环境特征、功能区划和自然环境概况。</w:t>
      </w:r>
    </w:p>
    <w:p>
      <w:pPr>
        <w:ind w:firstLine="480"/>
      </w:pPr>
      <w:r>
        <w:t>（2）通过工程分析，确定生产工艺中污染物排放特征。</w:t>
      </w:r>
    </w:p>
    <w:p>
      <w:pPr>
        <w:ind w:firstLine="480"/>
      </w:pPr>
      <w:r>
        <w:t>（3）根据环境特征和建设项目污染物排放特征，预测建设项目对区域自然、生态环境的影响程度、范围和环境质量可能发生的变化。</w:t>
      </w:r>
    </w:p>
    <w:p>
      <w:pPr>
        <w:ind w:firstLine="480"/>
      </w:pPr>
      <w:r>
        <w:t>（4）提出消除或减少不利影响的对策；同时根据达标排放、总量控制的要求，论述项目环保措施的合理性、可靠性和经济性。</w:t>
      </w:r>
    </w:p>
    <w:p>
      <w:pPr>
        <w:pStyle w:val="4"/>
      </w:pPr>
      <w:r>
        <w:t>评价原则</w:t>
      </w:r>
    </w:p>
    <w:p>
      <w:pPr>
        <w:ind w:firstLine="480"/>
      </w:pPr>
      <w:r>
        <w:t>突出环境影响评价的源头预防作用，坚持保护和改善环境质量。</w:t>
      </w:r>
    </w:p>
    <w:p>
      <w:pPr>
        <w:ind w:firstLine="480"/>
      </w:pPr>
      <w:r>
        <w:t>（1）依法评价</w:t>
      </w:r>
    </w:p>
    <w:p>
      <w:pPr>
        <w:ind w:firstLine="480"/>
      </w:pPr>
      <w:r>
        <w:t>贯彻执行我国环境保护相关法律法规、标准、政策和规划等，优化项目建设，服务环境管理。</w:t>
      </w:r>
    </w:p>
    <w:p>
      <w:pPr>
        <w:ind w:firstLine="480"/>
      </w:pPr>
      <w:r>
        <w:t>（2）科学评价</w:t>
      </w:r>
    </w:p>
    <w:p>
      <w:pPr>
        <w:ind w:firstLine="480"/>
      </w:pPr>
      <w:r>
        <w:t>规范环境影响评价方法，科学分析项目建设对环境质量的影响。</w:t>
      </w:r>
    </w:p>
    <w:p>
      <w:pPr>
        <w:ind w:firstLine="480"/>
      </w:pPr>
      <w:r>
        <w:t>（3）突出重点</w:t>
      </w:r>
    </w:p>
    <w:p>
      <w:pPr>
        <w:ind w:firstLine="480"/>
      </w:pPr>
      <w:r>
        <w:t>根据建设项目的工程内容及其特点，明确与环境要素间的作用效应关系，对建设项目主要环境影响予以重点分析和评价。</w:t>
      </w:r>
    </w:p>
    <w:p>
      <w:pPr>
        <w:pStyle w:val="3"/>
      </w:pPr>
      <w:bookmarkStart w:id="23" w:name="_Toc108422222"/>
      <w:r>
        <w:rPr>
          <w:rFonts w:hint="eastAsia"/>
        </w:rPr>
        <w:t>环境影响</w:t>
      </w:r>
      <w:r>
        <w:t>识别</w:t>
      </w:r>
      <w:r>
        <w:rPr>
          <w:rFonts w:hint="eastAsia"/>
        </w:rPr>
        <w:t>与评价</w:t>
      </w:r>
      <w:r>
        <w:t>因子筛选</w:t>
      </w:r>
      <w:bookmarkEnd w:id="23"/>
    </w:p>
    <w:p>
      <w:pPr>
        <w:pStyle w:val="4"/>
      </w:pPr>
      <w:r>
        <w:rPr>
          <w:rFonts w:hint="eastAsia"/>
        </w:rPr>
        <w:t>环境</w:t>
      </w:r>
      <w:r>
        <w:t>影响识别</w:t>
      </w:r>
    </w:p>
    <w:p>
      <w:pPr>
        <w:pStyle w:val="79"/>
        <w:ind w:firstLine="480"/>
        <w:rPr>
          <w:rFonts w:cs="Times New Roman"/>
        </w:rPr>
      </w:pPr>
      <w:r>
        <w:rPr>
          <w:rFonts w:cs="Times New Roman"/>
        </w:rPr>
        <w:t>根据项目特点和区域环境特征，进行环境影响因子识别，以确定项目对自然环境及生态环境等的影响情况，项目建设对周围环境影响因素与影响程度主要从运营期对当地自然环境和生态环境进行识别分析，项目运营期产生的废气、废水、固废、设备噪声会对周围环境产生一定的影响，主要表现为工艺废气对环境空气的影响。根据现场调查，项目环境影响因素识别内容见</w:t>
      </w:r>
      <w:r>
        <w:fldChar w:fldCharType="begin"/>
      </w:r>
      <w:r>
        <w:instrText xml:space="preserve"> REF _Ref27042096 \h  \* MERGEFORMAT </w:instrText>
      </w:r>
      <w:r>
        <w:fldChar w:fldCharType="separate"/>
      </w:r>
      <w:r>
        <w:rPr>
          <w:rFonts w:cs="Times New Roman"/>
        </w:rPr>
        <w:t>表2.3</w:t>
      </w:r>
      <w:r>
        <w:rPr>
          <w:rFonts w:cs="Times New Roman"/>
        </w:rPr>
        <w:noBreakHyphen/>
      </w:r>
      <w:r>
        <w:rPr>
          <w:rFonts w:cs="Times New Roman"/>
        </w:rPr>
        <w:t>1</w:t>
      </w:r>
      <w:r>
        <w:fldChar w:fldCharType="end"/>
      </w:r>
      <w:r>
        <w:rPr>
          <w:rFonts w:cs="Times New Roman"/>
        </w:rPr>
        <w:t>。</w:t>
      </w:r>
    </w:p>
    <w:p>
      <w:pPr>
        <w:pStyle w:val="85"/>
        <w:rPr>
          <w:rFonts w:hAnsi="Times New Roman"/>
          <w:szCs w:val="21"/>
        </w:rPr>
      </w:pPr>
      <w:bookmarkStart w:id="24" w:name="_Ref27042096"/>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2.3</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24"/>
      <w:r>
        <w:rPr>
          <w:rFonts w:hAnsi="Times New Roman"/>
          <w:szCs w:val="21"/>
        </w:rPr>
        <w:t>环境影响因素识别表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
      <w:tblGrid>
        <w:gridCol w:w="463"/>
        <w:gridCol w:w="970"/>
        <w:gridCol w:w="740"/>
        <w:gridCol w:w="763"/>
        <w:gridCol w:w="763"/>
        <w:gridCol w:w="766"/>
        <w:gridCol w:w="763"/>
        <w:gridCol w:w="763"/>
        <w:gridCol w:w="761"/>
        <w:gridCol w:w="763"/>
        <w:gridCol w:w="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tblHeader/>
          <w:jc w:val="center"/>
        </w:trPr>
        <w:tc>
          <w:tcPr>
            <w:tcW w:w="1433" w:type="dxa"/>
            <w:gridSpan w:val="2"/>
            <w:vMerge w:val="restart"/>
            <w:tcBorders>
              <w:tl2br w:val="single" w:color="auto" w:sz="4" w:space="0"/>
            </w:tcBorders>
            <w:vAlign w:val="center"/>
          </w:tcPr>
          <w:p>
            <w:pPr>
              <w:pStyle w:val="40"/>
              <w:rPr>
                <w:szCs w:val="21"/>
              </w:rPr>
            </w:pPr>
            <w:r>
              <w:rPr>
                <w:szCs w:val="21"/>
              </w:rPr>
              <w:t>因素</w:t>
            </w:r>
          </w:p>
          <w:p>
            <w:pPr>
              <w:pStyle w:val="40"/>
              <w:jc w:val="both"/>
              <w:rPr>
                <w:szCs w:val="21"/>
              </w:rPr>
            </w:pPr>
            <w:r>
              <w:rPr>
                <w:szCs w:val="21"/>
              </w:rPr>
              <w:t>类别</w:t>
            </w:r>
          </w:p>
        </w:tc>
        <w:tc>
          <w:tcPr>
            <w:tcW w:w="3032" w:type="dxa"/>
            <w:gridSpan w:val="4"/>
            <w:vAlign w:val="center"/>
          </w:tcPr>
          <w:p>
            <w:pPr>
              <w:pStyle w:val="40"/>
              <w:rPr>
                <w:szCs w:val="21"/>
              </w:rPr>
            </w:pPr>
            <w:r>
              <w:rPr>
                <w:szCs w:val="21"/>
              </w:rPr>
              <w:t>施工期</w:t>
            </w:r>
          </w:p>
        </w:tc>
        <w:tc>
          <w:tcPr>
            <w:tcW w:w="3811" w:type="dxa"/>
            <w:gridSpan w:val="5"/>
            <w:vAlign w:val="center"/>
          </w:tcPr>
          <w:p>
            <w:pPr>
              <w:pStyle w:val="40"/>
              <w:rPr>
                <w:szCs w:val="21"/>
              </w:rPr>
            </w:pPr>
            <w:r>
              <w:rPr>
                <w:szCs w:val="21"/>
              </w:rPr>
              <w:t>运行期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tblHeader/>
          <w:jc w:val="center"/>
        </w:trPr>
        <w:tc>
          <w:tcPr>
            <w:tcW w:w="1433" w:type="dxa"/>
            <w:gridSpan w:val="2"/>
            <w:vMerge w:val="continue"/>
            <w:vAlign w:val="center"/>
          </w:tcPr>
          <w:p>
            <w:pPr>
              <w:pStyle w:val="40"/>
              <w:rPr>
                <w:szCs w:val="21"/>
              </w:rPr>
            </w:pPr>
          </w:p>
        </w:tc>
        <w:tc>
          <w:tcPr>
            <w:tcW w:w="740" w:type="dxa"/>
            <w:vAlign w:val="center"/>
          </w:tcPr>
          <w:p>
            <w:pPr>
              <w:pStyle w:val="40"/>
              <w:rPr>
                <w:szCs w:val="21"/>
              </w:rPr>
            </w:pPr>
            <w:r>
              <w:rPr>
                <w:szCs w:val="21"/>
              </w:rPr>
              <w:t>废气</w:t>
            </w:r>
          </w:p>
        </w:tc>
        <w:tc>
          <w:tcPr>
            <w:tcW w:w="763" w:type="dxa"/>
            <w:vAlign w:val="center"/>
          </w:tcPr>
          <w:p>
            <w:pPr>
              <w:pStyle w:val="40"/>
              <w:rPr>
                <w:szCs w:val="21"/>
              </w:rPr>
            </w:pPr>
            <w:r>
              <w:rPr>
                <w:szCs w:val="21"/>
              </w:rPr>
              <w:t>废水</w:t>
            </w:r>
          </w:p>
        </w:tc>
        <w:tc>
          <w:tcPr>
            <w:tcW w:w="763" w:type="dxa"/>
            <w:vAlign w:val="center"/>
          </w:tcPr>
          <w:p>
            <w:pPr>
              <w:pStyle w:val="40"/>
              <w:rPr>
                <w:szCs w:val="21"/>
              </w:rPr>
            </w:pPr>
            <w:r>
              <w:rPr>
                <w:szCs w:val="21"/>
              </w:rPr>
              <w:t>固废</w:t>
            </w:r>
          </w:p>
        </w:tc>
        <w:tc>
          <w:tcPr>
            <w:tcW w:w="766" w:type="dxa"/>
            <w:vAlign w:val="center"/>
          </w:tcPr>
          <w:p>
            <w:pPr>
              <w:pStyle w:val="40"/>
              <w:rPr>
                <w:szCs w:val="21"/>
              </w:rPr>
            </w:pPr>
            <w:r>
              <w:rPr>
                <w:szCs w:val="21"/>
              </w:rPr>
              <w:t>噪声</w:t>
            </w:r>
          </w:p>
        </w:tc>
        <w:tc>
          <w:tcPr>
            <w:tcW w:w="763" w:type="dxa"/>
            <w:vAlign w:val="center"/>
          </w:tcPr>
          <w:p>
            <w:pPr>
              <w:pStyle w:val="40"/>
              <w:rPr>
                <w:szCs w:val="21"/>
              </w:rPr>
            </w:pPr>
            <w:r>
              <w:rPr>
                <w:szCs w:val="21"/>
              </w:rPr>
              <w:t>废气</w:t>
            </w:r>
          </w:p>
        </w:tc>
        <w:tc>
          <w:tcPr>
            <w:tcW w:w="763" w:type="dxa"/>
            <w:vAlign w:val="center"/>
          </w:tcPr>
          <w:p>
            <w:pPr>
              <w:pStyle w:val="40"/>
              <w:rPr>
                <w:szCs w:val="21"/>
              </w:rPr>
            </w:pPr>
            <w:r>
              <w:rPr>
                <w:szCs w:val="21"/>
              </w:rPr>
              <w:t>废水</w:t>
            </w:r>
          </w:p>
        </w:tc>
        <w:tc>
          <w:tcPr>
            <w:tcW w:w="761" w:type="dxa"/>
            <w:vAlign w:val="center"/>
          </w:tcPr>
          <w:p>
            <w:pPr>
              <w:pStyle w:val="40"/>
              <w:rPr>
                <w:szCs w:val="21"/>
              </w:rPr>
            </w:pPr>
            <w:r>
              <w:rPr>
                <w:szCs w:val="21"/>
              </w:rPr>
              <w:t>固废</w:t>
            </w:r>
          </w:p>
        </w:tc>
        <w:tc>
          <w:tcPr>
            <w:tcW w:w="763" w:type="dxa"/>
            <w:vAlign w:val="center"/>
          </w:tcPr>
          <w:p>
            <w:pPr>
              <w:pStyle w:val="40"/>
              <w:rPr>
                <w:szCs w:val="21"/>
              </w:rPr>
            </w:pPr>
            <w:r>
              <w:rPr>
                <w:szCs w:val="21"/>
              </w:rPr>
              <w:t>噪声</w:t>
            </w:r>
          </w:p>
        </w:tc>
        <w:tc>
          <w:tcPr>
            <w:tcW w:w="761" w:type="dxa"/>
            <w:vAlign w:val="center"/>
          </w:tcPr>
          <w:p>
            <w:pPr>
              <w:pStyle w:val="40"/>
              <w:rPr>
                <w:szCs w:val="21"/>
              </w:rPr>
            </w:pPr>
            <w:r>
              <w:rPr>
                <w:rFonts w:hint="eastAsia"/>
                <w:szCs w:val="21"/>
              </w:rPr>
              <w:t>环境</w:t>
            </w:r>
          </w:p>
          <w:p>
            <w:pPr>
              <w:pStyle w:val="40"/>
              <w:rPr>
                <w:szCs w:val="21"/>
              </w:rPr>
            </w:pPr>
            <w:r>
              <w:rPr>
                <w:szCs w:val="21"/>
              </w:rPr>
              <w:t>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restart"/>
            <w:vAlign w:val="center"/>
          </w:tcPr>
          <w:p>
            <w:pPr>
              <w:pStyle w:val="40"/>
              <w:rPr>
                <w:szCs w:val="21"/>
              </w:rPr>
            </w:pPr>
            <w:r>
              <w:rPr>
                <w:szCs w:val="21"/>
              </w:rPr>
              <w:t>自然环境</w:t>
            </w:r>
          </w:p>
        </w:tc>
        <w:tc>
          <w:tcPr>
            <w:tcW w:w="970" w:type="dxa"/>
            <w:vAlign w:val="center"/>
          </w:tcPr>
          <w:p>
            <w:pPr>
              <w:pStyle w:val="40"/>
              <w:rPr>
                <w:szCs w:val="21"/>
              </w:rPr>
            </w:pPr>
            <w:r>
              <w:rPr>
                <w:rFonts w:hint="eastAsia"/>
                <w:szCs w:val="21"/>
              </w:rPr>
              <w:t>环境</w:t>
            </w:r>
            <w:r>
              <w:rPr>
                <w:szCs w:val="21"/>
              </w:rPr>
              <w:t>空气</w:t>
            </w:r>
          </w:p>
        </w:tc>
        <w:tc>
          <w:tcPr>
            <w:tcW w:w="740" w:type="dxa"/>
            <w:vAlign w:val="center"/>
          </w:tcPr>
          <w:p>
            <w:pPr>
              <w:pStyle w:val="40"/>
              <w:rPr>
                <w:szCs w:val="21"/>
              </w:rPr>
            </w:pPr>
            <w:r>
              <w:rPr>
                <w:rFonts w:hint="eastAsia"/>
                <w:szCs w:val="21"/>
              </w:rPr>
              <w:t>-2</w:t>
            </w:r>
            <w:r>
              <w:rPr>
                <w:szCs w:val="21"/>
              </w:rPr>
              <w:t>DS</w:t>
            </w:r>
          </w:p>
        </w:tc>
        <w:tc>
          <w:tcPr>
            <w:tcW w:w="763" w:type="dxa"/>
            <w:vAlign w:val="center"/>
          </w:tcPr>
          <w:p>
            <w:pPr>
              <w:pStyle w:val="40"/>
              <w:rPr>
                <w:szCs w:val="21"/>
              </w:rPr>
            </w:pPr>
          </w:p>
        </w:tc>
        <w:tc>
          <w:tcPr>
            <w:tcW w:w="763" w:type="dxa"/>
            <w:vAlign w:val="center"/>
          </w:tcPr>
          <w:p>
            <w:pPr>
              <w:pStyle w:val="40"/>
              <w:rPr>
                <w:szCs w:val="21"/>
              </w:rPr>
            </w:pPr>
          </w:p>
        </w:tc>
        <w:tc>
          <w:tcPr>
            <w:tcW w:w="766" w:type="dxa"/>
            <w:vAlign w:val="center"/>
          </w:tcPr>
          <w:p>
            <w:pPr>
              <w:pStyle w:val="40"/>
              <w:rPr>
                <w:szCs w:val="21"/>
              </w:rPr>
            </w:pPr>
          </w:p>
        </w:tc>
        <w:tc>
          <w:tcPr>
            <w:tcW w:w="763" w:type="dxa"/>
            <w:vAlign w:val="center"/>
          </w:tcPr>
          <w:p>
            <w:pPr>
              <w:pStyle w:val="40"/>
              <w:rPr>
                <w:szCs w:val="21"/>
              </w:rPr>
            </w:pPr>
            <w:r>
              <w:rPr>
                <w:rFonts w:hint="eastAsia"/>
                <w:szCs w:val="21"/>
              </w:rPr>
              <w:t>-2</w:t>
            </w:r>
            <w:r>
              <w:rPr>
                <w:szCs w:val="21"/>
              </w:rPr>
              <w:t>DS</w:t>
            </w:r>
          </w:p>
        </w:tc>
        <w:tc>
          <w:tcPr>
            <w:tcW w:w="763" w:type="dxa"/>
            <w:vAlign w:val="center"/>
          </w:tcPr>
          <w:p>
            <w:pPr>
              <w:pStyle w:val="40"/>
              <w:rPr>
                <w:szCs w:val="21"/>
              </w:rPr>
            </w:pPr>
          </w:p>
        </w:tc>
        <w:tc>
          <w:tcPr>
            <w:tcW w:w="761"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r>
              <w:rPr>
                <w:rFonts w:hint="eastAsia"/>
                <w:szCs w:val="21"/>
              </w:rPr>
              <w:t>-1</w:t>
            </w:r>
            <w:r>
              <w:rPr>
                <w:szCs w:val="21"/>
              </w:rPr>
              <w:t>DS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continue"/>
            <w:vAlign w:val="center"/>
          </w:tcPr>
          <w:p>
            <w:pPr>
              <w:pStyle w:val="40"/>
              <w:rPr>
                <w:szCs w:val="21"/>
              </w:rPr>
            </w:pPr>
          </w:p>
        </w:tc>
        <w:tc>
          <w:tcPr>
            <w:tcW w:w="970" w:type="dxa"/>
            <w:vAlign w:val="center"/>
          </w:tcPr>
          <w:p>
            <w:pPr>
              <w:pStyle w:val="40"/>
              <w:rPr>
                <w:szCs w:val="21"/>
              </w:rPr>
            </w:pPr>
            <w:r>
              <w:rPr>
                <w:rFonts w:hint="eastAsia"/>
                <w:szCs w:val="21"/>
              </w:rPr>
              <w:t>水环境</w:t>
            </w:r>
          </w:p>
        </w:tc>
        <w:tc>
          <w:tcPr>
            <w:tcW w:w="740" w:type="dxa"/>
            <w:vAlign w:val="center"/>
          </w:tcPr>
          <w:p>
            <w:pPr>
              <w:pStyle w:val="40"/>
              <w:rPr>
                <w:szCs w:val="21"/>
              </w:rPr>
            </w:pPr>
          </w:p>
        </w:tc>
        <w:tc>
          <w:tcPr>
            <w:tcW w:w="763" w:type="dxa"/>
            <w:vAlign w:val="center"/>
          </w:tcPr>
          <w:p>
            <w:pPr>
              <w:pStyle w:val="40"/>
              <w:rPr>
                <w:szCs w:val="21"/>
              </w:rPr>
            </w:pPr>
            <w:r>
              <w:rPr>
                <w:rFonts w:hint="eastAsia"/>
                <w:szCs w:val="21"/>
              </w:rPr>
              <w:t>-1</w:t>
            </w:r>
            <w:r>
              <w:rPr>
                <w:szCs w:val="21"/>
              </w:rPr>
              <w:t>IS</w:t>
            </w:r>
          </w:p>
        </w:tc>
        <w:tc>
          <w:tcPr>
            <w:tcW w:w="763" w:type="dxa"/>
            <w:vAlign w:val="center"/>
          </w:tcPr>
          <w:p>
            <w:pPr>
              <w:pStyle w:val="40"/>
              <w:rPr>
                <w:szCs w:val="21"/>
              </w:rPr>
            </w:pPr>
          </w:p>
        </w:tc>
        <w:tc>
          <w:tcPr>
            <w:tcW w:w="766"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r>
              <w:rPr>
                <w:rFonts w:hint="eastAsia"/>
                <w:szCs w:val="21"/>
              </w:rPr>
              <w:t>-1</w:t>
            </w:r>
            <w:r>
              <w:rPr>
                <w:szCs w:val="21"/>
              </w:rPr>
              <w:t>IL</w:t>
            </w:r>
          </w:p>
        </w:tc>
        <w:tc>
          <w:tcPr>
            <w:tcW w:w="761" w:type="dxa"/>
            <w:vAlign w:val="center"/>
          </w:tcPr>
          <w:p>
            <w:pPr>
              <w:pStyle w:val="40"/>
              <w:rPr>
                <w:szCs w:val="21"/>
              </w:rPr>
            </w:pPr>
            <w:r>
              <w:rPr>
                <w:rFonts w:hint="eastAsia"/>
                <w:szCs w:val="21"/>
              </w:rPr>
              <w:t>-1</w:t>
            </w:r>
            <w:r>
              <w:rPr>
                <w:szCs w:val="21"/>
              </w:rPr>
              <w:t>DL</w:t>
            </w:r>
          </w:p>
        </w:tc>
        <w:tc>
          <w:tcPr>
            <w:tcW w:w="763" w:type="dxa"/>
            <w:vAlign w:val="center"/>
          </w:tcPr>
          <w:p>
            <w:pPr>
              <w:pStyle w:val="40"/>
              <w:rPr>
                <w:szCs w:val="21"/>
              </w:rPr>
            </w:pPr>
          </w:p>
        </w:tc>
        <w:tc>
          <w:tcPr>
            <w:tcW w:w="761" w:type="dxa"/>
            <w:vAlign w:val="center"/>
          </w:tcPr>
          <w:p>
            <w:pPr>
              <w:pStyle w:val="4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continue"/>
            <w:vAlign w:val="center"/>
          </w:tcPr>
          <w:p>
            <w:pPr>
              <w:pStyle w:val="40"/>
              <w:rPr>
                <w:szCs w:val="21"/>
              </w:rPr>
            </w:pPr>
          </w:p>
        </w:tc>
        <w:tc>
          <w:tcPr>
            <w:tcW w:w="970" w:type="dxa"/>
            <w:vAlign w:val="center"/>
          </w:tcPr>
          <w:p>
            <w:pPr>
              <w:pStyle w:val="40"/>
              <w:rPr>
                <w:szCs w:val="21"/>
              </w:rPr>
            </w:pPr>
            <w:r>
              <w:rPr>
                <w:rFonts w:hint="eastAsia"/>
                <w:szCs w:val="21"/>
              </w:rPr>
              <w:t>土壤环境</w:t>
            </w:r>
          </w:p>
        </w:tc>
        <w:tc>
          <w:tcPr>
            <w:tcW w:w="740"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p>
        </w:tc>
        <w:tc>
          <w:tcPr>
            <w:tcW w:w="766"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r>
              <w:rPr>
                <w:rFonts w:hint="eastAsia"/>
                <w:szCs w:val="21"/>
              </w:rPr>
              <w:t>-2</w:t>
            </w:r>
            <w:r>
              <w:rPr>
                <w:szCs w:val="21"/>
              </w:rPr>
              <w:t>DL</w:t>
            </w:r>
          </w:p>
        </w:tc>
        <w:tc>
          <w:tcPr>
            <w:tcW w:w="763" w:type="dxa"/>
            <w:vAlign w:val="center"/>
          </w:tcPr>
          <w:p>
            <w:pPr>
              <w:pStyle w:val="40"/>
              <w:rPr>
                <w:szCs w:val="21"/>
              </w:rPr>
            </w:pPr>
          </w:p>
        </w:tc>
        <w:tc>
          <w:tcPr>
            <w:tcW w:w="761" w:type="dxa"/>
            <w:vAlign w:val="center"/>
          </w:tcPr>
          <w:p>
            <w:pPr>
              <w:pStyle w:val="4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continue"/>
            <w:vAlign w:val="center"/>
          </w:tcPr>
          <w:p>
            <w:pPr>
              <w:pStyle w:val="40"/>
              <w:rPr>
                <w:szCs w:val="21"/>
              </w:rPr>
            </w:pPr>
          </w:p>
        </w:tc>
        <w:tc>
          <w:tcPr>
            <w:tcW w:w="970" w:type="dxa"/>
            <w:vAlign w:val="center"/>
          </w:tcPr>
          <w:p>
            <w:pPr>
              <w:pStyle w:val="40"/>
              <w:rPr>
                <w:szCs w:val="21"/>
              </w:rPr>
            </w:pPr>
            <w:r>
              <w:rPr>
                <w:szCs w:val="21"/>
              </w:rPr>
              <w:t>声环境</w:t>
            </w:r>
          </w:p>
        </w:tc>
        <w:tc>
          <w:tcPr>
            <w:tcW w:w="740"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p>
        </w:tc>
        <w:tc>
          <w:tcPr>
            <w:tcW w:w="766" w:type="dxa"/>
            <w:vAlign w:val="center"/>
          </w:tcPr>
          <w:p>
            <w:pPr>
              <w:pStyle w:val="40"/>
              <w:rPr>
                <w:szCs w:val="21"/>
              </w:rPr>
            </w:pPr>
            <w:r>
              <w:rPr>
                <w:rFonts w:hint="eastAsia"/>
                <w:szCs w:val="21"/>
              </w:rPr>
              <w:t>-2</w:t>
            </w:r>
            <w:r>
              <w:rPr>
                <w:szCs w:val="21"/>
              </w:rPr>
              <w:t>DS</w:t>
            </w:r>
          </w:p>
        </w:tc>
        <w:tc>
          <w:tcPr>
            <w:tcW w:w="763"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c>
          <w:tcPr>
            <w:tcW w:w="763" w:type="dxa"/>
            <w:vAlign w:val="center"/>
          </w:tcPr>
          <w:p>
            <w:pPr>
              <w:pStyle w:val="40"/>
              <w:rPr>
                <w:szCs w:val="21"/>
              </w:rPr>
            </w:pPr>
            <w:r>
              <w:rPr>
                <w:rFonts w:hint="eastAsia"/>
                <w:szCs w:val="21"/>
              </w:rPr>
              <w:t>-1</w:t>
            </w:r>
            <w:r>
              <w:rPr>
                <w:szCs w:val="21"/>
              </w:rPr>
              <w:t>DS</w:t>
            </w:r>
          </w:p>
        </w:tc>
        <w:tc>
          <w:tcPr>
            <w:tcW w:w="761" w:type="dxa"/>
            <w:vAlign w:val="center"/>
          </w:tcPr>
          <w:p>
            <w:pPr>
              <w:pStyle w:val="4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restart"/>
            <w:vAlign w:val="center"/>
          </w:tcPr>
          <w:p>
            <w:pPr>
              <w:pStyle w:val="40"/>
              <w:rPr>
                <w:szCs w:val="21"/>
              </w:rPr>
            </w:pPr>
            <w:r>
              <w:rPr>
                <w:rFonts w:hint="eastAsia"/>
                <w:szCs w:val="21"/>
              </w:rPr>
              <w:t>生态</w:t>
            </w:r>
            <w:r>
              <w:rPr>
                <w:szCs w:val="21"/>
              </w:rPr>
              <w:t>环境</w:t>
            </w:r>
          </w:p>
        </w:tc>
        <w:tc>
          <w:tcPr>
            <w:tcW w:w="970" w:type="dxa"/>
            <w:vAlign w:val="center"/>
          </w:tcPr>
          <w:p>
            <w:pPr>
              <w:pStyle w:val="40"/>
              <w:rPr>
                <w:szCs w:val="21"/>
              </w:rPr>
            </w:pPr>
            <w:r>
              <w:rPr>
                <w:rFonts w:hint="eastAsia"/>
                <w:szCs w:val="21"/>
              </w:rPr>
              <w:t>土地利用</w:t>
            </w:r>
          </w:p>
        </w:tc>
        <w:tc>
          <w:tcPr>
            <w:tcW w:w="740"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r>
              <w:rPr>
                <w:rFonts w:hint="eastAsia"/>
                <w:szCs w:val="21"/>
              </w:rPr>
              <w:t>-2</w:t>
            </w:r>
            <w:r>
              <w:rPr>
                <w:szCs w:val="21"/>
              </w:rPr>
              <w:t>DL</w:t>
            </w:r>
          </w:p>
        </w:tc>
        <w:tc>
          <w:tcPr>
            <w:tcW w:w="766"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continue"/>
            <w:vAlign w:val="center"/>
          </w:tcPr>
          <w:p>
            <w:pPr>
              <w:pStyle w:val="40"/>
              <w:rPr>
                <w:szCs w:val="21"/>
              </w:rPr>
            </w:pPr>
          </w:p>
        </w:tc>
        <w:tc>
          <w:tcPr>
            <w:tcW w:w="970" w:type="dxa"/>
            <w:vAlign w:val="center"/>
          </w:tcPr>
          <w:p>
            <w:pPr>
              <w:pStyle w:val="40"/>
              <w:rPr>
                <w:szCs w:val="21"/>
              </w:rPr>
            </w:pPr>
            <w:r>
              <w:rPr>
                <w:rFonts w:hint="eastAsia"/>
                <w:szCs w:val="21"/>
              </w:rPr>
              <w:t>景观</w:t>
            </w:r>
            <w:r>
              <w:rPr>
                <w:szCs w:val="21"/>
              </w:rPr>
              <w:t>影响</w:t>
            </w:r>
          </w:p>
        </w:tc>
        <w:tc>
          <w:tcPr>
            <w:tcW w:w="740"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r>
              <w:rPr>
                <w:rFonts w:hint="eastAsia"/>
                <w:szCs w:val="21"/>
              </w:rPr>
              <w:t>-1</w:t>
            </w:r>
            <w:r>
              <w:rPr>
                <w:szCs w:val="21"/>
              </w:rPr>
              <w:t>DL</w:t>
            </w:r>
          </w:p>
        </w:tc>
        <w:tc>
          <w:tcPr>
            <w:tcW w:w="766"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continue"/>
            <w:vAlign w:val="center"/>
          </w:tcPr>
          <w:p>
            <w:pPr>
              <w:pStyle w:val="40"/>
              <w:rPr>
                <w:szCs w:val="21"/>
              </w:rPr>
            </w:pPr>
          </w:p>
        </w:tc>
        <w:tc>
          <w:tcPr>
            <w:tcW w:w="970" w:type="dxa"/>
            <w:vAlign w:val="center"/>
          </w:tcPr>
          <w:p>
            <w:pPr>
              <w:pStyle w:val="40"/>
              <w:rPr>
                <w:szCs w:val="21"/>
              </w:rPr>
            </w:pPr>
            <w:r>
              <w:rPr>
                <w:rFonts w:hint="eastAsia"/>
                <w:szCs w:val="21"/>
              </w:rPr>
              <w:t>植被</w:t>
            </w:r>
            <w:r>
              <w:rPr>
                <w:szCs w:val="21"/>
              </w:rPr>
              <w:t>破坏</w:t>
            </w:r>
          </w:p>
        </w:tc>
        <w:tc>
          <w:tcPr>
            <w:tcW w:w="740"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r>
              <w:rPr>
                <w:rFonts w:hint="eastAsia"/>
                <w:szCs w:val="21"/>
              </w:rPr>
              <w:t>-2</w:t>
            </w:r>
            <w:r>
              <w:rPr>
                <w:szCs w:val="21"/>
              </w:rPr>
              <w:t>DS</w:t>
            </w:r>
          </w:p>
        </w:tc>
        <w:tc>
          <w:tcPr>
            <w:tcW w:w="766"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463" w:type="dxa"/>
            <w:vMerge w:val="continue"/>
            <w:vAlign w:val="center"/>
          </w:tcPr>
          <w:p>
            <w:pPr>
              <w:pStyle w:val="40"/>
              <w:rPr>
                <w:szCs w:val="21"/>
              </w:rPr>
            </w:pPr>
          </w:p>
        </w:tc>
        <w:tc>
          <w:tcPr>
            <w:tcW w:w="970" w:type="dxa"/>
            <w:vAlign w:val="center"/>
          </w:tcPr>
          <w:p>
            <w:pPr>
              <w:pStyle w:val="40"/>
              <w:rPr>
                <w:szCs w:val="21"/>
              </w:rPr>
            </w:pPr>
            <w:r>
              <w:rPr>
                <w:rFonts w:hint="eastAsia"/>
                <w:szCs w:val="21"/>
              </w:rPr>
              <w:t>水土流失</w:t>
            </w:r>
          </w:p>
        </w:tc>
        <w:tc>
          <w:tcPr>
            <w:tcW w:w="740"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r>
              <w:rPr>
                <w:rFonts w:hint="eastAsia"/>
                <w:szCs w:val="21"/>
              </w:rPr>
              <w:t>-2</w:t>
            </w:r>
            <w:r>
              <w:rPr>
                <w:szCs w:val="21"/>
              </w:rPr>
              <w:t>DL</w:t>
            </w:r>
          </w:p>
        </w:tc>
        <w:tc>
          <w:tcPr>
            <w:tcW w:w="766" w:type="dxa"/>
            <w:vAlign w:val="center"/>
          </w:tcPr>
          <w:p>
            <w:pPr>
              <w:pStyle w:val="40"/>
              <w:rPr>
                <w:szCs w:val="21"/>
              </w:rPr>
            </w:pPr>
          </w:p>
        </w:tc>
        <w:tc>
          <w:tcPr>
            <w:tcW w:w="763"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c>
          <w:tcPr>
            <w:tcW w:w="763" w:type="dxa"/>
            <w:vAlign w:val="center"/>
          </w:tcPr>
          <w:p>
            <w:pPr>
              <w:pStyle w:val="40"/>
              <w:rPr>
                <w:szCs w:val="21"/>
              </w:rPr>
            </w:pPr>
          </w:p>
        </w:tc>
        <w:tc>
          <w:tcPr>
            <w:tcW w:w="761" w:type="dxa"/>
            <w:vAlign w:val="center"/>
          </w:tcPr>
          <w:p>
            <w:pPr>
              <w:pStyle w:val="4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Ex>
        <w:trPr>
          <w:cantSplit/>
          <w:trHeight w:val="20" w:hRule="atLeast"/>
          <w:jc w:val="center"/>
        </w:trPr>
        <w:tc>
          <w:tcPr>
            <w:tcW w:w="8276" w:type="dxa"/>
            <w:gridSpan w:val="11"/>
            <w:vAlign w:val="center"/>
          </w:tcPr>
          <w:p>
            <w:pPr>
              <w:pStyle w:val="40"/>
              <w:jc w:val="left"/>
              <w:rPr>
                <w:szCs w:val="21"/>
              </w:rPr>
            </w:pPr>
            <w:r>
              <w:rPr>
                <w:szCs w:val="21"/>
              </w:rPr>
              <w:t>备注：</w:t>
            </w:r>
          </w:p>
          <w:p>
            <w:pPr>
              <w:pStyle w:val="40"/>
              <w:jc w:val="left"/>
              <w:rPr>
                <w:szCs w:val="21"/>
              </w:rPr>
            </w:pPr>
            <w:r>
              <w:rPr>
                <w:rFonts w:hint="eastAsia"/>
                <w:szCs w:val="21"/>
              </w:rPr>
              <w:t>①</w:t>
            </w:r>
            <w:r>
              <w:rPr>
                <w:szCs w:val="21"/>
              </w:rPr>
              <w:t>表中</w:t>
            </w:r>
            <w:r>
              <w:rPr>
                <w:rFonts w:asciiTheme="minorEastAsia" w:hAnsiTheme="minorEastAsia" w:eastAsiaTheme="minorEastAsia"/>
                <w:szCs w:val="21"/>
              </w:rPr>
              <w:t>“-”</w:t>
            </w:r>
            <w:r>
              <w:rPr>
                <w:rFonts w:hint="eastAsia"/>
                <w:szCs w:val="21"/>
              </w:rPr>
              <w:t>表示</w:t>
            </w:r>
            <w:r>
              <w:rPr>
                <w:szCs w:val="21"/>
              </w:rPr>
              <w:t>负效益</w:t>
            </w:r>
            <w:r>
              <w:rPr>
                <w:rFonts w:hint="eastAsia"/>
                <w:szCs w:val="21"/>
              </w:rPr>
              <w:t>；</w:t>
            </w:r>
          </w:p>
          <w:p>
            <w:pPr>
              <w:pStyle w:val="40"/>
              <w:jc w:val="left"/>
              <w:rPr>
                <w:szCs w:val="21"/>
              </w:rPr>
            </w:pPr>
            <w:r>
              <w:rPr>
                <w:rFonts w:hint="eastAsia"/>
                <w:szCs w:val="21"/>
              </w:rPr>
              <w:t>②表中</w:t>
            </w:r>
            <w:r>
              <w:rPr>
                <w:szCs w:val="21"/>
              </w:rPr>
              <w:t>数字表示影响的相对程度</w:t>
            </w:r>
            <w:r>
              <w:rPr>
                <w:rFonts w:hint="eastAsia"/>
                <w:szCs w:val="21"/>
              </w:rPr>
              <w:t>，“</w:t>
            </w:r>
            <w:r>
              <w:rPr>
                <w:szCs w:val="21"/>
              </w:rPr>
              <w:t>1</w:t>
            </w:r>
            <w:r>
              <w:rPr>
                <w:rFonts w:hint="eastAsia"/>
                <w:szCs w:val="21"/>
              </w:rPr>
              <w:t>”表示影响较小，“</w:t>
            </w:r>
            <w:r>
              <w:rPr>
                <w:szCs w:val="21"/>
              </w:rPr>
              <w:t>2</w:t>
            </w:r>
            <w:r>
              <w:rPr>
                <w:rFonts w:hint="eastAsia"/>
                <w:szCs w:val="21"/>
              </w:rPr>
              <w:t>”表示影响</w:t>
            </w:r>
            <w:r>
              <w:rPr>
                <w:szCs w:val="21"/>
              </w:rPr>
              <w:t>中等</w:t>
            </w:r>
            <w:r>
              <w:rPr>
                <w:rFonts w:hint="eastAsia"/>
                <w:szCs w:val="21"/>
              </w:rPr>
              <w:t>，“</w:t>
            </w:r>
            <w:r>
              <w:rPr>
                <w:szCs w:val="21"/>
              </w:rPr>
              <w:t>3</w:t>
            </w:r>
            <w:r>
              <w:rPr>
                <w:rFonts w:hint="eastAsia"/>
                <w:szCs w:val="21"/>
              </w:rPr>
              <w:t>”表示影响</w:t>
            </w:r>
            <w:r>
              <w:rPr>
                <w:szCs w:val="21"/>
              </w:rPr>
              <w:t>较大</w:t>
            </w:r>
            <w:r>
              <w:rPr>
                <w:rFonts w:hint="eastAsia"/>
                <w:szCs w:val="21"/>
              </w:rPr>
              <w:t>；</w:t>
            </w:r>
          </w:p>
          <w:p>
            <w:pPr>
              <w:pStyle w:val="40"/>
              <w:jc w:val="left"/>
              <w:rPr>
                <w:szCs w:val="21"/>
              </w:rPr>
            </w:pPr>
            <w:r>
              <w:rPr>
                <w:rFonts w:hint="eastAsia" w:ascii="宋体" w:hAnsi="宋体"/>
                <w:szCs w:val="21"/>
                <w:lang w:eastAsia="ja-JP"/>
              </w:rPr>
              <w:t>③</w:t>
            </w:r>
            <w:r>
              <w:rPr>
                <w:szCs w:val="21"/>
                <w:lang w:eastAsia="ja-JP"/>
              </w:rPr>
              <w:t>表中</w:t>
            </w:r>
            <w:r>
              <w:rPr>
                <w:rFonts w:asciiTheme="minorEastAsia" w:hAnsiTheme="minorEastAsia" w:eastAsiaTheme="minorEastAsia"/>
                <w:szCs w:val="21"/>
                <w:lang w:eastAsia="ja-JP"/>
              </w:rPr>
              <w:t>“</w:t>
            </w:r>
            <w:r>
              <w:rPr>
                <w:rFonts w:eastAsiaTheme="minorEastAsia"/>
                <w:szCs w:val="21"/>
                <w:lang w:eastAsia="ja-JP"/>
              </w:rPr>
              <w:t>D</w:t>
            </w:r>
            <w:r>
              <w:rPr>
                <w:rFonts w:asciiTheme="minorEastAsia" w:hAnsiTheme="minorEastAsia" w:eastAsiaTheme="minorEastAsia"/>
                <w:szCs w:val="21"/>
                <w:lang w:eastAsia="ja-JP"/>
              </w:rPr>
              <w:t>”</w:t>
            </w:r>
            <w:r>
              <w:rPr>
                <w:rFonts w:hint="eastAsia"/>
                <w:szCs w:val="21"/>
              </w:rPr>
              <w:t>表示</w:t>
            </w:r>
            <w:r>
              <w:rPr>
                <w:szCs w:val="21"/>
              </w:rPr>
              <w:t>直接影响，</w:t>
            </w:r>
            <w:r>
              <w:rPr>
                <w:rFonts w:hint="eastAsia"/>
                <w:szCs w:val="21"/>
              </w:rPr>
              <w:t>“</w:t>
            </w:r>
            <w:r>
              <w:rPr>
                <w:szCs w:val="21"/>
              </w:rPr>
              <w:t>I</w:t>
            </w:r>
            <w:r>
              <w:rPr>
                <w:rFonts w:hint="eastAsia"/>
                <w:szCs w:val="21"/>
              </w:rPr>
              <w:t>”表示间接影响</w:t>
            </w:r>
            <w:r>
              <w:rPr>
                <w:szCs w:val="21"/>
              </w:rPr>
              <w:t>；</w:t>
            </w:r>
          </w:p>
          <w:p>
            <w:pPr>
              <w:pStyle w:val="40"/>
              <w:jc w:val="left"/>
              <w:rPr>
                <w:szCs w:val="21"/>
              </w:rPr>
            </w:pPr>
            <w:r>
              <w:rPr>
                <w:rFonts w:hint="eastAsia"/>
                <w:szCs w:val="21"/>
              </w:rPr>
              <w:t>④“S”表示</w:t>
            </w:r>
            <w:r>
              <w:rPr>
                <w:szCs w:val="21"/>
              </w:rPr>
              <w:t>短期</w:t>
            </w:r>
            <w:r>
              <w:rPr>
                <w:rFonts w:hint="eastAsia"/>
                <w:szCs w:val="21"/>
              </w:rPr>
              <w:t>影响</w:t>
            </w:r>
            <w:r>
              <w:rPr>
                <w:szCs w:val="21"/>
              </w:rPr>
              <w:t>，</w:t>
            </w:r>
            <w:r>
              <w:rPr>
                <w:rFonts w:ascii="宋体" w:hAnsi="宋体"/>
                <w:szCs w:val="21"/>
              </w:rPr>
              <w:t>“L”</w:t>
            </w:r>
            <w:r>
              <w:rPr>
                <w:rFonts w:hint="eastAsia"/>
                <w:szCs w:val="21"/>
              </w:rPr>
              <w:t>表示</w:t>
            </w:r>
            <w:r>
              <w:rPr>
                <w:szCs w:val="21"/>
              </w:rPr>
              <w:t>长期影响</w:t>
            </w:r>
            <w:r>
              <w:rPr>
                <w:rFonts w:hint="eastAsia"/>
                <w:szCs w:val="21"/>
              </w:rPr>
              <w:t>。</w:t>
            </w:r>
          </w:p>
        </w:tc>
      </w:tr>
    </w:tbl>
    <w:p>
      <w:pPr>
        <w:ind w:firstLine="480"/>
      </w:pPr>
      <w:r>
        <w:t>由</w:t>
      </w:r>
      <w:r>
        <w:fldChar w:fldCharType="begin"/>
      </w:r>
      <w:r>
        <w:instrText xml:space="preserve"> REF _Ref27042096 \h  \* MERGEFORMAT </w:instrText>
      </w:r>
      <w:r>
        <w:fldChar w:fldCharType="separate"/>
      </w:r>
      <w:r>
        <w:t>表2.3</w:t>
      </w:r>
      <w:r>
        <w:noBreakHyphen/>
      </w:r>
      <w:r>
        <w:t>1</w:t>
      </w:r>
      <w:r>
        <w:fldChar w:fldCharType="end"/>
      </w:r>
      <w:r>
        <w:t>可以看出，本项目运营期产生的废水、废气、噪声和固体废物对</w:t>
      </w:r>
      <w:r>
        <w:rPr>
          <w:rFonts w:hint="eastAsia"/>
        </w:rPr>
        <w:t>项目地</w:t>
      </w:r>
      <w:r>
        <w:t>周围自然环境会造成一定的不利影响。</w:t>
      </w:r>
    </w:p>
    <w:p>
      <w:pPr>
        <w:pStyle w:val="4"/>
      </w:pPr>
      <w:r>
        <w:rPr>
          <w:rFonts w:hint="eastAsia"/>
        </w:rPr>
        <w:t>评价因子筛选</w:t>
      </w:r>
    </w:p>
    <w:p>
      <w:pPr>
        <w:pStyle w:val="79"/>
        <w:ind w:firstLine="480"/>
      </w:pPr>
      <w:r>
        <w:rPr>
          <w:rFonts w:hint="eastAsia"/>
        </w:rPr>
        <w:t>项目对环境的影响分为两个时期：施工期及运营期，其中：</w:t>
      </w:r>
    </w:p>
    <w:p>
      <w:pPr>
        <w:pStyle w:val="79"/>
        <w:ind w:firstLine="480"/>
      </w:pPr>
      <w:r>
        <w:rPr>
          <w:rFonts w:hint="eastAsia"/>
        </w:rPr>
        <w:t>（1）项目施工期内对环境的影响以短期影响及间接影响为主，影响较大的环节主要来自于施工扬尘及施工期固废，</w:t>
      </w:r>
      <w:r>
        <w:t>根据</w:t>
      </w:r>
      <w:r>
        <w:rPr>
          <w:rFonts w:hint="eastAsia"/>
        </w:rPr>
        <w:t>现场</w:t>
      </w:r>
      <w:r>
        <w:t>调查</w:t>
      </w:r>
      <w:r>
        <w:rPr>
          <w:rFonts w:hint="eastAsia"/>
        </w:rPr>
        <w:t>，项目</w:t>
      </w:r>
      <w:r>
        <w:t>建设已完成，施工期已结束，本次</w:t>
      </w:r>
      <w:r>
        <w:rPr>
          <w:rFonts w:hint="eastAsia"/>
        </w:rPr>
        <w:t>评价</w:t>
      </w:r>
      <w:r>
        <w:t>不对施工期进行评价</w:t>
      </w:r>
      <w:r>
        <w:rPr>
          <w:rFonts w:hint="eastAsia"/>
        </w:rPr>
        <w:t>；</w:t>
      </w:r>
    </w:p>
    <w:p>
      <w:pPr>
        <w:pStyle w:val="79"/>
        <w:ind w:firstLine="480"/>
      </w:pPr>
      <w:r>
        <w:rPr>
          <w:rFonts w:hint="eastAsia"/>
        </w:rPr>
        <w:t>（</w:t>
      </w:r>
      <w:r>
        <w:t>2</w:t>
      </w:r>
      <w:r>
        <w:rPr>
          <w:rFonts w:hint="eastAsia"/>
        </w:rPr>
        <w:t>）项目营运期对环境的影响是长期的，主要是对环境空气和地表水环境的影响；项目运行对环境主要影响因素是对当地环境空气的污染影响，其次为粪污还田对项目附近水环境的不利影响等。</w:t>
      </w:r>
    </w:p>
    <w:p>
      <w:pPr>
        <w:pStyle w:val="79"/>
        <w:ind w:firstLine="480"/>
      </w:pPr>
      <w:bookmarkStart w:id="25" w:name="bookmark0"/>
      <w:bookmarkEnd w:id="25"/>
      <w:r>
        <w:rPr>
          <w:rFonts w:hint="eastAsia"/>
        </w:rPr>
        <w:t>根据环境影响评价技术导则的要求、项目的环境影响特征，对项目可能造成的环境影响进行分析描述，对相关环境影响要素进行筛选。</w:t>
      </w:r>
    </w:p>
    <w:p>
      <w:pPr>
        <w:pStyle w:val="79"/>
        <w:ind w:firstLine="480"/>
      </w:pPr>
      <w:r>
        <w:t>经环境影响因素识别筛选确定本评价因子筛选结果见</w:t>
      </w:r>
      <w:r>
        <w:rPr>
          <w:rFonts w:hint="eastAsia"/>
        </w:rPr>
        <w:t>表2.3-2。</w:t>
      </w:r>
    </w:p>
    <w:p>
      <w:pPr>
        <w:pStyle w:val="41"/>
        <w:rPr>
          <w:rFonts w:eastAsia="宋体"/>
        </w:rPr>
      </w:pPr>
      <w:r>
        <w:rPr>
          <w:rFonts w:hint="eastAsia" w:hAnsi="Times New Roman" w:eastAsiaTheme="minorEastAsia"/>
        </w:rPr>
        <w:t xml:space="preserve">表2.3-2  </w:t>
      </w:r>
      <w:r>
        <w:rPr>
          <w:rFonts w:eastAsia="宋体"/>
        </w:rPr>
        <w:t>评价因子筛选结果</w:t>
      </w:r>
    </w:p>
    <w:tbl>
      <w:tblPr>
        <w:tblStyle w:val="27"/>
        <w:tblW w:w="85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65"/>
        <w:gridCol w:w="3802"/>
        <w:gridCol w:w="3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7" w:type="dxa"/>
            <w:vAlign w:val="center"/>
          </w:tcPr>
          <w:p>
            <w:pPr>
              <w:pStyle w:val="40"/>
              <w:rPr>
                <w:szCs w:val="21"/>
              </w:rPr>
            </w:pPr>
            <w:r>
              <w:rPr>
                <w:szCs w:val="21"/>
              </w:rPr>
              <w:t>序号</w:t>
            </w:r>
          </w:p>
        </w:tc>
        <w:tc>
          <w:tcPr>
            <w:tcW w:w="865" w:type="dxa"/>
            <w:vAlign w:val="center"/>
          </w:tcPr>
          <w:p>
            <w:pPr>
              <w:pStyle w:val="40"/>
              <w:rPr>
                <w:szCs w:val="21"/>
              </w:rPr>
            </w:pPr>
            <w:r>
              <w:rPr>
                <w:szCs w:val="21"/>
              </w:rPr>
              <w:t>类型</w:t>
            </w:r>
          </w:p>
        </w:tc>
        <w:tc>
          <w:tcPr>
            <w:tcW w:w="3802" w:type="dxa"/>
            <w:vAlign w:val="center"/>
          </w:tcPr>
          <w:p>
            <w:pPr>
              <w:pStyle w:val="40"/>
              <w:rPr>
                <w:szCs w:val="21"/>
              </w:rPr>
            </w:pPr>
            <w:r>
              <w:rPr>
                <w:szCs w:val="21"/>
              </w:rPr>
              <w:t>现状评价因子</w:t>
            </w:r>
          </w:p>
        </w:tc>
        <w:tc>
          <w:tcPr>
            <w:tcW w:w="3160" w:type="dxa"/>
            <w:vAlign w:val="center"/>
          </w:tcPr>
          <w:p>
            <w:pPr>
              <w:pStyle w:val="40"/>
              <w:rPr>
                <w:szCs w:val="21"/>
              </w:rPr>
            </w:pPr>
            <w:r>
              <w:rPr>
                <w:szCs w:val="21"/>
              </w:rPr>
              <w:t>影响评价因子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7" w:type="dxa"/>
            <w:vAlign w:val="center"/>
          </w:tcPr>
          <w:p>
            <w:pPr>
              <w:pStyle w:val="40"/>
              <w:rPr>
                <w:szCs w:val="21"/>
              </w:rPr>
            </w:pPr>
            <w:r>
              <w:rPr>
                <w:szCs w:val="21"/>
              </w:rPr>
              <w:t>1</w:t>
            </w:r>
          </w:p>
        </w:tc>
        <w:tc>
          <w:tcPr>
            <w:tcW w:w="865" w:type="dxa"/>
            <w:vAlign w:val="center"/>
          </w:tcPr>
          <w:p>
            <w:pPr>
              <w:pStyle w:val="40"/>
              <w:rPr>
                <w:szCs w:val="21"/>
              </w:rPr>
            </w:pPr>
            <w:r>
              <w:rPr>
                <w:szCs w:val="21"/>
              </w:rPr>
              <w:t>地表水</w:t>
            </w:r>
          </w:p>
          <w:p>
            <w:pPr>
              <w:pStyle w:val="40"/>
              <w:rPr>
                <w:szCs w:val="21"/>
              </w:rPr>
            </w:pPr>
            <w:r>
              <w:rPr>
                <w:szCs w:val="21"/>
              </w:rPr>
              <w:t>环境</w:t>
            </w:r>
          </w:p>
        </w:tc>
        <w:tc>
          <w:tcPr>
            <w:tcW w:w="3802" w:type="dxa"/>
            <w:vAlign w:val="center"/>
          </w:tcPr>
          <w:p>
            <w:pPr>
              <w:pStyle w:val="40"/>
              <w:rPr>
                <w:szCs w:val="21"/>
              </w:rPr>
            </w:pPr>
            <w:r>
              <w:rPr>
                <w:rFonts w:hint="eastAsia"/>
                <w:szCs w:val="21"/>
              </w:rPr>
              <w:t>pH、COD、BOD</w:t>
            </w:r>
            <w:r>
              <w:rPr>
                <w:rFonts w:hint="eastAsia"/>
                <w:szCs w:val="21"/>
                <w:vertAlign w:val="subscript"/>
              </w:rPr>
              <w:t>5</w:t>
            </w:r>
            <w:r>
              <w:rPr>
                <w:rFonts w:hint="eastAsia"/>
                <w:szCs w:val="21"/>
              </w:rPr>
              <w:t>、NH</w:t>
            </w:r>
            <w:r>
              <w:rPr>
                <w:rFonts w:hint="eastAsia"/>
                <w:szCs w:val="21"/>
                <w:vertAlign w:val="subscript"/>
              </w:rPr>
              <w:t>3</w:t>
            </w:r>
            <w:r>
              <w:rPr>
                <w:rFonts w:hint="eastAsia"/>
                <w:szCs w:val="21"/>
              </w:rPr>
              <w:t>-N、挥发酚、石油类、硫化物、粪大肠杆菌</w:t>
            </w:r>
          </w:p>
        </w:tc>
        <w:tc>
          <w:tcPr>
            <w:tcW w:w="3160" w:type="dxa"/>
            <w:vAlign w:val="center"/>
          </w:tcPr>
          <w:p>
            <w:pPr>
              <w:pStyle w:val="40"/>
              <w:jc w:val="left"/>
              <w:rPr>
                <w:szCs w:val="21"/>
              </w:rPr>
            </w:pPr>
            <w:r>
              <w:rPr>
                <w:rFonts w:hint="eastAsia"/>
                <w:szCs w:val="21"/>
              </w:rPr>
              <w:t>营运期：粪污无害化处理可行性分析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7" w:type="dxa"/>
            <w:vAlign w:val="center"/>
          </w:tcPr>
          <w:p>
            <w:pPr>
              <w:pStyle w:val="40"/>
              <w:rPr>
                <w:szCs w:val="21"/>
              </w:rPr>
            </w:pPr>
            <w:r>
              <w:rPr>
                <w:szCs w:val="21"/>
              </w:rPr>
              <w:t>2</w:t>
            </w:r>
          </w:p>
        </w:tc>
        <w:tc>
          <w:tcPr>
            <w:tcW w:w="865" w:type="dxa"/>
            <w:vAlign w:val="center"/>
          </w:tcPr>
          <w:p>
            <w:pPr>
              <w:pStyle w:val="40"/>
              <w:rPr>
                <w:szCs w:val="21"/>
              </w:rPr>
            </w:pPr>
            <w:r>
              <w:rPr>
                <w:szCs w:val="21"/>
              </w:rPr>
              <w:t>地下水</w:t>
            </w:r>
          </w:p>
        </w:tc>
        <w:tc>
          <w:tcPr>
            <w:tcW w:w="3802" w:type="dxa"/>
            <w:vAlign w:val="center"/>
          </w:tcPr>
          <w:p>
            <w:pPr>
              <w:pStyle w:val="40"/>
              <w:rPr>
                <w:szCs w:val="21"/>
              </w:rPr>
            </w:pPr>
            <w:r>
              <w:rPr>
                <w:rFonts w:hint="eastAsia"/>
                <w:szCs w:val="21"/>
              </w:rPr>
              <w:t>/</w:t>
            </w:r>
          </w:p>
        </w:tc>
        <w:tc>
          <w:tcPr>
            <w:tcW w:w="3160" w:type="dxa"/>
            <w:vAlign w:val="center"/>
          </w:tcPr>
          <w:p>
            <w:pPr>
              <w:pStyle w:val="40"/>
              <w:jc w:val="left"/>
              <w:rPr>
                <w:szCs w:val="21"/>
              </w:rPr>
            </w:pPr>
            <w:r>
              <w:rPr>
                <w:rFonts w:hint="eastAsia"/>
                <w:szCs w:val="21"/>
              </w:rPr>
              <w:t>营运期：三级评价，对地下水水质的影响分析。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7" w:type="dxa"/>
            <w:vAlign w:val="center"/>
          </w:tcPr>
          <w:p>
            <w:pPr>
              <w:pStyle w:val="40"/>
              <w:rPr>
                <w:szCs w:val="21"/>
              </w:rPr>
            </w:pPr>
            <w:r>
              <w:rPr>
                <w:szCs w:val="21"/>
              </w:rPr>
              <w:t>3</w:t>
            </w:r>
          </w:p>
        </w:tc>
        <w:tc>
          <w:tcPr>
            <w:tcW w:w="865" w:type="dxa"/>
            <w:vAlign w:val="center"/>
          </w:tcPr>
          <w:p>
            <w:pPr>
              <w:pStyle w:val="40"/>
              <w:rPr>
                <w:szCs w:val="21"/>
              </w:rPr>
            </w:pPr>
            <w:r>
              <w:rPr>
                <w:szCs w:val="21"/>
              </w:rPr>
              <w:t>大气</w:t>
            </w:r>
          </w:p>
          <w:p>
            <w:pPr>
              <w:pStyle w:val="40"/>
              <w:rPr>
                <w:szCs w:val="21"/>
              </w:rPr>
            </w:pPr>
            <w:r>
              <w:rPr>
                <w:szCs w:val="21"/>
              </w:rPr>
              <w:t>环境</w:t>
            </w:r>
          </w:p>
        </w:tc>
        <w:tc>
          <w:tcPr>
            <w:tcW w:w="3802" w:type="dxa"/>
            <w:vAlign w:val="center"/>
          </w:tcPr>
          <w:p>
            <w:pPr>
              <w:pStyle w:val="40"/>
              <w:rPr>
                <w:szCs w:val="21"/>
              </w:rPr>
            </w:pPr>
            <w:r>
              <w:rPr>
                <w:spacing w:val="4"/>
                <w:szCs w:val="21"/>
              </w:rPr>
              <w:t>PM</w:t>
            </w:r>
            <w:r>
              <w:rPr>
                <w:spacing w:val="4"/>
                <w:szCs w:val="21"/>
                <w:vertAlign w:val="subscript"/>
              </w:rPr>
              <w:t>2.5</w:t>
            </w:r>
            <w:r>
              <w:rPr>
                <w:spacing w:val="4"/>
                <w:szCs w:val="21"/>
              </w:rPr>
              <w:t>、PM</w:t>
            </w:r>
            <w:r>
              <w:rPr>
                <w:spacing w:val="4"/>
                <w:szCs w:val="21"/>
                <w:vertAlign w:val="subscript"/>
              </w:rPr>
              <w:t>10</w:t>
            </w:r>
            <w:r>
              <w:rPr>
                <w:spacing w:val="4"/>
                <w:szCs w:val="21"/>
              </w:rPr>
              <w:t>、SO</w:t>
            </w:r>
            <w:r>
              <w:rPr>
                <w:spacing w:val="4"/>
                <w:szCs w:val="21"/>
                <w:vertAlign w:val="subscript"/>
              </w:rPr>
              <w:t>2</w:t>
            </w:r>
            <w:r>
              <w:rPr>
                <w:spacing w:val="4"/>
                <w:szCs w:val="21"/>
              </w:rPr>
              <w:t>、NO</w:t>
            </w:r>
            <w:r>
              <w:rPr>
                <w:szCs w:val="21"/>
                <w:vertAlign w:val="subscript"/>
              </w:rPr>
              <w:t>2</w:t>
            </w:r>
            <w:r>
              <w:rPr>
                <w:szCs w:val="21"/>
              </w:rPr>
              <w:t>、</w:t>
            </w:r>
            <w:r>
              <w:rPr>
                <w:rFonts w:hint="eastAsia"/>
                <w:szCs w:val="21"/>
              </w:rPr>
              <w:t>CO</w:t>
            </w:r>
            <w:r>
              <w:rPr>
                <w:szCs w:val="21"/>
              </w:rPr>
              <w:t>、O</w:t>
            </w:r>
            <w:r>
              <w:rPr>
                <w:szCs w:val="21"/>
                <w:vertAlign w:val="subscript"/>
              </w:rPr>
              <w:t>3</w:t>
            </w:r>
            <w:r>
              <w:rPr>
                <w:szCs w:val="21"/>
              </w:rPr>
              <w:t>、H</w:t>
            </w:r>
            <w:r>
              <w:rPr>
                <w:szCs w:val="21"/>
                <w:vertAlign w:val="subscript"/>
              </w:rPr>
              <w:t>2</w:t>
            </w:r>
            <w:r>
              <w:rPr>
                <w:szCs w:val="21"/>
              </w:rPr>
              <w:t>S、NH</w:t>
            </w:r>
            <w:r>
              <w:rPr>
                <w:szCs w:val="21"/>
                <w:vertAlign w:val="subscript"/>
              </w:rPr>
              <w:t>3</w:t>
            </w:r>
          </w:p>
        </w:tc>
        <w:tc>
          <w:tcPr>
            <w:tcW w:w="3160" w:type="dxa"/>
            <w:vAlign w:val="center"/>
          </w:tcPr>
          <w:p>
            <w:pPr>
              <w:pStyle w:val="40"/>
              <w:jc w:val="left"/>
              <w:rPr>
                <w:szCs w:val="21"/>
              </w:rPr>
            </w:pPr>
            <w:r>
              <w:rPr>
                <w:rFonts w:hint="eastAsia"/>
                <w:szCs w:val="21"/>
              </w:rPr>
              <w:t>运营期</w:t>
            </w:r>
            <w:r>
              <w:rPr>
                <w:szCs w:val="21"/>
              </w:rPr>
              <w:t>：H</w:t>
            </w:r>
            <w:r>
              <w:rPr>
                <w:szCs w:val="21"/>
                <w:vertAlign w:val="subscript"/>
              </w:rPr>
              <w:t>2</w:t>
            </w:r>
            <w:r>
              <w:rPr>
                <w:szCs w:val="21"/>
              </w:rPr>
              <w:t>S、NH</w:t>
            </w:r>
            <w:r>
              <w:rPr>
                <w:szCs w:val="21"/>
                <w:vertAlign w:val="subscript"/>
              </w:rPr>
              <w:t>3</w:t>
            </w:r>
            <w:r>
              <w:rPr>
                <w:rFonts w:hint="eastAsia"/>
                <w:szCs w:val="21"/>
              </w:rPr>
              <w:t>、</w:t>
            </w:r>
            <w:r>
              <w:rPr>
                <w:szCs w:val="21"/>
              </w:rPr>
              <w:t>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7" w:type="dxa"/>
            <w:vAlign w:val="center"/>
          </w:tcPr>
          <w:p>
            <w:pPr>
              <w:pStyle w:val="40"/>
              <w:rPr>
                <w:szCs w:val="21"/>
              </w:rPr>
            </w:pPr>
            <w:r>
              <w:rPr>
                <w:szCs w:val="21"/>
              </w:rPr>
              <w:t>4</w:t>
            </w:r>
          </w:p>
        </w:tc>
        <w:tc>
          <w:tcPr>
            <w:tcW w:w="865" w:type="dxa"/>
            <w:vAlign w:val="center"/>
          </w:tcPr>
          <w:p>
            <w:pPr>
              <w:pStyle w:val="40"/>
              <w:rPr>
                <w:szCs w:val="21"/>
              </w:rPr>
            </w:pPr>
            <w:r>
              <w:rPr>
                <w:szCs w:val="21"/>
              </w:rPr>
              <w:t>声环境</w:t>
            </w:r>
          </w:p>
        </w:tc>
        <w:tc>
          <w:tcPr>
            <w:tcW w:w="3802" w:type="dxa"/>
            <w:vAlign w:val="center"/>
          </w:tcPr>
          <w:p>
            <w:pPr>
              <w:pStyle w:val="40"/>
              <w:rPr>
                <w:szCs w:val="21"/>
              </w:rPr>
            </w:pPr>
            <w:r>
              <w:rPr>
                <w:rFonts w:hint="eastAsia"/>
                <w:szCs w:val="21"/>
              </w:rPr>
              <w:t>等效连续</w:t>
            </w:r>
            <w:r>
              <w:rPr>
                <w:szCs w:val="21"/>
              </w:rPr>
              <w:t>A</w:t>
            </w:r>
            <w:r>
              <w:rPr>
                <w:rFonts w:hint="eastAsia"/>
                <w:szCs w:val="21"/>
              </w:rPr>
              <w:t>声级</w:t>
            </w:r>
            <w:r>
              <w:rPr>
                <w:szCs w:val="21"/>
              </w:rPr>
              <w:t>LeqdB（A）</w:t>
            </w:r>
          </w:p>
        </w:tc>
        <w:tc>
          <w:tcPr>
            <w:tcW w:w="3160" w:type="dxa"/>
            <w:vAlign w:val="center"/>
          </w:tcPr>
          <w:p>
            <w:pPr>
              <w:pStyle w:val="58"/>
              <w:jc w:val="center"/>
              <w:rPr>
                <w:color w:val="auto"/>
                <w:sz w:val="21"/>
                <w:szCs w:val="21"/>
              </w:rPr>
            </w:pPr>
            <w:r>
              <w:rPr>
                <w:rFonts w:hint="eastAsia"/>
                <w:color w:val="auto"/>
                <w:sz w:val="21"/>
                <w:szCs w:val="21"/>
              </w:rPr>
              <w:t>等效连续</w:t>
            </w:r>
            <w:r>
              <w:rPr>
                <w:rFonts w:ascii="Times New Roman" w:cs="Times New Roman"/>
                <w:color w:val="auto"/>
                <w:sz w:val="21"/>
                <w:szCs w:val="21"/>
              </w:rPr>
              <w:t>A声级LeqdB（A）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7" w:type="dxa"/>
            <w:vAlign w:val="center"/>
          </w:tcPr>
          <w:p>
            <w:pPr>
              <w:pStyle w:val="40"/>
              <w:rPr>
                <w:szCs w:val="21"/>
              </w:rPr>
            </w:pPr>
            <w:r>
              <w:rPr>
                <w:szCs w:val="21"/>
              </w:rPr>
              <w:t>5</w:t>
            </w:r>
          </w:p>
        </w:tc>
        <w:tc>
          <w:tcPr>
            <w:tcW w:w="865" w:type="dxa"/>
            <w:vAlign w:val="center"/>
          </w:tcPr>
          <w:p>
            <w:pPr>
              <w:pStyle w:val="40"/>
              <w:rPr>
                <w:szCs w:val="21"/>
              </w:rPr>
            </w:pPr>
            <w:r>
              <w:rPr>
                <w:szCs w:val="21"/>
              </w:rPr>
              <w:t>固废</w:t>
            </w:r>
          </w:p>
        </w:tc>
        <w:tc>
          <w:tcPr>
            <w:tcW w:w="3802" w:type="dxa"/>
            <w:vAlign w:val="center"/>
          </w:tcPr>
          <w:p>
            <w:pPr>
              <w:pStyle w:val="40"/>
              <w:rPr>
                <w:szCs w:val="21"/>
              </w:rPr>
            </w:pPr>
            <w:r>
              <w:rPr>
                <w:szCs w:val="21"/>
              </w:rPr>
              <w:t>——</w:t>
            </w:r>
          </w:p>
        </w:tc>
        <w:tc>
          <w:tcPr>
            <w:tcW w:w="3160" w:type="dxa"/>
            <w:vAlign w:val="center"/>
          </w:tcPr>
          <w:p>
            <w:pPr>
              <w:pStyle w:val="40"/>
              <w:jc w:val="left"/>
              <w:rPr>
                <w:szCs w:val="21"/>
              </w:rPr>
            </w:pPr>
            <w:r>
              <w:rPr>
                <w:rFonts w:hint="eastAsia"/>
                <w:szCs w:val="21"/>
              </w:rPr>
              <w:t>营运期：猪粪、病死猪、医疗废物、废包装以及员工生活垃圾、</w:t>
            </w:r>
            <w:r>
              <w:rPr>
                <w:szCs w:val="21"/>
              </w:rPr>
              <w:t>分娩废物、废脱硫剂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7" w:type="dxa"/>
            <w:vAlign w:val="center"/>
          </w:tcPr>
          <w:p>
            <w:pPr>
              <w:pStyle w:val="40"/>
              <w:rPr>
                <w:szCs w:val="21"/>
              </w:rPr>
            </w:pPr>
            <w:r>
              <w:rPr>
                <w:szCs w:val="21"/>
              </w:rPr>
              <w:t>6</w:t>
            </w:r>
          </w:p>
        </w:tc>
        <w:tc>
          <w:tcPr>
            <w:tcW w:w="865" w:type="dxa"/>
            <w:vAlign w:val="center"/>
          </w:tcPr>
          <w:p>
            <w:pPr>
              <w:pStyle w:val="40"/>
              <w:rPr>
                <w:szCs w:val="21"/>
              </w:rPr>
            </w:pPr>
            <w:r>
              <w:rPr>
                <w:szCs w:val="21"/>
              </w:rPr>
              <w:t>生态</w:t>
            </w:r>
          </w:p>
          <w:p>
            <w:pPr>
              <w:pStyle w:val="40"/>
              <w:rPr>
                <w:szCs w:val="21"/>
              </w:rPr>
            </w:pPr>
            <w:r>
              <w:rPr>
                <w:szCs w:val="21"/>
              </w:rPr>
              <w:t>环境</w:t>
            </w:r>
          </w:p>
        </w:tc>
        <w:tc>
          <w:tcPr>
            <w:tcW w:w="3802" w:type="dxa"/>
            <w:vAlign w:val="center"/>
          </w:tcPr>
          <w:p>
            <w:pPr>
              <w:pStyle w:val="40"/>
              <w:rPr>
                <w:szCs w:val="21"/>
              </w:rPr>
            </w:pPr>
            <w:r>
              <w:rPr>
                <w:szCs w:val="21"/>
              </w:rPr>
              <w:t>土地利用、植被、水土流失等</w:t>
            </w:r>
          </w:p>
        </w:tc>
        <w:tc>
          <w:tcPr>
            <w:tcW w:w="3160" w:type="dxa"/>
            <w:vAlign w:val="center"/>
          </w:tcPr>
          <w:p>
            <w:pPr>
              <w:pStyle w:val="40"/>
              <w:rPr>
                <w:szCs w:val="21"/>
              </w:rPr>
            </w:pPr>
            <w:r>
              <w:rPr>
                <w:szCs w:val="21"/>
              </w:rPr>
              <w:t>建设对区域生态、动植物的影响</w:t>
            </w:r>
          </w:p>
        </w:tc>
      </w:tr>
    </w:tbl>
    <w:p>
      <w:pPr>
        <w:pStyle w:val="3"/>
      </w:pPr>
      <w:bookmarkStart w:id="26" w:name="_Toc108422223"/>
      <w:r>
        <w:rPr>
          <w:rFonts w:hint="eastAsia"/>
        </w:rPr>
        <w:t>评价标准</w:t>
      </w:r>
      <w:bookmarkEnd w:id="26"/>
    </w:p>
    <w:p>
      <w:pPr>
        <w:pStyle w:val="4"/>
      </w:pPr>
      <w:r>
        <w:rPr>
          <w:rFonts w:hint="eastAsia"/>
        </w:rPr>
        <w:t>环境质量标准</w:t>
      </w:r>
    </w:p>
    <w:p>
      <w:pPr>
        <w:pStyle w:val="5"/>
      </w:pPr>
      <w:r>
        <w:rPr>
          <w:rFonts w:hint="eastAsia"/>
        </w:rPr>
        <w:t>环境空气质量标准</w:t>
      </w:r>
    </w:p>
    <w:p>
      <w:pPr>
        <w:ind w:firstLine="480"/>
      </w:pPr>
      <w:r>
        <w:rPr>
          <w:rFonts w:hint="eastAsia"/>
        </w:rPr>
        <w:t>建设</w:t>
      </w:r>
      <w:r>
        <w:t>项目所在区域</w:t>
      </w:r>
      <w:r>
        <w:rPr>
          <w:rFonts w:hint="eastAsia"/>
        </w:rPr>
        <w:t>是</w:t>
      </w:r>
      <w:r>
        <w:t>农村地区，属于环境空气质量二类区域，执行《环境空气质量标准》（GB3095-2012）中二级标准，</w:t>
      </w:r>
      <w:r>
        <w:rPr>
          <w:rFonts w:hint="eastAsia"/>
        </w:rPr>
        <w:t>氨、硫化氢参照执行HJ2.2-2018附录D浓度限值。</w:t>
      </w:r>
      <w:r>
        <w:t>具体见</w:t>
      </w:r>
      <w:r>
        <w:rPr>
          <w:rFonts w:hint="eastAsia"/>
        </w:rPr>
        <w:t>表2.4-1。</w:t>
      </w:r>
    </w:p>
    <w:p>
      <w:pPr>
        <w:pStyle w:val="41"/>
      </w:pPr>
      <w:bookmarkStart w:id="27" w:name="_Ref36129610"/>
      <w:r>
        <w:rPr>
          <w:rFonts w:hint="eastAsia" w:ascii="宋体" w:hAnsi="宋体" w:eastAsia="宋体" w:cs="宋体"/>
        </w:rPr>
        <w:t>表</w:t>
      </w:r>
      <w:r>
        <w:fldChar w:fldCharType="begin"/>
      </w:r>
      <w:r>
        <w:rPr>
          <w:rFonts w:hint="eastAsia"/>
        </w:rPr>
        <w:instrText xml:space="preserve">STYLEREF 2 \s</w:instrText>
      </w:r>
      <w:r>
        <w:fldChar w:fldCharType="separate"/>
      </w:r>
      <w:r>
        <w:t>2.4</w:t>
      </w:r>
      <w:r>
        <w:fldChar w:fldCharType="end"/>
      </w:r>
      <w:r>
        <w:noBreakHyphen/>
      </w:r>
      <w:r>
        <w:fldChar w:fldCharType="begin"/>
      </w:r>
      <w:r>
        <w:rPr>
          <w:rFonts w:hint="eastAsia"/>
        </w:rPr>
        <w:instrText xml:space="preserve">SEQ 表 \* ARABIC \s 2</w:instrText>
      </w:r>
      <w:r>
        <w:fldChar w:fldCharType="separate"/>
      </w:r>
      <w:r>
        <w:t>1</w:t>
      </w:r>
      <w:r>
        <w:fldChar w:fldCharType="end"/>
      </w:r>
      <w:bookmarkEnd w:id="27"/>
      <w:r>
        <w:rPr>
          <w:rFonts w:hint="eastAsia" w:ascii="宋体" w:hAnsi="宋体" w:eastAsia="宋体" w:cs="宋体"/>
        </w:rPr>
        <w:t>环境空气质量标准</w:t>
      </w:r>
    </w:p>
    <w:tbl>
      <w:tblPr>
        <w:tblStyle w:val="27"/>
        <w:tblW w:w="80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928"/>
        <w:gridCol w:w="1111"/>
        <w:gridCol w:w="3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363" w:type="dxa"/>
            <w:vAlign w:val="center"/>
          </w:tcPr>
          <w:p>
            <w:pPr>
              <w:pStyle w:val="40"/>
            </w:pPr>
            <w:r>
              <w:t>污染物名称</w:t>
            </w:r>
          </w:p>
        </w:tc>
        <w:tc>
          <w:tcPr>
            <w:tcW w:w="1928" w:type="dxa"/>
            <w:vAlign w:val="center"/>
          </w:tcPr>
          <w:p>
            <w:pPr>
              <w:pStyle w:val="40"/>
            </w:pPr>
            <w:r>
              <w:t>取值时间</w:t>
            </w:r>
          </w:p>
        </w:tc>
        <w:tc>
          <w:tcPr>
            <w:tcW w:w="1111" w:type="dxa"/>
            <w:vAlign w:val="center"/>
          </w:tcPr>
          <w:p>
            <w:pPr>
              <w:pStyle w:val="40"/>
            </w:pPr>
            <w:r>
              <w:t>浓度限值</w:t>
            </w:r>
          </w:p>
        </w:tc>
        <w:tc>
          <w:tcPr>
            <w:tcW w:w="3636" w:type="dxa"/>
            <w:vAlign w:val="center"/>
          </w:tcPr>
          <w:p>
            <w:pPr>
              <w:pStyle w:val="40"/>
            </w:pPr>
            <w:r>
              <w:t>标准出处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restart"/>
            <w:vAlign w:val="center"/>
          </w:tcPr>
          <w:p>
            <w:pPr>
              <w:pStyle w:val="40"/>
            </w:pPr>
            <w:r>
              <w:t>SO</w:t>
            </w:r>
            <w:r>
              <w:rPr>
                <w:vertAlign w:val="subscript"/>
              </w:rPr>
              <w:t>2</w:t>
            </w:r>
          </w:p>
        </w:tc>
        <w:tc>
          <w:tcPr>
            <w:tcW w:w="1928" w:type="dxa"/>
            <w:vAlign w:val="center"/>
          </w:tcPr>
          <w:p>
            <w:pPr>
              <w:pStyle w:val="40"/>
            </w:pPr>
            <w:r>
              <w:t>1小时平均</w:t>
            </w:r>
          </w:p>
        </w:tc>
        <w:tc>
          <w:tcPr>
            <w:tcW w:w="1111" w:type="dxa"/>
            <w:vAlign w:val="center"/>
          </w:tcPr>
          <w:p>
            <w:pPr>
              <w:pStyle w:val="40"/>
            </w:pPr>
            <w:r>
              <w:t>500μg/m</w:t>
            </w:r>
            <w:r>
              <w:rPr>
                <w:vertAlign w:val="superscript"/>
              </w:rPr>
              <w:t>3</w:t>
            </w:r>
          </w:p>
        </w:tc>
        <w:tc>
          <w:tcPr>
            <w:tcW w:w="3636" w:type="dxa"/>
            <w:vMerge w:val="restart"/>
            <w:vAlign w:val="center"/>
          </w:tcPr>
          <w:p>
            <w:pPr>
              <w:pStyle w:val="40"/>
            </w:pPr>
            <w:r>
              <w:t>《环境空气质量标准》</w:t>
            </w:r>
          </w:p>
          <w:p>
            <w:pPr>
              <w:pStyle w:val="40"/>
            </w:pPr>
            <w:r>
              <w:t>（GB3095-2012）中二级标准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24小时平均</w:t>
            </w:r>
          </w:p>
        </w:tc>
        <w:tc>
          <w:tcPr>
            <w:tcW w:w="1111" w:type="dxa"/>
            <w:vAlign w:val="center"/>
          </w:tcPr>
          <w:p>
            <w:pPr>
              <w:pStyle w:val="40"/>
            </w:pPr>
            <w:r>
              <w:t>150μg/m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年平均</w:t>
            </w:r>
          </w:p>
        </w:tc>
        <w:tc>
          <w:tcPr>
            <w:tcW w:w="1111" w:type="dxa"/>
            <w:vAlign w:val="center"/>
          </w:tcPr>
          <w:p>
            <w:pPr>
              <w:pStyle w:val="40"/>
            </w:pPr>
            <w:r>
              <w:t>60μg/m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restart"/>
            <w:vAlign w:val="center"/>
          </w:tcPr>
          <w:p>
            <w:pPr>
              <w:pStyle w:val="40"/>
            </w:pPr>
            <w:r>
              <w:t>NO</w:t>
            </w:r>
            <w:r>
              <w:rPr>
                <w:vertAlign w:val="subscript"/>
              </w:rPr>
              <w:t>2</w:t>
            </w:r>
          </w:p>
        </w:tc>
        <w:tc>
          <w:tcPr>
            <w:tcW w:w="1928" w:type="dxa"/>
            <w:vAlign w:val="center"/>
          </w:tcPr>
          <w:p>
            <w:pPr>
              <w:pStyle w:val="40"/>
            </w:pPr>
            <w:r>
              <w:t>1小时平均</w:t>
            </w:r>
          </w:p>
        </w:tc>
        <w:tc>
          <w:tcPr>
            <w:tcW w:w="1111" w:type="dxa"/>
            <w:vAlign w:val="center"/>
          </w:tcPr>
          <w:p>
            <w:pPr>
              <w:pStyle w:val="40"/>
            </w:pPr>
            <w:r>
              <w:t>200μg/m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24小时平均</w:t>
            </w:r>
          </w:p>
        </w:tc>
        <w:tc>
          <w:tcPr>
            <w:tcW w:w="1111" w:type="dxa"/>
            <w:vAlign w:val="center"/>
          </w:tcPr>
          <w:p>
            <w:pPr>
              <w:pStyle w:val="40"/>
            </w:pPr>
            <w:r>
              <w:t>80μg/m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年平均</w:t>
            </w:r>
          </w:p>
        </w:tc>
        <w:tc>
          <w:tcPr>
            <w:tcW w:w="1111" w:type="dxa"/>
            <w:vAlign w:val="center"/>
          </w:tcPr>
          <w:p>
            <w:pPr>
              <w:pStyle w:val="40"/>
            </w:pPr>
            <w:r>
              <w:t>40μg/m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restart"/>
            <w:vAlign w:val="center"/>
          </w:tcPr>
          <w:p>
            <w:pPr>
              <w:pStyle w:val="40"/>
            </w:pPr>
            <w:r>
              <w:t>PM</w:t>
            </w:r>
            <w:r>
              <w:rPr>
                <w:vertAlign w:val="subscript"/>
              </w:rPr>
              <w:t>10</w:t>
            </w:r>
          </w:p>
        </w:tc>
        <w:tc>
          <w:tcPr>
            <w:tcW w:w="1928" w:type="dxa"/>
            <w:vAlign w:val="center"/>
          </w:tcPr>
          <w:p>
            <w:pPr>
              <w:pStyle w:val="40"/>
            </w:pPr>
            <w:r>
              <w:t>24小时平均</w:t>
            </w:r>
          </w:p>
        </w:tc>
        <w:tc>
          <w:tcPr>
            <w:tcW w:w="1111" w:type="dxa"/>
            <w:vAlign w:val="center"/>
          </w:tcPr>
          <w:p>
            <w:pPr>
              <w:pStyle w:val="40"/>
            </w:pPr>
            <w:r>
              <w:t>150μg/m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年平均</w:t>
            </w:r>
          </w:p>
        </w:tc>
        <w:tc>
          <w:tcPr>
            <w:tcW w:w="1111" w:type="dxa"/>
            <w:vAlign w:val="center"/>
          </w:tcPr>
          <w:p>
            <w:pPr>
              <w:pStyle w:val="40"/>
            </w:pPr>
            <w:r>
              <w:t>70μg/m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restart"/>
            <w:vAlign w:val="center"/>
          </w:tcPr>
          <w:p>
            <w:pPr>
              <w:pStyle w:val="40"/>
            </w:pPr>
            <w:r>
              <w:t>PM</w:t>
            </w:r>
            <w:r>
              <w:rPr>
                <w:vertAlign w:val="subscript"/>
              </w:rPr>
              <w:t>2.5</w:t>
            </w:r>
          </w:p>
        </w:tc>
        <w:tc>
          <w:tcPr>
            <w:tcW w:w="1928" w:type="dxa"/>
            <w:vAlign w:val="center"/>
          </w:tcPr>
          <w:p>
            <w:pPr>
              <w:pStyle w:val="40"/>
            </w:pPr>
            <w:r>
              <w:t>24小时平均</w:t>
            </w:r>
          </w:p>
        </w:tc>
        <w:tc>
          <w:tcPr>
            <w:tcW w:w="1111" w:type="dxa"/>
            <w:vAlign w:val="center"/>
          </w:tcPr>
          <w:p>
            <w:pPr>
              <w:pStyle w:val="40"/>
            </w:pPr>
            <w:r>
              <w:t>75μg/m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年平均</w:t>
            </w:r>
          </w:p>
        </w:tc>
        <w:tc>
          <w:tcPr>
            <w:tcW w:w="1111" w:type="dxa"/>
            <w:vAlign w:val="center"/>
          </w:tcPr>
          <w:p>
            <w:pPr>
              <w:pStyle w:val="40"/>
            </w:pPr>
            <w:r>
              <w:t>35μg/m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restart"/>
            <w:vAlign w:val="center"/>
          </w:tcPr>
          <w:p>
            <w:pPr>
              <w:pStyle w:val="40"/>
            </w:pPr>
            <w:r>
              <w:t>CO</w:t>
            </w:r>
          </w:p>
        </w:tc>
        <w:tc>
          <w:tcPr>
            <w:tcW w:w="1928" w:type="dxa"/>
            <w:vAlign w:val="center"/>
          </w:tcPr>
          <w:p>
            <w:pPr>
              <w:pStyle w:val="40"/>
            </w:pPr>
            <w:r>
              <w:t>24小时平均</w:t>
            </w:r>
          </w:p>
        </w:tc>
        <w:tc>
          <w:tcPr>
            <w:tcW w:w="1111" w:type="dxa"/>
            <w:vAlign w:val="center"/>
          </w:tcPr>
          <w:p>
            <w:pPr>
              <w:pStyle w:val="40"/>
            </w:pPr>
            <w:r>
              <w:t>4mg/m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1小时平均</w:t>
            </w:r>
          </w:p>
        </w:tc>
        <w:tc>
          <w:tcPr>
            <w:tcW w:w="1111" w:type="dxa"/>
            <w:vAlign w:val="center"/>
          </w:tcPr>
          <w:p>
            <w:pPr>
              <w:pStyle w:val="40"/>
            </w:pPr>
            <w:r>
              <w:t>10mg/m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restart"/>
            <w:vAlign w:val="center"/>
          </w:tcPr>
          <w:p>
            <w:pPr>
              <w:pStyle w:val="40"/>
            </w:pPr>
            <w:r>
              <w:t>O</w:t>
            </w:r>
            <w:r>
              <w:rPr>
                <w:vertAlign w:val="subscript"/>
              </w:rPr>
              <w:t>3</w:t>
            </w:r>
          </w:p>
        </w:tc>
        <w:tc>
          <w:tcPr>
            <w:tcW w:w="1928" w:type="dxa"/>
            <w:vAlign w:val="center"/>
          </w:tcPr>
          <w:p>
            <w:pPr>
              <w:pStyle w:val="40"/>
            </w:pPr>
            <w:r>
              <w:t>日最大8小时平均</w:t>
            </w:r>
          </w:p>
        </w:tc>
        <w:tc>
          <w:tcPr>
            <w:tcW w:w="1111" w:type="dxa"/>
            <w:vAlign w:val="center"/>
          </w:tcPr>
          <w:p>
            <w:pPr>
              <w:pStyle w:val="40"/>
            </w:pPr>
            <w:r>
              <w:t>160μg/m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1小时平均</w:t>
            </w:r>
          </w:p>
        </w:tc>
        <w:tc>
          <w:tcPr>
            <w:tcW w:w="1111" w:type="dxa"/>
            <w:vAlign w:val="center"/>
          </w:tcPr>
          <w:p>
            <w:pPr>
              <w:pStyle w:val="40"/>
            </w:pPr>
            <w:r>
              <w:t>200μg/m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restart"/>
            <w:vAlign w:val="center"/>
          </w:tcPr>
          <w:p>
            <w:pPr>
              <w:pStyle w:val="40"/>
            </w:pPr>
            <w:r>
              <w:t>TSP</w:t>
            </w:r>
          </w:p>
        </w:tc>
        <w:tc>
          <w:tcPr>
            <w:tcW w:w="1928" w:type="dxa"/>
            <w:vAlign w:val="center"/>
          </w:tcPr>
          <w:p>
            <w:pPr>
              <w:pStyle w:val="40"/>
            </w:pPr>
            <w:r>
              <w:t>年平均</w:t>
            </w:r>
          </w:p>
        </w:tc>
        <w:tc>
          <w:tcPr>
            <w:tcW w:w="1111" w:type="dxa"/>
          </w:tcPr>
          <w:p>
            <w:pPr>
              <w:pStyle w:val="40"/>
            </w:pPr>
            <w:r>
              <w:t>200μg/m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Merge w:val="continue"/>
            <w:vAlign w:val="center"/>
          </w:tcPr>
          <w:p>
            <w:pPr>
              <w:pStyle w:val="40"/>
            </w:pPr>
          </w:p>
        </w:tc>
        <w:tc>
          <w:tcPr>
            <w:tcW w:w="1928" w:type="dxa"/>
            <w:vAlign w:val="center"/>
          </w:tcPr>
          <w:p>
            <w:pPr>
              <w:pStyle w:val="40"/>
            </w:pPr>
            <w:r>
              <w:t>24小时平均</w:t>
            </w:r>
          </w:p>
        </w:tc>
        <w:tc>
          <w:tcPr>
            <w:tcW w:w="1111" w:type="dxa"/>
          </w:tcPr>
          <w:p>
            <w:pPr>
              <w:pStyle w:val="40"/>
            </w:pPr>
            <w:r>
              <w:t>300μg/m</w:t>
            </w:r>
            <w:r>
              <w:rPr>
                <w:vertAlign w:val="superscript"/>
              </w:rPr>
              <w:t>3</w:t>
            </w:r>
          </w:p>
        </w:tc>
        <w:tc>
          <w:tcPr>
            <w:tcW w:w="3636"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Align w:val="center"/>
          </w:tcPr>
          <w:p>
            <w:pPr>
              <w:pStyle w:val="40"/>
            </w:pPr>
            <w:r>
              <w:t>H</w:t>
            </w:r>
            <w:r>
              <w:rPr>
                <w:vertAlign w:val="subscript"/>
              </w:rPr>
              <w:t>2</w:t>
            </w:r>
            <w:r>
              <w:t>S</w:t>
            </w:r>
          </w:p>
        </w:tc>
        <w:tc>
          <w:tcPr>
            <w:tcW w:w="1928" w:type="dxa"/>
            <w:vAlign w:val="center"/>
          </w:tcPr>
          <w:p>
            <w:pPr>
              <w:pStyle w:val="40"/>
            </w:pPr>
            <w:r>
              <w:t>1小时平均</w:t>
            </w:r>
          </w:p>
        </w:tc>
        <w:tc>
          <w:tcPr>
            <w:tcW w:w="1111" w:type="dxa"/>
            <w:vAlign w:val="center"/>
          </w:tcPr>
          <w:p>
            <w:pPr>
              <w:pStyle w:val="40"/>
            </w:pPr>
            <w:r>
              <w:t>10μg/m</w:t>
            </w:r>
            <w:r>
              <w:rPr>
                <w:vertAlign w:val="superscript"/>
              </w:rPr>
              <w:t>3</w:t>
            </w:r>
          </w:p>
        </w:tc>
        <w:tc>
          <w:tcPr>
            <w:tcW w:w="3636" w:type="dxa"/>
            <w:vMerge w:val="restart"/>
            <w:vAlign w:val="center"/>
          </w:tcPr>
          <w:p>
            <w:pPr>
              <w:pStyle w:val="40"/>
            </w:pPr>
            <w:r>
              <w:t>《环境影响评价技术导则大气环境》（HJ2.2-2018）表D.1其他污染物空气质量浓度参考限值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63" w:type="dxa"/>
            <w:vAlign w:val="center"/>
          </w:tcPr>
          <w:p>
            <w:pPr>
              <w:pStyle w:val="40"/>
            </w:pPr>
            <w:r>
              <w:t>NH</w:t>
            </w:r>
            <w:r>
              <w:rPr>
                <w:vertAlign w:val="subscript"/>
              </w:rPr>
              <w:t>3</w:t>
            </w:r>
          </w:p>
        </w:tc>
        <w:tc>
          <w:tcPr>
            <w:tcW w:w="1928" w:type="dxa"/>
            <w:vAlign w:val="center"/>
          </w:tcPr>
          <w:p>
            <w:pPr>
              <w:pStyle w:val="40"/>
            </w:pPr>
            <w:r>
              <w:t>1小时平均</w:t>
            </w:r>
          </w:p>
        </w:tc>
        <w:tc>
          <w:tcPr>
            <w:tcW w:w="1111" w:type="dxa"/>
            <w:vAlign w:val="center"/>
          </w:tcPr>
          <w:p>
            <w:pPr>
              <w:pStyle w:val="40"/>
            </w:pPr>
            <w:r>
              <w:t>200μg/m</w:t>
            </w:r>
            <w:r>
              <w:rPr>
                <w:vertAlign w:val="superscript"/>
              </w:rPr>
              <w:t>3</w:t>
            </w:r>
          </w:p>
        </w:tc>
        <w:tc>
          <w:tcPr>
            <w:tcW w:w="3636" w:type="dxa"/>
            <w:vMerge w:val="continue"/>
            <w:vAlign w:val="center"/>
          </w:tcPr>
          <w:p>
            <w:pPr>
              <w:pStyle w:val="40"/>
              <w:rPr>
                <w:highlight w:val="yellow"/>
              </w:rPr>
            </w:pPr>
          </w:p>
        </w:tc>
      </w:tr>
    </w:tbl>
    <w:p>
      <w:pPr>
        <w:pStyle w:val="5"/>
      </w:pPr>
      <w:r>
        <w:rPr>
          <w:rFonts w:hint="eastAsia"/>
        </w:rPr>
        <w:t>地表水环境质量标准</w:t>
      </w:r>
    </w:p>
    <w:p>
      <w:pPr>
        <w:pStyle w:val="79"/>
        <w:ind w:firstLine="480"/>
      </w:pPr>
      <w:r>
        <w:t>区域地</w:t>
      </w:r>
      <w:r>
        <w:rPr>
          <w:rFonts w:hint="eastAsia"/>
        </w:rPr>
        <w:t>表</w:t>
      </w:r>
      <w:r>
        <w:t>水执行《</w:t>
      </w:r>
      <w:r>
        <w:rPr>
          <w:rFonts w:hint="eastAsia"/>
        </w:rPr>
        <w:t>地表水环境质量标准</w:t>
      </w:r>
      <w:r>
        <w:t>》</w:t>
      </w:r>
      <w:r>
        <w:rPr>
          <w:rFonts w:hint="eastAsia"/>
        </w:rPr>
        <w:t>（GB3838-2002）</w:t>
      </w:r>
      <w:r>
        <w:rPr>
          <w:rFonts w:hint="eastAsia" w:hAnsi="宋体"/>
        </w:rPr>
        <w:t>II</w:t>
      </w:r>
      <w:r>
        <w:t>类标准，具体见</w:t>
      </w:r>
      <w:r>
        <w:rPr>
          <w:rFonts w:cs="Times New Roman" w:eastAsiaTheme="minorEastAsia"/>
        </w:rPr>
        <w:fldChar w:fldCharType="begin"/>
      </w:r>
      <w:r>
        <w:rPr>
          <w:rFonts w:cs="Times New Roman" w:eastAsiaTheme="minorEastAsia"/>
        </w:rPr>
        <w:instrText xml:space="preserve"> REF _Ref36129940 \h  \* MERGEFORMAT </w:instrText>
      </w:r>
      <w:r>
        <w:rPr>
          <w:rFonts w:cs="Times New Roman" w:eastAsiaTheme="minorEastAsia"/>
        </w:rPr>
        <w:fldChar w:fldCharType="separate"/>
      </w:r>
      <w:r>
        <w:rPr>
          <w:rFonts w:hint="eastAsia" w:cs="Times New Roman" w:eastAsiaTheme="minorEastAsia"/>
        </w:rPr>
        <w:t>表</w:t>
      </w:r>
      <w:r>
        <w:rPr>
          <w:rFonts w:cs="Times New Roman" w:eastAsiaTheme="minorEastAsia"/>
        </w:rPr>
        <w:t>2.4</w:t>
      </w:r>
      <w:r>
        <w:rPr>
          <w:rFonts w:cs="Times New Roman" w:eastAsiaTheme="minorEastAsia"/>
        </w:rPr>
        <w:noBreakHyphen/>
      </w:r>
      <w:r>
        <w:rPr>
          <w:rFonts w:cs="Times New Roman" w:eastAsiaTheme="minorEastAsia"/>
        </w:rPr>
        <w:t>2</w:t>
      </w:r>
      <w:r>
        <w:rPr>
          <w:rFonts w:cs="Times New Roman" w:eastAsiaTheme="minorEastAsia"/>
        </w:rPr>
        <w:fldChar w:fldCharType="end"/>
      </w:r>
      <w:r>
        <w:rPr>
          <w:rFonts w:cs="Times New Roman" w:eastAsiaTheme="minorEastAsia"/>
        </w:rPr>
        <w:t>。</w:t>
      </w:r>
    </w:p>
    <w:p>
      <w:pPr>
        <w:pStyle w:val="41"/>
        <w:rPr>
          <w:rFonts w:eastAsia="黑体" w:hAnsiTheme="majorHAnsi"/>
        </w:rPr>
      </w:pPr>
      <w:bookmarkStart w:id="28" w:name="_Ref36129940"/>
      <w:r>
        <w:rPr>
          <w:rFonts w:hint="eastAsia" w:ascii="宋体" w:hAnsi="宋体" w:eastAsia="宋体" w:cs="宋体"/>
        </w:rPr>
        <w:t>表</w:t>
      </w:r>
      <w:r>
        <w:fldChar w:fldCharType="begin"/>
      </w:r>
      <w:r>
        <w:rPr>
          <w:rFonts w:hint="eastAsia"/>
        </w:rPr>
        <w:instrText xml:space="preserve">STYLEREF 2 \s</w:instrText>
      </w:r>
      <w:r>
        <w:fldChar w:fldCharType="separate"/>
      </w:r>
      <w:r>
        <w:t>2.4</w:t>
      </w:r>
      <w:r>
        <w:fldChar w:fldCharType="end"/>
      </w:r>
      <w:r>
        <w:noBreakHyphen/>
      </w:r>
      <w:r>
        <w:fldChar w:fldCharType="begin"/>
      </w:r>
      <w:r>
        <w:rPr>
          <w:rFonts w:hint="eastAsia"/>
        </w:rPr>
        <w:instrText xml:space="preserve">SEQ 表 \* ARABIC \s 2</w:instrText>
      </w:r>
      <w:r>
        <w:fldChar w:fldCharType="separate"/>
      </w:r>
      <w:r>
        <w:t>2</w:t>
      </w:r>
      <w:r>
        <w:fldChar w:fldCharType="end"/>
      </w:r>
      <w:bookmarkEnd w:id="28"/>
      <w:r>
        <w:rPr>
          <w:rFonts w:hAnsi="宋体" w:eastAsia="宋体"/>
        </w:rPr>
        <w:t>地</w:t>
      </w:r>
      <w:r>
        <w:rPr>
          <w:rFonts w:hint="eastAsia" w:hAnsi="宋体" w:eastAsia="宋体"/>
        </w:rPr>
        <w:t>表</w:t>
      </w:r>
      <w:r>
        <w:rPr>
          <w:rFonts w:hAnsi="宋体" w:eastAsia="宋体"/>
        </w:rPr>
        <w:t>水质量标准</w:t>
      </w:r>
      <w:r>
        <w:rPr>
          <w:rFonts w:hint="eastAsia" w:hAnsi="宋体" w:eastAsia="宋体"/>
        </w:rPr>
        <w:t xml:space="preserve"> </w:t>
      </w:r>
      <w:r>
        <w:rPr>
          <w:rFonts w:hAnsi="宋体" w:eastAsia="宋体"/>
        </w:rPr>
        <w:t>单位：</w:t>
      </w:r>
      <w:r>
        <w:rPr>
          <w:rFonts w:hAnsi="Times New Roman" w:eastAsia="宋体"/>
        </w:rPr>
        <w:t>mg/L</w:t>
      </w:r>
      <w:r>
        <w:rPr>
          <w:rFonts w:hAnsi="宋体" w:eastAsia="宋体"/>
        </w:rPr>
        <w:t>（</w:t>
      </w:r>
      <w:r>
        <w:rPr>
          <w:rFonts w:hint="eastAsia" w:hAnsi="Times New Roman" w:eastAsia="宋体"/>
        </w:rPr>
        <w:t>p</w:t>
      </w:r>
      <w:r>
        <w:rPr>
          <w:rFonts w:hAnsi="Times New Roman" w:eastAsia="宋体"/>
        </w:rPr>
        <w:t>H</w:t>
      </w:r>
      <w:r>
        <w:rPr>
          <w:rFonts w:hAnsi="宋体" w:eastAsia="宋体"/>
        </w:rPr>
        <w:t>值除外）</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470"/>
        <w:gridCol w:w="1437"/>
        <w:gridCol w:w="1433"/>
        <w:gridCol w:w="25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pStyle w:val="40"/>
            </w:pPr>
            <w:r>
              <w:t>污染物</w:t>
            </w:r>
          </w:p>
        </w:tc>
        <w:tc>
          <w:tcPr>
            <w:tcW w:w="1470" w:type="dxa"/>
            <w:vAlign w:val="center"/>
          </w:tcPr>
          <w:p>
            <w:pPr>
              <w:pStyle w:val="40"/>
            </w:pPr>
            <w:r>
              <w:t>pH</w:t>
            </w:r>
          </w:p>
        </w:tc>
        <w:tc>
          <w:tcPr>
            <w:tcW w:w="1437" w:type="dxa"/>
            <w:vAlign w:val="center"/>
          </w:tcPr>
          <w:p>
            <w:pPr>
              <w:pStyle w:val="40"/>
            </w:pPr>
            <w:r>
              <w:t>COD</w:t>
            </w:r>
          </w:p>
        </w:tc>
        <w:tc>
          <w:tcPr>
            <w:tcW w:w="1433" w:type="dxa"/>
            <w:vAlign w:val="center"/>
          </w:tcPr>
          <w:p>
            <w:pPr>
              <w:pStyle w:val="40"/>
            </w:pPr>
            <w:r>
              <w:t>BOD</w:t>
            </w:r>
            <w:r>
              <w:rPr>
                <w:vertAlign w:val="subscript"/>
              </w:rPr>
              <w:t>5</w:t>
            </w:r>
          </w:p>
        </w:tc>
        <w:tc>
          <w:tcPr>
            <w:tcW w:w="2541" w:type="dxa"/>
            <w:vAlign w:val="center"/>
          </w:tcPr>
          <w:p>
            <w:pPr>
              <w:pStyle w:val="40"/>
            </w:pPr>
            <w:r>
              <w:t>NH</w:t>
            </w:r>
            <w:r>
              <w:rPr>
                <w:vertAlign w:val="subscript"/>
              </w:rPr>
              <w:t>3</w:t>
            </w:r>
            <w: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pStyle w:val="40"/>
            </w:pPr>
            <w:r>
              <w:t>标准值</w:t>
            </w:r>
          </w:p>
        </w:tc>
        <w:tc>
          <w:tcPr>
            <w:tcW w:w="1470" w:type="dxa"/>
            <w:vAlign w:val="center"/>
          </w:tcPr>
          <w:p>
            <w:pPr>
              <w:pStyle w:val="40"/>
            </w:pPr>
            <w:r>
              <w:rPr>
                <w:rFonts w:hint="eastAsia"/>
              </w:rPr>
              <w:t>6-9</w:t>
            </w:r>
          </w:p>
        </w:tc>
        <w:tc>
          <w:tcPr>
            <w:tcW w:w="1437" w:type="dxa"/>
            <w:vAlign w:val="center"/>
          </w:tcPr>
          <w:p>
            <w:pPr>
              <w:pStyle w:val="40"/>
            </w:pPr>
            <w:r>
              <w:rPr>
                <w:rFonts w:hint="eastAsia"/>
              </w:rPr>
              <w:t>15</w:t>
            </w:r>
          </w:p>
        </w:tc>
        <w:tc>
          <w:tcPr>
            <w:tcW w:w="1433" w:type="dxa"/>
            <w:vAlign w:val="center"/>
          </w:tcPr>
          <w:p>
            <w:pPr>
              <w:pStyle w:val="40"/>
            </w:pPr>
            <w:r>
              <w:rPr>
                <w:rFonts w:hint="eastAsia"/>
              </w:rPr>
              <w:t>3</w:t>
            </w:r>
          </w:p>
        </w:tc>
        <w:tc>
          <w:tcPr>
            <w:tcW w:w="2541" w:type="dxa"/>
            <w:vAlign w:val="center"/>
          </w:tcPr>
          <w:p>
            <w:pPr>
              <w:pStyle w:val="40"/>
            </w:pPr>
            <w:r>
              <w:rPr>
                <w:rFonts w:hint="eastAsi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pStyle w:val="40"/>
            </w:pPr>
            <w:r>
              <w:t>污染物</w:t>
            </w:r>
          </w:p>
        </w:tc>
        <w:tc>
          <w:tcPr>
            <w:tcW w:w="1470" w:type="dxa"/>
            <w:vAlign w:val="center"/>
          </w:tcPr>
          <w:p>
            <w:pPr>
              <w:pStyle w:val="40"/>
            </w:pPr>
            <w:r>
              <w:rPr>
                <w:rFonts w:hint="eastAsia"/>
              </w:rPr>
              <w:t>挥发酚</w:t>
            </w:r>
          </w:p>
        </w:tc>
        <w:tc>
          <w:tcPr>
            <w:tcW w:w="1437" w:type="dxa"/>
            <w:vAlign w:val="center"/>
          </w:tcPr>
          <w:p>
            <w:pPr>
              <w:pStyle w:val="40"/>
            </w:pPr>
            <w:r>
              <w:rPr>
                <w:rFonts w:hint="eastAsia"/>
              </w:rPr>
              <w:t>石油类</w:t>
            </w:r>
          </w:p>
        </w:tc>
        <w:tc>
          <w:tcPr>
            <w:tcW w:w="1433" w:type="dxa"/>
            <w:vAlign w:val="center"/>
          </w:tcPr>
          <w:p>
            <w:pPr>
              <w:pStyle w:val="40"/>
            </w:pPr>
            <w:r>
              <w:rPr>
                <w:rFonts w:hint="eastAsia"/>
              </w:rPr>
              <w:t>硫化物</w:t>
            </w:r>
          </w:p>
        </w:tc>
        <w:tc>
          <w:tcPr>
            <w:tcW w:w="2541" w:type="dxa"/>
            <w:vAlign w:val="center"/>
          </w:tcPr>
          <w:p>
            <w:pPr>
              <w:pStyle w:val="40"/>
              <w:rPr>
                <w:highlight w:val="yellow"/>
              </w:rPr>
            </w:pPr>
            <w:r>
              <w:rPr>
                <w:rFonts w:hint="eastAsia"/>
              </w:rPr>
              <w:t>粪大肠杆菌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pStyle w:val="40"/>
            </w:pPr>
            <w:r>
              <w:t>标准值</w:t>
            </w:r>
          </w:p>
        </w:tc>
        <w:tc>
          <w:tcPr>
            <w:tcW w:w="1470" w:type="dxa"/>
            <w:vAlign w:val="center"/>
          </w:tcPr>
          <w:p>
            <w:pPr>
              <w:pStyle w:val="40"/>
            </w:pPr>
            <w:r>
              <w:rPr>
                <w:rFonts w:hint="eastAsia"/>
              </w:rPr>
              <w:t>0.002</w:t>
            </w:r>
          </w:p>
        </w:tc>
        <w:tc>
          <w:tcPr>
            <w:tcW w:w="1437" w:type="dxa"/>
            <w:vAlign w:val="center"/>
          </w:tcPr>
          <w:p>
            <w:pPr>
              <w:pStyle w:val="40"/>
            </w:pPr>
            <w:r>
              <w:rPr>
                <w:rFonts w:hint="eastAsia"/>
              </w:rPr>
              <w:t>0.005</w:t>
            </w:r>
          </w:p>
        </w:tc>
        <w:tc>
          <w:tcPr>
            <w:tcW w:w="1433" w:type="dxa"/>
            <w:vAlign w:val="center"/>
          </w:tcPr>
          <w:p>
            <w:pPr>
              <w:pStyle w:val="40"/>
            </w:pPr>
            <w:r>
              <w:rPr>
                <w:rFonts w:hint="eastAsia"/>
              </w:rPr>
              <w:t>0.1</w:t>
            </w:r>
          </w:p>
        </w:tc>
        <w:tc>
          <w:tcPr>
            <w:tcW w:w="2541" w:type="dxa"/>
            <w:vAlign w:val="center"/>
          </w:tcPr>
          <w:p>
            <w:pPr>
              <w:pStyle w:val="40"/>
              <w:rPr>
                <w:highlight w:val="yellow"/>
              </w:rPr>
            </w:pPr>
            <w:r>
              <w:rPr>
                <w:rFonts w:hint="eastAsia"/>
              </w:rPr>
              <w:t>2000（个/L）</w:t>
            </w:r>
          </w:p>
        </w:tc>
      </w:tr>
    </w:tbl>
    <w:p>
      <w:pPr>
        <w:pStyle w:val="5"/>
      </w:pPr>
      <w:r>
        <w:rPr>
          <w:rFonts w:hint="eastAsia"/>
        </w:rPr>
        <w:t>地下水</w:t>
      </w:r>
      <w:r>
        <w:t>质量标准</w:t>
      </w:r>
    </w:p>
    <w:p>
      <w:pPr>
        <w:ind w:firstLine="480"/>
      </w:pPr>
      <w:r>
        <w:rPr>
          <w:rFonts w:hint="eastAsia"/>
        </w:rPr>
        <w:t>项目</w:t>
      </w:r>
      <w:r>
        <w:t>所在地地下水</w:t>
      </w:r>
      <w:r>
        <w:rPr>
          <w:rFonts w:hint="eastAsia"/>
        </w:rPr>
        <w:t>执行《地下水质量标准》（GB14848-2017）中Ⅲ类标准。具体</w:t>
      </w:r>
      <w:r>
        <w:t>见表</w:t>
      </w:r>
      <w:r>
        <w:rPr>
          <w:rFonts w:hint="eastAsia"/>
        </w:rPr>
        <w:t>2.4-3。</w:t>
      </w:r>
    </w:p>
    <w:p>
      <w:pPr>
        <w:adjustRightInd/>
        <w:snapToGrid/>
        <w:spacing w:line="240" w:lineRule="auto"/>
        <w:ind w:firstLine="0" w:firstLineChars="0"/>
        <w:jc w:val="center"/>
        <w:rPr>
          <w:b/>
          <w:bCs/>
          <w:szCs w:val="24"/>
        </w:rPr>
      </w:pPr>
      <w:r>
        <w:rPr>
          <w:b/>
          <w:bCs/>
          <w:szCs w:val="24"/>
        </w:rPr>
        <w:t>表2.4-3  地下水质量标准</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93"/>
        <w:gridCol w:w="2205"/>
        <w:gridCol w:w="1788"/>
        <w:gridCol w:w="2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restart"/>
            <w:vAlign w:val="center"/>
          </w:tcPr>
          <w:p>
            <w:pPr>
              <w:spacing w:line="240" w:lineRule="auto"/>
              <w:ind w:firstLine="0" w:firstLineChars="0"/>
              <w:jc w:val="center"/>
              <w:rPr>
                <w:b/>
                <w:sz w:val="21"/>
                <w:szCs w:val="21"/>
              </w:rPr>
            </w:pPr>
            <w:r>
              <w:rPr>
                <w:b/>
                <w:sz w:val="21"/>
                <w:szCs w:val="21"/>
              </w:rPr>
              <w:t>执行标准</w:t>
            </w:r>
          </w:p>
        </w:tc>
        <w:tc>
          <w:tcPr>
            <w:tcW w:w="2205" w:type="dxa"/>
            <w:vMerge w:val="restart"/>
            <w:vAlign w:val="center"/>
          </w:tcPr>
          <w:p>
            <w:pPr>
              <w:spacing w:line="240" w:lineRule="auto"/>
              <w:ind w:firstLine="0" w:firstLineChars="0"/>
              <w:jc w:val="center"/>
              <w:rPr>
                <w:b/>
                <w:sz w:val="21"/>
                <w:szCs w:val="21"/>
              </w:rPr>
            </w:pPr>
            <w:r>
              <w:rPr>
                <w:b/>
                <w:sz w:val="21"/>
                <w:szCs w:val="21"/>
              </w:rPr>
              <w:t>项目</w:t>
            </w:r>
          </w:p>
        </w:tc>
        <w:tc>
          <w:tcPr>
            <w:tcW w:w="4178" w:type="dxa"/>
            <w:gridSpan w:val="2"/>
            <w:vAlign w:val="center"/>
          </w:tcPr>
          <w:p>
            <w:pPr>
              <w:spacing w:line="240" w:lineRule="auto"/>
              <w:ind w:firstLine="0" w:firstLineChars="0"/>
              <w:jc w:val="center"/>
              <w:rPr>
                <w:b/>
                <w:sz w:val="21"/>
                <w:szCs w:val="21"/>
              </w:rPr>
            </w:pPr>
            <w:r>
              <w:rPr>
                <w:b/>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b/>
                <w:sz w:val="21"/>
                <w:szCs w:val="21"/>
              </w:rPr>
            </w:pPr>
          </w:p>
        </w:tc>
        <w:tc>
          <w:tcPr>
            <w:tcW w:w="2205" w:type="dxa"/>
            <w:vMerge w:val="continue"/>
            <w:vAlign w:val="center"/>
          </w:tcPr>
          <w:p>
            <w:pPr>
              <w:spacing w:line="240" w:lineRule="auto"/>
              <w:ind w:firstLine="0" w:firstLineChars="0"/>
              <w:jc w:val="center"/>
              <w:rPr>
                <w:b/>
                <w:sz w:val="21"/>
                <w:szCs w:val="21"/>
              </w:rPr>
            </w:pPr>
          </w:p>
        </w:tc>
        <w:tc>
          <w:tcPr>
            <w:tcW w:w="1788" w:type="dxa"/>
            <w:vAlign w:val="center"/>
          </w:tcPr>
          <w:p>
            <w:pPr>
              <w:spacing w:line="240" w:lineRule="auto"/>
              <w:ind w:firstLine="0" w:firstLineChars="0"/>
              <w:jc w:val="center"/>
              <w:rPr>
                <w:b/>
                <w:sz w:val="21"/>
                <w:szCs w:val="21"/>
              </w:rPr>
            </w:pPr>
            <w:r>
              <w:rPr>
                <w:b/>
                <w:sz w:val="21"/>
                <w:szCs w:val="21"/>
              </w:rPr>
              <w:t>单位</w:t>
            </w:r>
          </w:p>
        </w:tc>
        <w:tc>
          <w:tcPr>
            <w:tcW w:w="2390" w:type="dxa"/>
            <w:vAlign w:val="center"/>
          </w:tcPr>
          <w:p>
            <w:pPr>
              <w:spacing w:line="240" w:lineRule="auto"/>
              <w:ind w:firstLine="0" w:firstLineChars="0"/>
              <w:jc w:val="center"/>
              <w:rPr>
                <w:b/>
                <w:sz w:val="21"/>
                <w:szCs w:val="21"/>
              </w:rPr>
            </w:pPr>
            <w:r>
              <w:rPr>
                <w:b/>
                <w:sz w:val="21"/>
                <w:szCs w:val="21"/>
              </w:rPr>
              <w:t>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restart"/>
            <w:vAlign w:val="center"/>
          </w:tcPr>
          <w:p>
            <w:pPr>
              <w:spacing w:line="240" w:lineRule="auto"/>
              <w:ind w:firstLine="0" w:firstLineChars="0"/>
              <w:jc w:val="center"/>
              <w:rPr>
                <w:sz w:val="21"/>
                <w:szCs w:val="21"/>
              </w:rPr>
            </w:pPr>
            <w:r>
              <w:rPr>
                <w:sz w:val="21"/>
                <w:szCs w:val="21"/>
              </w:rPr>
              <w:t>《地下水质量标准》（GB14848-2017）</w:t>
            </w:r>
            <w:r>
              <w:rPr>
                <w:rFonts w:hint="eastAsia" w:ascii="宋体" w:hAnsi="宋体" w:cs="宋体"/>
                <w:sz w:val="21"/>
                <w:szCs w:val="21"/>
              </w:rPr>
              <w:t>Ⅲ</w:t>
            </w:r>
            <w:r>
              <w:rPr>
                <w:sz w:val="21"/>
                <w:szCs w:val="21"/>
              </w:rPr>
              <w:t>类水质标准</w:t>
            </w:r>
          </w:p>
        </w:tc>
        <w:tc>
          <w:tcPr>
            <w:tcW w:w="2205" w:type="dxa"/>
            <w:vAlign w:val="center"/>
          </w:tcPr>
          <w:p>
            <w:pPr>
              <w:spacing w:line="240" w:lineRule="auto"/>
              <w:ind w:firstLine="0" w:firstLineChars="0"/>
              <w:jc w:val="center"/>
              <w:rPr>
                <w:sz w:val="21"/>
                <w:szCs w:val="21"/>
              </w:rPr>
            </w:pPr>
            <w:r>
              <w:rPr>
                <w:sz w:val="21"/>
                <w:szCs w:val="21"/>
              </w:rPr>
              <w:t>钾</w:t>
            </w:r>
          </w:p>
        </w:tc>
        <w:tc>
          <w:tcPr>
            <w:tcW w:w="1788" w:type="dxa"/>
            <w:vAlign w:val="center"/>
          </w:tcPr>
          <w:p>
            <w:pPr>
              <w:spacing w:line="240" w:lineRule="auto"/>
              <w:ind w:firstLine="0" w:firstLineChars="0"/>
              <w:jc w:val="center"/>
              <w:rPr>
                <w:sz w:val="21"/>
                <w:szCs w:val="21"/>
              </w:rPr>
            </w:pPr>
            <w:r>
              <w:rPr>
                <w:sz w:val="21"/>
                <w:szCs w:val="21"/>
              </w:rPr>
              <w:t>/</w:t>
            </w:r>
          </w:p>
        </w:tc>
        <w:tc>
          <w:tcPr>
            <w:tcW w:w="2390"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钠</w:t>
            </w:r>
          </w:p>
        </w:tc>
        <w:tc>
          <w:tcPr>
            <w:tcW w:w="1788" w:type="dxa"/>
            <w:vAlign w:val="center"/>
          </w:tcPr>
          <w:p>
            <w:pPr>
              <w:spacing w:line="240" w:lineRule="auto"/>
              <w:ind w:firstLine="0" w:firstLineChars="0"/>
              <w:jc w:val="center"/>
              <w:rPr>
                <w:sz w:val="21"/>
                <w:szCs w:val="21"/>
              </w:rPr>
            </w:pPr>
            <w:r>
              <w:rPr>
                <w:sz w:val="21"/>
                <w:szCs w:val="21"/>
              </w:rPr>
              <w:t>mg/L</w:t>
            </w:r>
          </w:p>
        </w:tc>
        <w:tc>
          <w:tcPr>
            <w:tcW w:w="2390" w:type="dxa"/>
            <w:vAlign w:val="center"/>
          </w:tcPr>
          <w:p>
            <w:pPr>
              <w:spacing w:line="240" w:lineRule="auto"/>
              <w:ind w:firstLine="0" w:firstLineChars="0"/>
              <w:jc w:val="center"/>
              <w:rPr>
                <w:sz w:val="21"/>
                <w:szCs w:val="21"/>
              </w:rPr>
            </w:pPr>
            <w:r>
              <w:rPr>
                <w:kern w:val="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钙</w:t>
            </w:r>
          </w:p>
        </w:tc>
        <w:tc>
          <w:tcPr>
            <w:tcW w:w="1788" w:type="dxa"/>
            <w:vAlign w:val="center"/>
          </w:tcPr>
          <w:p>
            <w:pPr>
              <w:spacing w:line="240" w:lineRule="auto"/>
              <w:ind w:firstLine="0" w:firstLineChars="0"/>
              <w:jc w:val="center"/>
              <w:rPr>
                <w:sz w:val="21"/>
                <w:szCs w:val="21"/>
              </w:rPr>
            </w:pPr>
            <w:r>
              <w:rPr>
                <w:sz w:val="21"/>
                <w:szCs w:val="21"/>
              </w:rPr>
              <w:t>/</w:t>
            </w:r>
          </w:p>
        </w:tc>
        <w:tc>
          <w:tcPr>
            <w:tcW w:w="2390"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镁</w:t>
            </w:r>
          </w:p>
        </w:tc>
        <w:tc>
          <w:tcPr>
            <w:tcW w:w="1788" w:type="dxa"/>
            <w:vAlign w:val="center"/>
          </w:tcPr>
          <w:p>
            <w:pPr>
              <w:spacing w:line="240" w:lineRule="auto"/>
              <w:ind w:firstLine="0" w:firstLineChars="0"/>
              <w:jc w:val="center"/>
              <w:rPr>
                <w:sz w:val="21"/>
                <w:szCs w:val="21"/>
              </w:rPr>
            </w:pPr>
            <w:r>
              <w:rPr>
                <w:sz w:val="21"/>
                <w:szCs w:val="21"/>
              </w:rPr>
              <w:t>/</w:t>
            </w:r>
          </w:p>
        </w:tc>
        <w:tc>
          <w:tcPr>
            <w:tcW w:w="2390"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碳酸盐</w:t>
            </w:r>
          </w:p>
        </w:tc>
        <w:tc>
          <w:tcPr>
            <w:tcW w:w="1788" w:type="dxa"/>
            <w:vAlign w:val="center"/>
          </w:tcPr>
          <w:p>
            <w:pPr>
              <w:spacing w:line="240" w:lineRule="auto"/>
              <w:ind w:firstLine="0" w:firstLineChars="0"/>
              <w:jc w:val="center"/>
              <w:rPr>
                <w:sz w:val="21"/>
                <w:szCs w:val="21"/>
              </w:rPr>
            </w:pPr>
            <w:r>
              <w:rPr>
                <w:sz w:val="21"/>
                <w:szCs w:val="21"/>
              </w:rPr>
              <w:t>/</w:t>
            </w:r>
          </w:p>
        </w:tc>
        <w:tc>
          <w:tcPr>
            <w:tcW w:w="2390"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碳酸氢盐</w:t>
            </w:r>
          </w:p>
        </w:tc>
        <w:tc>
          <w:tcPr>
            <w:tcW w:w="1788" w:type="dxa"/>
            <w:vAlign w:val="center"/>
          </w:tcPr>
          <w:p>
            <w:pPr>
              <w:spacing w:line="240" w:lineRule="auto"/>
              <w:ind w:firstLine="0" w:firstLineChars="0"/>
              <w:jc w:val="center"/>
              <w:rPr>
                <w:sz w:val="21"/>
                <w:szCs w:val="21"/>
              </w:rPr>
            </w:pPr>
            <w:r>
              <w:rPr>
                <w:sz w:val="21"/>
                <w:szCs w:val="21"/>
              </w:rPr>
              <w:t>/</w:t>
            </w:r>
          </w:p>
        </w:tc>
        <w:tc>
          <w:tcPr>
            <w:tcW w:w="2390"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氯化物</w:t>
            </w:r>
          </w:p>
        </w:tc>
        <w:tc>
          <w:tcPr>
            <w:tcW w:w="1788" w:type="dxa"/>
            <w:vMerge w:val="restart"/>
            <w:vAlign w:val="center"/>
          </w:tcPr>
          <w:p>
            <w:pPr>
              <w:spacing w:line="240" w:lineRule="auto"/>
              <w:ind w:firstLine="0" w:firstLineChars="0"/>
              <w:jc w:val="center"/>
              <w:rPr>
                <w:sz w:val="21"/>
                <w:szCs w:val="21"/>
              </w:rPr>
            </w:pPr>
            <w:r>
              <w:rPr>
                <w:sz w:val="21"/>
                <w:szCs w:val="21"/>
              </w:rPr>
              <w:t>mg/L</w:t>
            </w:r>
          </w:p>
        </w:tc>
        <w:tc>
          <w:tcPr>
            <w:tcW w:w="2390" w:type="dxa"/>
            <w:vAlign w:val="center"/>
          </w:tcPr>
          <w:p>
            <w:pPr>
              <w:spacing w:line="240" w:lineRule="auto"/>
              <w:ind w:firstLine="0" w:firstLineChars="0"/>
              <w:jc w:val="center"/>
              <w:rPr>
                <w:sz w:val="21"/>
                <w:szCs w:val="21"/>
              </w:rPr>
            </w:pPr>
            <w:r>
              <w:rPr>
                <w:kern w:val="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硫酸盐</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spacing w:line="240" w:lineRule="auto"/>
              <w:ind w:firstLine="0" w:firstLineChars="0"/>
              <w:jc w:val="center"/>
              <w:rPr>
                <w:sz w:val="21"/>
                <w:szCs w:val="21"/>
              </w:rPr>
            </w:pPr>
            <w:r>
              <w:rPr>
                <w:kern w:val="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pH值</w:t>
            </w:r>
          </w:p>
        </w:tc>
        <w:tc>
          <w:tcPr>
            <w:tcW w:w="1788" w:type="dxa"/>
            <w:vAlign w:val="center"/>
          </w:tcPr>
          <w:p>
            <w:pPr>
              <w:spacing w:line="240" w:lineRule="auto"/>
              <w:ind w:firstLine="0" w:firstLineChars="0"/>
              <w:jc w:val="center"/>
              <w:rPr>
                <w:sz w:val="21"/>
                <w:szCs w:val="21"/>
              </w:rPr>
            </w:pPr>
            <w:r>
              <w:rPr>
                <w:sz w:val="21"/>
                <w:szCs w:val="21"/>
              </w:rPr>
              <w:t>无量纲</w:t>
            </w:r>
          </w:p>
        </w:tc>
        <w:tc>
          <w:tcPr>
            <w:tcW w:w="2390" w:type="dxa"/>
            <w:vAlign w:val="center"/>
          </w:tcPr>
          <w:p>
            <w:pPr>
              <w:spacing w:line="240" w:lineRule="auto"/>
              <w:ind w:firstLine="0" w:firstLineChars="0"/>
              <w:jc w:val="center"/>
              <w:rPr>
                <w:sz w:val="21"/>
                <w:szCs w:val="21"/>
              </w:rPr>
            </w:pPr>
            <w:r>
              <w:rPr>
                <w:sz w:val="21"/>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氨氮</w:t>
            </w:r>
          </w:p>
        </w:tc>
        <w:tc>
          <w:tcPr>
            <w:tcW w:w="1788" w:type="dxa"/>
            <w:vMerge w:val="restart"/>
            <w:vAlign w:val="center"/>
          </w:tcPr>
          <w:p>
            <w:pPr>
              <w:spacing w:line="240" w:lineRule="auto"/>
              <w:ind w:firstLine="0" w:firstLineChars="0"/>
              <w:jc w:val="center"/>
              <w:rPr>
                <w:sz w:val="21"/>
                <w:szCs w:val="21"/>
              </w:rPr>
            </w:pPr>
            <w:r>
              <w:rPr>
                <w:sz w:val="21"/>
                <w:szCs w:val="21"/>
              </w:rPr>
              <w:t>mg/L</w:t>
            </w:r>
          </w:p>
        </w:tc>
        <w:tc>
          <w:tcPr>
            <w:tcW w:w="2390" w:type="dxa"/>
            <w:vAlign w:val="center"/>
          </w:tcPr>
          <w:p>
            <w:pPr>
              <w:widowControl/>
              <w:spacing w:line="240" w:lineRule="auto"/>
              <w:ind w:firstLine="0" w:firstLineChars="0"/>
              <w:jc w:val="center"/>
              <w:rPr>
                <w:kern w:val="0"/>
                <w:sz w:val="21"/>
                <w:szCs w:val="21"/>
              </w:rPr>
            </w:pPr>
            <w:r>
              <w:rPr>
                <w:kern w:val="0"/>
                <w:sz w:val="21"/>
                <w:szCs w:val="21"/>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挥发性酚类</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kern w:val="0"/>
                <w:sz w:val="21"/>
                <w:szCs w:val="21"/>
              </w:rPr>
            </w:pPr>
            <w:r>
              <w:rPr>
                <w:kern w:val="0"/>
                <w:sz w:val="21"/>
                <w:szCs w:val="21"/>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总硬度</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spacing w:line="240" w:lineRule="auto"/>
              <w:ind w:firstLine="0" w:firstLineChars="0"/>
              <w:jc w:val="center"/>
              <w:rPr>
                <w:sz w:val="21"/>
                <w:szCs w:val="21"/>
              </w:rPr>
            </w:pPr>
            <w:r>
              <w:rPr>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铁</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spacing w:line="240" w:lineRule="auto"/>
              <w:ind w:firstLine="0" w:firstLineChars="0"/>
              <w:jc w:val="center"/>
              <w:rPr>
                <w:sz w:val="21"/>
                <w:szCs w:val="21"/>
              </w:rPr>
            </w:pPr>
            <w:r>
              <w:rPr>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锰</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spacing w:line="240" w:lineRule="auto"/>
              <w:ind w:firstLine="0" w:firstLineChars="0"/>
              <w:jc w:val="center"/>
              <w:rPr>
                <w:sz w:val="21"/>
                <w:szCs w:val="21"/>
              </w:rPr>
            </w:pPr>
            <w:r>
              <w:rPr>
                <w:sz w:val="21"/>
                <w:szCs w:val="21"/>
              </w:rPr>
              <w:t>≤0.10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溶解性总固体</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spacing w:line="240" w:lineRule="auto"/>
              <w:ind w:firstLine="0" w:firstLineChars="0"/>
              <w:jc w:val="center"/>
              <w:rPr>
                <w:sz w:val="21"/>
                <w:szCs w:val="21"/>
              </w:rPr>
            </w:pPr>
            <w:r>
              <w:rPr>
                <w:kern w:val="0"/>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耗氧量</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spacing w:line="240" w:lineRule="auto"/>
              <w:ind w:firstLine="0" w:firstLineChars="0"/>
              <w:jc w:val="center"/>
              <w:rPr>
                <w:kern w:val="0"/>
                <w:sz w:val="21"/>
                <w:szCs w:val="21"/>
              </w:rPr>
            </w:pPr>
            <w:r>
              <w:rPr>
                <w:bCs/>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总大肠菌群</w:t>
            </w:r>
          </w:p>
        </w:tc>
        <w:tc>
          <w:tcPr>
            <w:tcW w:w="1788" w:type="dxa"/>
            <w:vAlign w:val="center"/>
          </w:tcPr>
          <w:p>
            <w:pPr>
              <w:spacing w:line="240" w:lineRule="auto"/>
              <w:ind w:firstLine="0" w:firstLineChars="0"/>
              <w:jc w:val="center"/>
              <w:rPr>
                <w:sz w:val="21"/>
                <w:szCs w:val="21"/>
              </w:rPr>
            </w:pPr>
            <w:r>
              <w:rPr>
                <w:spacing w:val="-20"/>
                <w:sz w:val="21"/>
                <w:szCs w:val="21"/>
              </w:rPr>
              <w:t>MPN/100mL</w:t>
            </w:r>
          </w:p>
        </w:tc>
        <w:tc>
          <w:tcPr>
            <w:tcW w:w="2390" w:type="dxa"/>
            <w:vAlign w:val="center"/>
          </w:tcPr>
          <w:p>
            <w:pPr>
              <w:spacing w:line="240" w:lineRule="auto"/>
              <w:ind w:firstLine="0" w:firstLineChars="0"/>
              <w:jc w:val="center"/>
              <w:rPr>
                <w:kern w:val="0"/>
                <w:sz w:val="21"/>
                <w:szCs w:val="21"/>
              </w:rPr>
            </w:pPr>
            <w:r>
              <w:rPr>
                <w:bCs/>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菌落总数</w:t>
            </w:r>
          </w:p>
        </w:tc>
        <w:tc>
          <w:tcPr>
            <w:tcW w:w="1788" w:type="dxa"/>
            <w:vAlign w:val="center"/>
          </w:tcPr>
          <w:p>
            <w:pPr>
              <w:spacing w:line="240" w:lineRule="auto"/>
              <w:ind w:firstLine="0" w:firstLineChars="0"/>
              <w:jc w:val="center"/>
              <w:rPr>
                <w:sz w:val="21"/>
                <w:szCs w:val="21"/>
              </w:rPr>
            </w:pPr>
            <w:r>
              <w:rPr>
                <w:spacing w:val="-20"/>
                <w:sz w:val="21"/>
                <w:szCs w:val="21"/>
              </w:rPr>
              <w:t>CFU/mL</w:t>
            </w:r>
          </w:p>
        </w:tc>
        <w:tc>
          <w:tcPr>
            <w:tcW w:w="2390" w:type="dxa"/>
            <w:vAlign w:val="center"/>
          </w:tcPr>
          <w:p>
            <w:pPr>
              <w:spacing w:line="240" w:lineRule="auto"/>
              <w:ind w:firstLine="0" w:firstLineChars="0"/>
              <w:jc w:val="center"/>
              <w:rPr>
                <w:kern w:val="0"/>
                <w:sz w:val="21"/>
                <w:szCs w:val="21"/>
              </w:rPr>
            </w:pPr>
            <w:r>
              <w:rPr>
                <w:bCs/>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硝酸盐</w:t>
            </w:r>
          </w:p>
        </w:tc>
        <w:tc>
          <w:tcPr>
            <w:tcW w:w="1788" w:type="dxa"/>
            <w:vMerge w:val="restart"/>
            <w:vAlign w:val="center"/>
          </w:tcPr>
          <w:p>
            <w:pPr>
              <w:spacing w:line="240" w:lineRule="auto"/>
              <w:ind w:firstLine="0" w:firstLineChars="0"/>
              <w:jc w:val="center"/>
              <w:rPr>
                <w:sz w:val="21"/>
                <w:szCs w:val="21"/>
              </w:rPr>
            </w:pPr>
            <w:r>
              <w:rPr>
                <w:sz w:val="21"/>
                <w:szCs w:val="21"/>
              </w:rPr>
              <w:t>mg/L</w:t>
            </w:r>
          </w:p>
        </w:tc>
        <w:tc>
          <w:tcPr>
            <w:tcW w:w="2390" w:type="dxa"/>
            <w:vAlign w:val="center"/>
          </w:tcPr>
          <w:p>
            <w:pPr>
              <w:widowControl/>
              <w:spacing w:line="240" w:lineRule="auto"/>
              <w:ind w:firstLine="0" w:firstLineChars="0"/>
              <w:jc w:val="center"/>
              <w:rPr>
                <w:kern w:val="0"/>
                <w:sz w:val="21"/>
                <w:szCs w:val="21"/>
              </w:rPr>
            </w:pPr>
            <w:r>
              <w:rPr>
                <w:kern w:val="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亚硝酸盐</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kern w:val="0"/>
                <w:sz w:val="21"/>
                <w:szCs w:val="21"/>
              </w:rPr>
            </w:pPr>
            <w:r>
              <w:rPr>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氰化物</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kern w:val="0"/>
                <w:sz w:val="21"/>
                <w:szCs w:val="21"/>
              </w:rPr>
            </w:pPr>
            <w:r>
              <w:rPr>
                <w:kern w:val="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kern w:val="0"/>
                <w:sz w:val="21"/>
                <w:szCs w:val="21"/>
              </w:rPr>
              <w:t>氟化物</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kern w:val="0"/>
                <w:sz w:val="21"/>
                <w:szCs w:val="21"/>
              </w:rPr>
            </w:pPr>
            <w:r>
              <w:rPr>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sz w:val="21"/>
                <w:szCs w:val="21"/>
              </w:rPr>
              <w:t>砷（As）</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kern w:val="0"/>
                <w:sz w:val="21"/>
                <w:szCs w:val="21"/>
              </w:rPr>
            </w:pPr>
            <w:r>
              <w:rPr>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widowControl/>
              <w:spacing w:line="240" w:lineRule="auto"/>
              <w:ind w:firstLine="0" w:firstLineChars="0"/>
              <w:jc w:val="center"/>
              <w:rPr>
                <w:kern w:val="0"/>
                <w:sz w:val="21"/>
                <w:szCs w:val="21"/>
              </w:rPr>
            </w:pPr>
            <w:r>
              <w:rPr>
                <w:sz w:val="21"/>
                <w:szCs w:val="21"/>
              </w:rPr>
              <w:t>汞（Hg）</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kern w:val="0"/>
                <w:sz w:val="21"/>
                <w:szCs w:val="21"/>
              </w:rPr>
            </w:pPr>
            <w:r>
              <w:rPr>
                <w:sz w:val="21"/>
                <w:szCs w:val="21"/>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六价铬（Cr</w:t>
            </w:r>
            <w:r>
              <w:rPr>
                <w:sz w:val="21"/>
                <w:szCs w:val="21"/>
                <w:vertAlign w:val="superscript"/>
              </w:rPr>
              <w:t>6＋</w:t>
            </w:r>
            <w:r>
              <w:rPr>
                <w:sz w:val="21"/>
                <w:szCs w:val="21"/>
              </w:rPr>
              <w:t>）</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sz w:val="21"/>
                <w:szCs w:val="21"/>
              </w:rPr>
            </w:pPr>
            <w:r>
              <w:rPr>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铅（Pb）</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widowControl/>
              <w:spacing w:line="240" w:lineRule="auto"/>
              <w:ind w:firstLine="0" w:firstLineChars="0"/>
              <w:jc w:val="center"/>
              <w:rPr>
                <w:sz w:val="21"/>
                <w:szCs w:val="21"/>
              </w:rPr>
            </w:pPr>
            <w:r>
              <w:rPr>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line="240" w:lineRule="auto"/>
              <w:ind w:firstLine="0" w:firstLineChars="0"/>
              <w:jc w:val="center"/>
              <w:rPr>
                <w:sz w:val="21"/>
                <w:szCs w:val="21"/>
              </w:rPr>
            </w:pPr>
          </w:p>
        </w:tc>
        <w:tc>
          <w:tcPr>
            <w:tcW w:w="2205" w:type="dxa"/>
            <w:vAlign w:val="center"/>
          </w:tcPr>
          <w:p>
            <w:pPr>
              <w:spacing w:line="240" w:lineRule="auto"/>
              <w:ind w:firstLine="0" w:firstLineChars="0"/>
              <w:jc w:val="center"/>
              <w:rPr>
                <w:sz w:val="21"/>
                <w:szCs w:val="21"/>
              </w:rPr>
            </w:pPr>
            <w:r>
              <w:rPr>
                <w:sz w:val="21"/>
                <w:szCs w:val="21"/>
              </w:rPr>
              <w:t>镉（Cd）</w:t>
            </w:r>
          </w:p>
        </w:tc>
        <w:tc>
          <w:tcPr>
            <w:tcW w:w="1788" w:type="dxa"/>
            <w:vMerge w:val="continue"/>
            <w:vAlign w:val="center"/>
          </w:tcPr>
          <w:p>
            <w:pPr>
              <w:spacing w:line="240" w:lineRule="auto"/>
              <w:ind w:firstLine="0" w:firstLineChars="0"/>
              <w:jc w:val="center"/>
              <w:rPr>
                <w:sz w:val="21"/>
                <w:szCs w:val="21"/>
              </w:rPr>
            </w:pPr>
          </w:p>
        </w:tc>
        <w:tc>
          <w:tcPr>
            <w:tcW w:w="2390" w:type="dxa"/>
            <w:vAlign w:val="center"/>
          </w:tcPr>
          <w:p>
            <w:pPr>
              <w:spacing w:line="240" w:lineRule="auto"/>
              <w:ind w:firstLine="0" w:firstLineChars="0"/>
              <w:jc w:val="center"/>
              <w:rPr>
                <w:sz w:val="21"/>
                <w:szCs w:val="21"/>
              </w:rPr>
            </w:pPr>
            <w:r>
              <w:rPr>
                <w:sz w:val="21"/>
                <w:szCs w:val="21"/>
              </w:rPr>
              <w:t>≤0.005</w:t>
            </w:r>
          </w:p>
        </w:tc>
      </w:tr>
    </w:tbl>
    <w:p>
      <w:pPr>
        <w:pStyle w:val="5"/>
      </w:pPr>
      <w:r>
        <w:t>声环境质量标准</w:t>
      </w:r>
    </w:p>
    <w:p>
      <w:pPr>
        <w:ind w:firstLine="480"/>
      </w:pPr>
      <w:r>
        <w:t>根据《声环境质量标准》（GB3096-2008），本项目位于农村地区，</w:t>
      </w:r>
      <w:r>
        <w:rPr>
          <w:rFonts w:hint="eastAsia"/>
        </w:rPr>
        <w:t>但项目建成后从事生猪养殖，项目区声环境质量按</w:t>
      </w:r>
      <w:r>
        <w:t>2</w:t>
      </w:r>
      <w:r>
        <w:rPr>
          <w:rFonts w:hint="eastAsia"/>
        </w:rPr>
        <w:t>类区控制，</w:t>
      </w:r>
      <w:r>
        <w:t>执行《声环境质量标准》（GB3096-2008）2类标准，具体见</w:t>
      </w:r>
      <w:r>
        <w:rPr>
          <w:rFonts w:hint="eastAsia"/>
        </w:rPr>
        <w:t>表2.4-4。</w:t>
      </w:r>
    </w:p>
    <w:p>
      <w:pPr>
        <w:pStyle w:val="41"/>
        <w:rPr>
          <w:rFonts w:hAnsi="宋体" w:eastAsia="宋体"/>
        </w:rPr>
      </w:pPr>
      <w:bookmarkStart w:id="29" w:name="_Ref36129994"/>
      <w:r>
        <w:rPr>
          <w:rFonts w:hint="eastAsia" w:ascii="宋体" w:hAnsi="宋体" w:eastAsia="宋体" w:cs="宋体"/>
        </w:rPr>
        <w:t>表</w:t>
      </w:r>
      <w:r>
        <w:fldChar w:fldCharType="begin"/>
      </w:r>
      <w:r>
        <w:rPr>
          <w:rFonts w:hint="eastAsia"/>
        </w:rPr>
        <w:instrText xml:space="preserve">STYLEREF 2 \s</w:instrText>
      </w:r>
      <w:r>
        <w:fldChar w:fldCharType="separate"/>
      </w:r>
      <w:r>
        <w:t>2.4</w:t>
      </w:r>
      <w:r>
        <w:fldChar w:fldCharType="end"/>
      </w:r>
      <w:r>
        <w:noBreakHyphen/>
      </w:r>
      <w:bookmarkEnd w:id="29"/>
      <w:r>
        <w:t xml:space="preserve">4  </w:t>
      </w:r>
      <w:r>
        <w:rPr>
          <w:rFonts w:hint="eastAsia" w:hAnsi="宋体" w:eastAsia="宋体"/>
        </w:rPr>
        <w:t>声环境</w:t>
      </w:r>
      <w:r>
        <w:rPr>
          <w:rFonts w:hAnsi="宋体" w:eastAsia="宋体"/>
        </w:rPr>
        <w:t>质量标准</w:t>
      </w:r>
      <w:r>
        <w:rPr>
          <w:rFonts w:hint="eastAsia" w:hAnsi="宋体" w:eastAsia="宋体"/>
        </w:rPr>
        <w:t xml:space="preserve"> </w:t>
      </w:r>
      <w:r>
        <w:rPr>
          <w:rFonts w:hAnsi="宋体" w:eastAsia="宋体"/>
        </w:rPr>
        <w:t>单位：</w:t>
      </w:r>
      <w:r>
        <w:rPr>
          <w:rFonts w:hint="eastAsia" w:hAnsi="宋体" w:eastAsia="宋体"/>
        </w:rPr>
        <w:t>dB</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2759"/>
        <w:gridCol w:w="2759"/>
        <w:gridCol w:w="2758"/>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2759" w:type="dxa"/>
            <w:vMerge w:val="restart"/>
            <w:vAlign w:val="center"/>
          </w:tcPr>
          <w:p>
            <w:pPr>
              <w:pStyle w:val="40"/>
            </w:pPr>
            <w:r>
              <w:t>声环境功能区类别</w:t>
            </w:r>
          </w:p>
        </w:tc>
        <w:tc>
          <w:tcPr>
            <w:tcW w:w="5517" w:type="dxa"/>
            <w:gridSpan w:val="2"/>
            <w:vAlign w:val="center"/>
          </w:tcPr>
          <w:p>
            <w:pPr>
              <w:pStyle w:val="40"/>
            </w:pPr>
            <w:r>
              <w:t>时段</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2759" w:type="dxa"/>
            <w:vMerge w:val="continue"/>
            <w:vAlign w:val="center"/>
          </w:tcPr>
          <w:p>
            <w:pPr>
              <w:pStyle w:val="40"/>
            </w:pPr>
          </w:p>
        </w:tc>
        <w:tc>
          <w:tcPr>
            <w:tcW w:w="2759" w:type="dxa"/>
            <w:vAlign w:val="center"/>
          </w:tcPr>
          <w:p>
            <w:pPr>
              <w:pStyle w:val="40"/>
            </w:pPr>
            <w:r>
              <w:t>昼间</w:t>
            </w:r>
          </w:p>
        </w:tc>
        <w:tc>
          <w:tcPr>
            <w:tcW w:w="2758" w:type="dxa"/>
            <w:vAlign w:val="center"/>
          </w:tcPr>
          <w:p>
            <w:pPr>
              <w:pStyle w:val="40"/>
            </w:pPr>
            <w:r>
              <w:t>夜间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2759" w:type="dxa"/>
            <w:vAlign w:val="center"/>
          </w:tcPr>
          <w:p>
            <w:pPr>
              <w:pStyle w:val="40"/>
            </w:pPr>
            <w:r>
              <w:t>2类</w:t>
            </w:r>
          </w:p>
        </w:tc>
        <w:tc>
          <w:tcPr>
            <w:tcW w:w="2759" w:type="dxa"/>
            <w:vAlign w:val="center"/>
          </w:tcPr>
          <w:p>
            <w:pPr>
              <w:pStyle w:val="40"/>
            </w:pPr>
            <w:r>
              <w:t>60</w:t>
            </w:r>
          </w:p>
        </w:tc>
        <w:tc>
          <w:tcPr>
            <w:tcW w:w="2758" w:type="dxa"/>
            <w:vAlign w:val="center"/>
          </w:tcPr>
          <w:p>
            <w:pPr>
              <w:pStyle w:val="40"/>
            </w:pPr>
            <w:r>
              <w:t>50</w:t>
            </w:r>
          </w:p>
        </w:tc>
      </w:tr>
    </w:tbl>
    <w:p>
      <w:pPr>
        <w:pStyle w:val="5"/>
      </w:pPr>
      <w:r>
        <w:rPr>
          <w:rFonts w:hint="eastAsia"/>
        </w:rPr>
        <w:t>土壤</w:t>
      </w:r>
      <w:r>
        <w:t>环境</w:t>
      </w:r>
    </w:p>
    <w:p>
      <w:pPr>
        <w:pStyle w:val="88"/>
        <w:ind w:firstLine="480"/>
      </w:pPr>
      <w:r>
        <w:t>本项目土壤执行《土壤环境质量</w:t>
      </w:r>
      <w:r>
        <w:rPr>
          <w:rFonts w:hint="eastAsia"/>
        </w:rPr>
        <w:t>农用地</w:t>
      </w:r>
      <w:r>
        <w:t>土壤污染风险管控标准》（GB15618-2018）筛选值。具体见</w:t>
      </w:r>
      <w:r>
        <w:rPr>
          <w:rFonts w:hint="eastAsia"/>
        </w:rPr>
        <w:t>表2.4-5。</w:t>
      </w:r>
    </w:p>
    <w:p>
      <w:pPr>
        <w:pStyle w:val="41"/>
        <w:rPr>
          <w:rFonts w:hAnsi="Times New Roman" w:eastAsia="宋体"/>
        </w:rPr>
      </w:pPr>
      <w:r>
        <w:rPr>
          <w:rFonts w:hAnsi="宋体" w:eastAsia="宋体"/>
        </w:rPr>
        <w:t>表</w:t>
      </w:r>
      <w:r>
        <w:rPr>
          <w:rFonts w:hAnsi="Times New Roman" w:eastAsia="宋体"/>
        </w:rPr>
        <w:fldChar w:fldCharType="begin"/>
      </w:r>
      <w:r>
        <w:rPr>
          <w:rFonts w:hAnsi="Times New Roman" w:eastAsia="宋体"/>
        </w:rPr>
        <w:instrText xml:space="preserve">STYLEREF 2 \s</w:instrText>
      </w:r>
      <w:r>
        <w:rPr>
          <w:rFonts w:hAnsi="Times New Roman" w:eastAsia="宋体"/>
        </w:rPr>
        <w:fldChar w:fldCharType="separate"/>
      </w:r>
      <w:r>
        <w:rPr>
          <w:rFonts w:hAnsi="Times New Roman" w:eastAsia="宋体"/>
        </w:rPr>
        <w:t>2.4</w:t>
      </w:r>
      <w:r>
        <w:rPr>
          <w:rFonts w:hAnsi="Times New Roman" w:eastAsia="宋体"/>
        </w:rPr>
        <w:fldChar w:fldCharType="end"/>
      </w:r>
      <w:r>
        <w:rPr>
          <w:rFonts w:hAnsi="Times New Roman" w:eastAsia="宋体"/>
        </w:rPr>
        <w:noBreakHyphen/>
      </w:r>
      <w:r>
        <w:rPr>
          <w:rFonts w:hAnsi="Times New Roman" w:eastAsia="宋体"/>
        </w:rPr>
        <w:t xml:space="preserve">5 </w:t>
      </w:r>
      <w:r>
        <w:rPr>
          <w:rFonts w:hint="eastAsia" w:hAnsi="宋体" w:eastAsia="宋体"/>
        </w:rPr>
        <w:t>农</w:t>
      </w:r>
      <w:r>
        <w:rPr>
          <w:rFonts w:hAnsi="宋体" w:eastAsia="宋体"/>
        </w:rPr>
        <w:t>用地土壤污染风险筛选值标准</w:t>
      </w:r>
      <w:r>
        <w:rPr>
          <w:rFonts w:hint="eastAsia" w:hAnsi="宋体" w:eastAsia="宋体"/>
        </w:rPr>
        <w:t xml:space="preserve"> </w:t>
      </w:r>
      <w:r>
        <w:rPr>
          <w:rFonts w:hAnsi="宋体" w:eastAsia="宋体"/>
        </w:rPr>
        <w:t>单位：</w:t>
      </w:r>
      <w:r>
        <w:rPr>
          <w:rFonts w:hAnsi="Times New Roman" w:eastAsia="宋体"/>
          <w:bCs/>
        </w:rPr>
        <w:t>mg/kg</w:t>
      </w:r>
    </w:p>
    <w:tbl>
      <w:tblPr>
        <w:tblStyle w:val="28"/>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08"/>
        <w:gridCol w:w="991"/>
        <w:gridCol w:w="1276"/>
        <w:gridCol w:w="1702"/>
        <w:gridCol w:w="1667"/>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Pr>
          <w:p>
            <w:pPr>
              <w:spacing w:line="240" w:lineRule="auto"/>
              <w:ind w:firstLine="0" w:firstLineChars="0"/>
              <w:jc w:val="center"/>
              <w:rPr>
                <w:kern w:val="0"/>
                <w:sz w:val="21"/>
                <w:szCs w:val="21"/>
              </w:rPr>
            </w:pPr>
            <w:r>
              <w:rPr>
                <w:rFonts w:hint="eastAsia"/>
                <w:kern w:val="0"/>
                <w:sz w:val="21"/>
                <w:szCs w:val="21"/>
              </w:rPr>
              <w:t>序号</w:t>
            </w:r>
          </w:p>
        </w:tc>
        <w:tc>
          <w:tcPr>
            <w:tcW w:w="1699" w:type="dxa"/>
            <w:gridSpan w:val="2"/>
            <w:vMerge w:val="restart"/>
            <w:vAlign w:val="center"/>
          </w:tcPr>
          <w:p>
            <w:pPr>
              <w:spacing w:line="240" w:lineRule="auto"/>
              <w:ind w:firstLine="0" w:firstLineChars="0"/>
              <w:jc w:val="center"/>
              <w:rPr>
                <w:kern w:val="0"/>
                <w:sz w:val="21"/>
                <w:szCs w:val="21"/>
              </w:rPr>
            </w:pPr>
            <w:r>
              <w:rPr>
                <w:rFonts w:hint="eastAsia"/>
                <w:kern w:val="0"/>
                <w:sz w:val="21"/>
                <w:szCs w:val="21"/>
              </w:rPr>
              <w:t>污染物</w:t>
            </w:r>
            <w:r>
              <w:rPr>
                <w:kern w:val="0"/>
                <w:sz w:val="21"/>
                <w:szCs w:val="21"/>
              </w:rPr>
              <w:t>项目</w:t>
            </w:r>
          </w:p>
        </w:tc>
        <w:tc>
          <w:tcPr>
            <w:tcW w:w="5881" w:type="dxa"/>
            <w:gridSpan w:val="4"/>
          </w:tcPr>
          <w:p>
            <w:pPr>
              <w:spacing w:line="240" w:lineRule="auto"/>
              <w:ind w:firstLine="0" w:firstLineChars="0"/>
              <w:jc w:val="center"/>
              <w:rPr>
                <w:kern w:val="0"/>
                <w:sz w:val="21"/>
                <w:szCs w:val="21"/>
              </w:rPr>
            </w:pPr>
            <w:r>
              <w:rPr>
                <w:rFonts w:hint="eastAsia"/>
                <w:kern w:val="0"/>
                <w:sz w:val="21"/>
                <w:szCs w:val="21"/>
              </w:rPr>
              <w:t>风险</w:t>
            </w:r>
            <w:r>
              <w:rPr>
                <w:kern w:val="0"/>
                <w:sz w:val="21"/>
                <w:szCs w:val="21"/>
              </w:rPr>
              <w:t>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Pr>
          <w:p>
            <w:pPr>
              <w:spacing w:line="240" w:lineRule="auto"/>
              <w:ind w:firstLine="0" w:firstLineChars="0"/>
              <w:jc w:val="center"/>
              <w:rPr>
                <w:sz w:val="21"/>
                <w:szCs w:val="21"/>
                <w:lang w:val="zh-CN"/>
              </w:rPr>
            </w:pPr>
          </w:p>
        </w:tc>
        <w:tc>
          <w:tcPr>
            <w:tcW w:w="1699" w:type="dxa"/>
            <w:gridSpan w:val="2"/>
            <w:vMerge w:val="continue"/>
            <w:vAlign w:val="center"/>
          </w:tcPr>
          <w:p>
            <w:pPr>
              <w:spacing w:line="240" w:lineRule="auto"/>
              <w:ind w:firstLine="0" w:firstLineChars="0"/>
              <w:jc w:val="center"/>
              <w:rPr>
                <w:kern w:val="0"/>
                <w:sz w:val="21"/>
                <w:szCs w:val="21"/>
              </w:rPr>
            </w:pPr>
          </w:p>
        </w:tc>
        <w:tc>
          <w:tcPr>
            <w:tcW w:w="127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pH</w:t>
            </w:r>
            <w:r>
              <w:rPr>
                <w:rFonts w:eastAsiaTheme="minorEastAsia"/>
                <w:kern w:val="0"/>
                <w:sz w:val="21"/>
                <w:szCs w:val="21"/>
                <w:lang w:val="zh-CN"/>
              </w:rPr>
              <w:t>≤5.5</w:t>
            </w:r>
          </w:p>
        </w:tc>
        <w:tc>
          <w:tcPr>
            <w:tcW w:w="1702" w:type="dxa"/>
          </w:tcPr>
          <w:p>
            <w:pPr>
              <w:spacing w:line="240" w:lineRule="auto"/>
              <w:ind w:firstLine="0" w:firstLineChars="0"/>
              <w:jc w:val="center"/>
              <w:rPr>
                <w:rFonts w:eastAsiaTheme="minorEastAsia"/>
                <w:kern w:val="0"/>
                <w:sz w:val="21"/>
                <w:szCs w:val="21"/>
                <w:lang w:val="zh-CN"/>
              </w:rPr>
            </w:pPr>
            <w:r>
              <w:rPr>
                <w:rFonts w:eastAsiaTheme="minorEastAsia"/>
                <w:kern w:val="0"/>
                <w:sz w:val="21"/>
                <w:szCs w:val="21"/>
                <w:lang w:val="zh-CN"/>
              </w:rPr>
              <w:t>5.5</w:t>
            </w:r>
            <w:r>
              <w:rPr>
                <w:rFonts w:hint="eastAsia" w:eastAsiaTheme="minorEastAsia"/>
                <w:kern w:val="0"/>
                <w:sz w:val="21"/>
                <w:szCs w:val="21"/>
                <w:lang w:val="zh-CN"/>
              </w:rPr>
              <w:t>＜pH</w:t>
            </w:r>
            <w:r>
              <w:rPr>
                <w:rFonts w:eastAsiaTheme="minorEastAsia"/>
                <w:kern w:val="0"/>
                <w:sz w:val="21"/>
                <w:szCs w:val="21"/>
                <w:lang w:val="zh-CN"/>
              </w:rPr>
              <w:t>≤6.5</w:t>
            </w:r>
          </w:p>
        </w:tc>
        <w:tc>
          <w:tcPr>
            <w:tcW w:w="1667" w:type="dxa"/>
          </w:tcPr>
          <w:p>
            <w:pPr>
              <w:spacing w:line="240" w:lineRule="auto"/>
              <w:ind w:firstLine="0" w:firstLineChars="0"/>
              <w:jc w:val="center"/>
              <w:rPr>
                <w:rFonts w:eastAsiaTheme="minorEastAsia"/>
                <w:kern w:val="0"/>
                <w:sz w:val="21"/>
                <w:szCs w:val="21"/>
                <w:lang w:val="zh-CN"/>
              </w:rPr>
            </w:pPr>
            <w:r>
              <w:rPr>
                <w:rFonts w:eastAsiaTheme="minorEastAsia"/>
                <w:kern w:val="0"/>
                <w:sz w:val="21"/>
                <w:szCs w:val="21"/>
                <w:lang w:val="zh-CN"/>
              </w:rPr>
              <w:t>6.5</w:t>
            </w:r>
            <w:r>
              <w:rPr>
                <w:rFonts w:hint="eastAsia" w:eastAsiaTheme="minorEastAsia"/>
                <w:kern w:val="0"/>
                <w:sz w:val="21"/>
                <w:szCs w:val="21"/>
                <w:lang w:val="zh-CN"/>
              </w:rPr>
              <w:t>＜</w:t>
            </w:r>
            <w:r>
              <w:rPr>
                <w:rFonts w:eastAsiaTheme="minorEastAsia"/>
                <w:kern w:val="0"/>
                <w:sz w:val="21"/>
                <w:szCs w:val="21"/>
                <w:lang w:val="zh-CN"/>
              </w:rPr>
              <w:t>pH≤7.5</w:t>
            </w:r>
          </w:p>
        </w:tc>
        <w:tc>
          <w:tcPr>
            <w:tcW w:w="123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pH</w:t>
            </w:r>
            <w:r>
              <w:rPr>
                <w:rFonts w:eastAsiaTheme="minorEastAsia"/>
                <w:kern w:val="0"/>
                <w:sz w:val="21"/>
                <w:szCs w:val="21"/>
                <w:lang w:val="zh-CN"/>
              </w:rPr>
              <w:t>＞</w:t>
            </w:r>
            <w:r>
              <w:rPr>
                <w:rFonts w:hint="eastAsia" w:eastAsiaTheme="minorEastAsia"/>
                <w:kern w:val="0"/>
                <w:sz w:val="21"/>
                <w:szCs w:val="21"/>
                <w:lang w:val="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vAlign w:val="center"/>
          </w:tcPr>
          <w:p>
            <w:pPr>
              <w:spacing w:line="240" w:lineRule="auto"/>
              <w:ind w:firstLine="0" w:firstLineChars="0"/>
              <w:jc w:val="center"/>
              <w:rPr>
                <w:sz w:val="21"/>
                <w:szCs w:val="21"/>
                <w:lang w:val="zh-CN"/>
              </w:rPr>
            </w:pPr>
            <w:r>
              <w:rPr>
                <w:rFonts w:eastAsiaTheme="minorEastAsia"/>
                <w:bCs/>
                <w:sz w:val="21"/>
                <w:szCs w:val="21"/>
              </w:rPr>
              <w:t>1</w:t>
            </w:r>
          </w:p>
        </w:tc>
        <w:tc>
          <w:tcPr>
            <w:tcW w:w="708" w:type="dxa"/>
            <w:vMerge w:val="restart"/>
            <w:vAlign w:val="center"/>
          </w:tcPr>
          <w:p>
            <w:pPr>
              <w:spacing w:line="240" w:lineRule="auto"/>
              <w:ind w:firstLine="0" w:firstLineChars="0"/>
              <w:jc w:val="center"/>
              <w:rPr>
                <w:kern w:val="0"/>
                <w:sz w:val="21"/>
                <w:szCs w:val="21"/>
              </w:rPr>
            </w:pPr>
            <w:r>
              <w:rPr>
                <w:rFonts w:hint="eastAsia"/>
                <w:kern w:val="0"/>
                <w:sz w:val="21"/>
                <w:szCs w:val="21"/>
              </w:rPr>
              <w:t>镉</w:t>
            </w:r>
          </w:p>
        </w:tc>
        <w:tc>
          <w:tcPr>
            <w:tcW w:w="991" w:type="dxa"/>
          </w:tcPr>
          <w:p>
            <w:pPr>
              <w:spacing w:line="240" w:lineRule="auto"/>
              <w:ind w:firstLine="0" w:firstLineChars="0"/>
              <w:jc w:val="center"/>
              <w:rPr>
                <w:kern w:val="0"/>
                <w:sz w:val="21"/>
                <w:szCs w:val="21"/>
              </w:rPr>
            </w:pPr>
            <w:r>
              <w:rPr>
                <w:rFonts w:hint="eastAsia"/>
                <w:kern w:val="0"/>
                <w:sz w:val="21"/>
                <w:szCs w:val="21"/>
              </w:rPr>
              <w:t>水田</w:t>
            </w:r>
          </w:p>
        </w:tc>
        <w:tc>
          <w:tcPr>
            <w:tcW w:w="127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0.3</w:t>
            </w:r>
          </w:p>
        </w:tc>
        <w:tc>
          <w:tcPr>
            <w:tcW w:w="1702"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0.4</w:t>
            </w:r>
          </w:p>
        </w:tc>
        <w:tc>
          <w:tcPr>
            <w:tcW w:w="1667"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0.6</w:t>
            </w:r>
          </w:p>
        </w:tc>
        <w:tc>
          <w:tcPr>
            <w:tcW w:w="123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vAlign w:val="center"/>
          </w:tcPr>
          <w:p>
            <w:pPr>
              <w:spacing w:line="240" w:lineRule="auto"/>
              <w:ind w:firstLine="0" w:firstLineChars="0"/>
              <w:jc w:val="center"/>
              <w:rPr>
                <w:rFonts w:eastAsiaTheme="minorEastAsia"/>
                <w:bCs/>
                <w:sz w:val="21"/>
                <w:szCs w:val="21"/>
              </w:rPr>
            </w:pPr>
          </w:p>
        </w:tc>
        <w:tc>
          <w:tcPr>
            <w:tcW w:w="708" w:type="dxa"/>
            <w:vMerge w:val="continue"/>
            <w:vAlign w:val="center"/>
          </w:tcPr>
          <w:p>
            <w:pPr>
              <w:spacing w:line="240" w:lineRule="auto"/>
              <w:ind w:firstLine="0" w:firstLineChars="0"/>
              <w:jc w:val="center"/>
              <w:rPr>
                <w:kern w:val="0"/>
                <w:sz w:val="21"/>
                <w:szCs w:val="21"/>
              </w:rPr>
            </w:pPr>
          </w:p>
        </w:tc>
        <w:tc>
          <w:tcPr>
            <w:tcW w:w="991" w:type="dxa"/>
          </w:tcPr>
          <w:p>
            <w:pPr>
              <w:spacing w:line="240" w:lineRule="auto"/>
              <w:ind w:firstLine="0" w:firstLineChars="0"/>
              <w:jc w:val="center"/>
              <w:rPr>
                <w:kern w:val="0"/>
                <w:sz w:val="21"/>
                <w:szCs w:val="21"/>
              </w:rPr>
            </w:pPr>
            <w:r>
              <w:rPr>
                <w:rFonts w:hint="eastAsia"/>
                <w:kern w:val="0"/>
                <w:sz w:val="21"/>
                <w:szCs w:val="21"/>
              </w:rPr>
              <w:t>其他</w:t>
            </w:r>
          </w:p>
        </w:tc>
        <w:tc>
          <w:tcPr>
            <w:tcW w:w="127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0.3</w:t>
            </w:r>
          </w:p>
        </w:tc>
        <w:tc>
          <w:tcPr>
            <w:tcW w:w="1702"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0.3</w:t>
            </w:r>
          </w:p>
        </w:tc>
        <w:tc>
          <w:tcPr>
            <w:tcW w:w="1667"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0.3</w:t>
            </w:r>
          </w:p>
        </w:tc>
        <w:tc>
          <w:tcPr>
            <w:tcW w:w="123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vAlign w:val="center"/>
          </w:tcPr>
          <w:p>
            <w:pPr>
              <w:spacing w:line="240" w:lineRule="auto"/>
              <w:ind w:firstLine="0" w:firstLineChars="0"/>
              <w:jc w:val="center"/>
              <w:rPr>
                <w:sz w:val="21"/>
                <w:szCs w:val="21"/>
                <w:lang w:val="zh-CN"/>
              </w:rPr>
            </w:pPr>
            <w:r>
              <w:rPr>
                <w:rFonts w:eastAsiaTheme="minorEastAsia"/>
                <w:bCs/>
                <w:sz w:val="21"/>
                <w:szCs w:val="21"/>
              </w:rPr>
              <w:t>2</w:t>
            </w:r>
          </w:p>
        </w:tc>
        <w:tc>
          <w:tcPr>
            <w:tcW w:w="708" w:type="dxa"/>
            <w:vMerge w:val="restart"/>
            <w:vAlign w:val="center"/>
          </w:tcPr>
          <w:p>
            <w:pPr>
              <w:spacing w:line="240" w:lineRule="auto"/>
              <w:ind w:firstLine="0" w:firstLineChars="0"/>
              <w:jc w:val="center"/>
              <w:rPr>
                <w:kern w:val="0"/>
                <w:sz w:val="21"/>
                <w:szCs w:val="21"/>
              </w:rPr>
            </w:pPr>
            <w:r>
              <w:rPr>
                <w:rFonts w:hint="eastAsia"/>
                <w:kern w:val="0"/>
                <w:sz w:val="21"/>
                <w:szCs w:val="21"/>
              </w:rPr>
              <w:t>汞</w:t>
            </w:r>
          </w:p>
        </w:tc>
        <w:tc>
          <w:tcPr>
            <w:tcW w:w="991" w:type="dxa"/>
          </w:tcPr>
          <w:p>
            <w:pPr>
              <w:spacing w:line="240" w:lineRule="auto"/>
              <w:ind w:firstLine="0" w:firstLineChars="0"/>
              <w:jc w:val="center"/>
              <w:rPr>
                <w:kern w:val="0"/>
                <w:sz w:val="21"/>
                <w:szCs w:val="21"/>
              </w:rPr>
            </w:pPr>
            <w:r>
              <w:rPr>
                <w:rFonts w:hint="eastAsia"/>
                <w:kern w:val="0"/>
                <w:sz w:val="21"/>
                <w:szCs w:val="21"/>
              </w:rPr>
              <w:t>水田</w:t>
            </w:r>
          </w:p>
        </w:tc>
        <w:tc>
          <w:tcPr>
            <w:tcW w:w="1276" w:type="dxa"/>
          </w:tcPr>
          <w:p>
            <w:pPr>
              <w:spacing w:line="240" w:lineRule="auto"/>
              <w:ind w:firstLine="0" w:firstLineChars="0"/>
              <w:jc w:val="center"/>
              <w:rPr>
                <w:kern w:val="0"/>
                <w:sz w:val="21"/>
                <w:szCs w:val="21"/>
              </w:rPr>
            </w:pPr>
            <w:r>
              <w:rPr>
                <w:rFonts w:hint="eastAsia"/>
                <w:kern w:val="0"/>
                <w:sz w:val="21"/>
                <w:szCs w:val="21"/>
              </w:rPr>
              <w:t>0.5</w:t>
            </w:r>
          </w:p>
        </w:tc>
        <w:tc>
          <w:tcPr>
            <w:tcW w:w="1702" w:type="dxa"/>
          </w:tcPr>
          <w:p>
            <w:pPr>
              <w:spacing w:line="240" w:lineRule="auto"/>
              <w:ind w:firstLine="0" w:firstLineChars="0"/>
              <w:jc w:val="center"/>
              <w:rPr>
                <w:kern w:val="0"/>
                <w:sz w:val="21"/>
                <w:szCs w:val="21"/>
              </w:rPr>
            </w:pPr>
            <w:r>
              <w:rPr>
                <w:rFonts w:hint="eastAsia"/>
                <w:kern w:val="0"/>
                <w:sz w:val="21"/>
                <w:szCs w:val="21"/>
              </w:rPr>
              <w:t>0.5</w:t>
            </w:r>
          </w:p>
        </w:tc>
        <w:tc>
          <w:tcPr>
            <w:tcW w:w="1667" w:type="dxa"/>
          </w:tcPr>
          <w:p>
            <w:pPr>
              <w:spacing w:line="240" w:lineRule="auto"/>
              <w:ind w:firstLine="0" w:firstLineChars="0"/>
              <w:jc w:val="center"/>
              <w:rPr>
                <w:kern w:val="0"/>
                <w:sz w:val="21"/>
                <w:szCs w:val="21"/>
              </w:rPr>
            </w:pPr>
            <w:r>
              <w:rPr>
                <w:rFonts w:hint="eastAsia"/>
                <w:kern w:val="0"/>
                <w:sz w:val="21"/>
                <w:szCs w:val="21"/>
              </w:rPr>
              <w:t>0.6</w:t>
            </w:r>
          </w:p>
        </w:tc>
        <w:tc>
          <w:tcPr>
            <w:tcW w:w="1236" w:type="dxa"/>
          </w:tcPr>
          <w:p>
            <w:pPr>
              <w:spacing w:line="240" w:lineRule="auto"/>
              <w:ind w:firstLine="0" w:firstLineChars="0"/>
              <w:jc w:val="center"/>
              <w:rPr>
                <w:kern w:val="0"/>
                <w:sz w:val="21"/>
                <w:szCs w:val="21"/>
              </w:rPr>
            </w:pPr>
            <w:r>
              <w:rPr>
                <w:rFonts w:hint="eastAsia"/>
                <w:kern w:val="0"/>
                <w:sz w:val="21"/>
                <w:szCs w:val="21"/>
              </w:rPr>
              <w:t>1.</w:t>
            </w:r>
            <w:r>
              <w:rPr>
                <w:kern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vAlign w:val="center"/>
          </w:tcPr>
          <w:p>
            <w:pPr>
              <w:spacing w:line="240" w:lineRule="auto"/>
              <w:ind w:firstLine="0" w:firstLineChars="0"/>
              <w:jc w:val="center"/>
              <w:rPr>
                <w:rFonts w:eastAsiaTheme="minorEastAsia"/>
                <w:bCs/>
                <w:sz w:val="21"/>
                <w:szCs w:val="21"/>
              </w:rPr>
            </w:pPr>
          </w:p>
        </w:tc>
        <w:tc>
          <w:tcPr>
            <w:tcW w:w="708" w:type="dxa"/>
            <w:vMerge w:val="continue"/>
            <w:vAlign w:val="center"/>
          </w:tcPr>
          <w:p>
            <w:pPr>
              <w:spacing w:line="240" w:lineRule="auto"/>
              <w:ind w:firstLine="0" w:firstLineChars="0"/>
              <w:jc w:val="center"/>
              <w:rPr>
                <w:kern w:val="0"/>
                <w:sz w:val="21"/>
                <w:szCs w:val="21"/>
              </w:rPr>
            </w:pPr>
          </w:p>
        </w:tc>
        <w:tc>
          <w:tcPr>
            <w:tcW w:w="991" w:type="dxa"/>
          </w:tcPr>
          <w:p>
            <w:pPr>
              <w:spacing w:line="240" w:lineRule="auto"/>
              <w:ind w:firstLine="0" w:firstLineChars="0"/>
              <w:jc w:val="center"/>
              <w:rPr>
                <w:kern w:val="0"/>
                <w:sz w:val="21"/>
                <w:szCs w:val="21"/>
              </w:rPr>
            </w:pPr>
            <w:r>
              <w:rPr>
                <w:rFonts w:hint="eastAsia"/>
                <w:kern w:val="0"/>
                <w:sz w:val="21"/>
                <w:szCs w:val="21"/>
              </w:rPr>
              <w:t>其他</w:t>
            </w:r>
          </w:p>
        </w:tc>
        <w:tc>
          <w:tcPr>
            <w:tcW w:w="1276" w:type="dxa"/>
          </w:tcPr>
          <w:p>
            <w:pPr>
              <w:spacing w:line="240" w:lineRule="auto"/>
              <w:ind w:firstLine="0" w:firstLineChars="0"/>
              <w:jc w:val="center"/>
              <w:rPr>
                <w:kern w:val="0"/>
                <w:sz w:val="21"/>
                <w:szCs w:val="21"/>
              </w:rPr>
            </w:pPr>
            <w:r>
              <w:rPr>
                <w:rFonts w:hint="eastAsia"/>
                <w:kern w:val="0"/>
                <w:sz w:val="21"/>
                <w:szCs w:val="21"/>
              </w:rPr>
              <w:t>1.3</w:t>
            </w:r>
          </w:p>
        </w:tc>
        <w:tc>
          <w:tcPr>
            <w:tcW w:w="1702" w:type="dxa"/>
          </w:tcPr>
          <w:p>
            <w:pPr>
              <w:spacing w:line="240" w:lineRule="auto"/>
              <w:ind w:firstLine="0" w:firstLineChars="0"/>
              <w:jc w:val="center"/>
              <w:rPr>
                <w:kern w:val="0"/>
                <w:sz w:val="21"/>
                <w:szCs w:val="21"/>
              </w:rPr>
            </w:pPr>
            <w:r>
              <w:rPr>
                <w:rFonts w:hint="eastAsia"/>
                <w:kern w:val="0"/>
                <w:sz w:val="21"/>
                <w:szCs w:val="21"/>
              </w:rPr>
              <w:t>1.8</w:t>
            </w:r>
          </w:p>
        </w:tc>
        <w:tc>
          <w:tcPr>
            <w:tcW w:w="1667" w:type="dxa"/>
          </w:tcPr>
          <w:p>
            <w:pPr>
              <w:spacing w:line="240" w:lineRule="auto"/>
              <w:ind w:firstLine="0" w:firstLineChars="0"/>
              <w:jc w:val="center"/>
              <w:rPr>
                <w:kern w:val="0"/>
                <w:sz w:val="21"/>
                <w:szCs w:val="21"/>
              </w:rPr>
            </w:pPr>
            <w:r>
              <w:rPr>
                <w:rFonts w:hint="eastAsia"/>
                <w:kern w:val="0"/>
                <w:sz w:val="21"/>
                <w:szCs w:val="21"/>
              </w:rPr>
              <w:t>2.4</w:t>
            </w:r>
          </w:p>
        </w:tc>
        <w:tc>
          <w:tcPr>
            <w:tcW w:w="1236" w:type="dxa"/>
          </w:tcPr>
          <w:p>
            <w:pPr>
              <w:spacing w:line="240" w:lineRule="auto"/>
              <w:ind w:firstLine="0" w:firstLineChars="0"/>
              <w:jc w:val="center"/>
              <w:rPr>
                <w:kern w:val="0"/>
                <w:sz w:val="21"/>
                <w:szCs w:val="21"/>
              </w:rPr>
            </w:pPr>
            <w:r>
              <w:rPr>
                <w:rFonts w:hint="eastAsia"/>
                <w:kern w:val="0"/>
                <w:sz w:val="21"/>
                <w:szCs w:val="21"/>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vAlign w:val="center"/>
          </w:tcPr>
          <w:p>
            <w:pPr>
              <w:spacing w:line="240" w:lineRule="auto"/>
              <w:ind w:firstLine="0" w:firstLineChars="0"/>
              <w:jc w:val="center"/>
              <w:rPr>
                <w:sz w:val="21"/>
                <w:szCs w:val="21"/>
                <w:lang w:val="zh-CN"/>
              </w:rPr>
            </w:pPr>
            <w:r>
              <w:rPr>
                <w:rFonts w:eastAsiaTheme="minorEastAsia"/>
                <w:bCs/>
                <w:sz w:val="21"/>
                <w:szCs w:val="21"/>
              </w:rPr>
              <w:t>3</w:t>
            </w:r>
          </w:p>
        </w:tc>
        <w:tc>
          <w:tcPr>
            <w:tcW w:w="708" w:type="dxa"/>
            <w:vMerge w:val="restart"/>
            <w:vAlign w:val="center"/>
          </w:tcPr>
          <w:p>
            <w:pPr>
              <w:spacing w:line="240" w:lineRule="auto"/>
              <w:ind w:firstLine="0" w:firstLineChars="0"/>
              <w:jc w:val="center"/>
              <w:rPr>
                <w:kern w:val="0"/>
                <w:sz w:val="21"/>
                <w:szCs w:val="21"/>
              </w:rPr>
            </w:pPr>
            <w:r>
              <w:rPr>
                <w:rFonts w:hint="eastAsia"/>
                <w:kern w:val="0"/>
                <w:sz w:val="21"/>
                <w:szCs w:val="21"/>
              </w:rPr>
              <w:t>砷</w:t>
            </w:r>
          </w:p>
        </w:tc>
        <w:tc>
          <w:tcPr>
            <w:tcW w:w="991" w:type="dxa"/>
          </w:tcPr>
          <w:p>
            <w:pPr>
              <w:spacing w:line="240" w:lineRule="auto"/>
              <w:ind w:firstLine="0" w:firstLineChars="0"/>
              <w:jc w:val="center"/>
              <w:rPr>
                <w:kern w:val="0"/>
                <w:sz w:val="21"/>
                <w:szCs w:val="21"/>
              </w:rPr>
            </w:pPr>
            <w:r>
              <w:rPr>
                <w:rFonts w:hint="eastAsia"/>
                <w:kern w:val="0"/>
                <w:sz w:val="21"/>
                <w:szCs w:val="21"/>
              </w:rPr>
              <w:t>水田</w:t>
            </w:r>
          </w:p>
        </w:tc>
        <w:tc>
          <w:tcPr>
            <w:tcW w:w="127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30</w:t>
            </w:r>
          </w:p>
        </w:tc>
        <w:tc>
          <w:tcPr>
            <w:tcW w:w="1702"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30</w:t>
            </w:r>
          </w:p>
        </w:tc>
        <w:tc>
          <w:tcPr>
            <w:tcW w:w="1667"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25</w:t>
            </w:r>
          </w:p>
        </w:tc>
        <w:tc>
          <w:tcPr>
            <w:tcW w:w="123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vAlign w:val="center"/>
          </w:tcPr>
          <w:p>
            <w:pPr>
              <w:spacing w:line="240" w:lineRule="auto"/>
              <w:ind w:firstLine="0" w:firstLineChars="0"/>
              <w:jc w:val="center"/>
              <w:rPr>
                <w:rFonts w:eastAsiaTheme="minorEastAsia"/>
                <w:bCs/>
                <w:sz w:val="21"/>
                <w:szCs w:val="21"/>
              </w:rPr>
            </w:pPr>
          </w:p>
        </w:tc>
        <w:tc>
          <w:tcPr>
            <w:tcW w:w="708" w:type="dxa"/>
            <w:vMerge w:val="continue"/>
            <w:vAlign w:val="center"/>
          </w:tcPr>
          <w:p>
            <w:pPr>
              <w:spacing w:line="240" w:lineRule="auto"/>
              <w:ind w:firstLine="0" w:firstLineChars="0"/>
              <w:jc w:val="center"/>
              <w:rPr>
                <w:kern w:val="0"/>
                <w:sz w:val="21"/>
                <w:szCs w:val="21"/>
              </w:rPr>
            </w:pPr>
          </w:p>
        </w:tc>
        <w:tc>
          <w:tcPr>
            <w:tcW w:w="991" w:type="dxa"/>
          </w:tcPr>
          <w:p>
            <w:pPr>
              <w:spacing w:line="240" w:lineRule="auto"/>
              <w:ind w:firstLine="0" w:firstLineChars="0"/>
              <w:jc w:val="center"/>
              <w:rPr>
                <w:kern w:val="0"/>
                <w:sz w:val="21"/>
                <w:szCs w:val="21"/>
              </w:rPr>
            </w:pPr>
            <w:r>
              <w:rPr>
                <w:rFonts w:hint="eastAsia"/>
                <w:kern w:val="0"/>
                <w:sz w:val="21"/>
                <w:szCs w:val="21"/>
              </w:rPr>
              <w:t>其他</w:t>
            </w:r>
          </w:p>
        </w:tc>
        <w:tc>
          <w:tcPr>
            <w:tcW w:w="127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40</w:t>
            </w:r>
          </w:p>
        </w:tc>
        <w:tc>
          <w:tcPr>
            <w:tcW w:w="1702"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40</w:t>
            </w:r>
          </w:p>
        </w:tc>
        <w:tc>
          <w:tcPr>
            <w:tcW w:w="1667"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30</w:t>
            </w:r>
          </w:p>
        </w:tc>
        <w:tc>
          <w:tcPr>
            <w:tcW w:w="123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vAlign w:val="center"/>
          </w:tcPr>
          <w:p>
            <w:pPr>
              <w:spacing w:line="240" w:lineRule="auto"/>
              <w:ind w:firstLine="0" w:firstLineChars="0"/>
              <w:jc w:val="center"/>
              <w:rPr>
                <w:sz w:val="21"/>
                <w:szCs w:val="21"/>
                <w:lang w:val="zh-CN"/>
              </w:rPr>
            </w:pPr>
            <w:r>
              <w:rPr>
                <w:rFonts w:eastAsiaTheme="minorEastAsia"/>
                <w:bCs/>
                <w:sz w:val="21"/>
                <w:szCs w:val="21"/>
              </w:rPr>
              <w:t>4</w:t>
            </w:r>
          </w:p>
        </w:tc>
        <w:tc>
          <w:tcPr>
            <w:tcW w:w="708" w:type="dxa"/>
            <w:vMerge w:val="restart"/>
            <w:vAlign w:val="center"/>
          </w:tcPr>
          <w:p>
            <w:pPr>
              <w:spacing w:line="240" w:lineRule="auto"/>
              <w:ind w:firstLine="0" w:firstLineChars="0"/>
              <w:jc w:val="center"/>
              <w:rPr>
                <w:kern w:val="0"/>
                <w:sz w:val="21"/>
                <w:szCs w:val="21"/>
              </w:rPr>
            </w:pPr>
            <w:r>
              <w:rPr>
                <w:rFonts w:hint="eastAsia"/>
                <w:kern w:val="0"/>
                <w:sz w:val="21"/>
                <w:szCs w:val="21"/>
              </w:rPr>
              <w:t>铅</w:t>
            </w:r>
          </w:p>
        </w:tc>
        <w:tc>
          <w:tcPr>
            <w:tcW w:w="991" w:type="dxa"/>
          </w:tcPr>
          <w:p>
            <w:pPr>
              <w:spacing w:line="240" w:lineRule="auto"/>
              <w:ind w:firstLine="0" w:firstLineChars="0"/>
              <w:jc w:val="center"/>
              <w:rPr>
                <w:kern w:val="0"/>
                <w:sz w:val="21"/>
                <w:szCs w:val="21"/>
              </w:rPr>
            </w:pPr>
            <w:r>
              <w:rPr>
                <w:rFonts w:hint="eastAsia"/>
                <w:kern w:val="0"/>
                <w:sz w:val="21"/>
                <w:szCs w:val="21"/>
              </w:rPr>
              <w:t>水田</w:t>
            </w:r>
          </w:p>
        </w:tc>
        <w:tc>
          <w:tcPr>
            <w:tcW w:w="127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80</w:t>
            </w:r>
          </w:p>
        </w:tc>
        <w:tc>
          <w:tcPr>
            <w:tcW w:w="1702"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100</w:t>
            </w:r>
          </w:p>
        </w:tc>
        <w:tc>
          <w:tcPr>
            <w:tcW w:w="1667"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140</w:t>
            </w:r>
          </w:p>
        </w:tc>
        <w:tc>
          <w:tcPr>
            <w:tcW w:w="123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vAlign w:val="center"/>
          </w:tcPr>
          <w:p>
            <w:pPr>
              <w:spacing w:line="240" w:lineRule="auto"/>
              <w:ind w:firstLine="0" w:firstLineChars="0"/>
              <w:jc w:val="center"/>
              <w:rPr>
                <w:rFonts w:eastAsiaTheme="minorEastAsia"/>
                <w:bCs/>
                <w:sz w:val="21"/>
                <w:szCs w:val="21"/>
              </w:rPr>
            </w:pPr>
          </w:p>
        </w:tc>
        <w:tc>
          <w:tcPr>
            <w:tcW w:w="708" w:type="dxa"/>
            <w:vMerge w:val="continue"/>
            <w:vAlign w:val="center"/>
          </w:tcPr>
          <w:p>
            <w:pPr>
              <w:spacing w:line="240" w:lineRule="auto"/>
              <w:ind w:firstLine="0" w:firstLineChars="0"/>
              <w:jc w:val="center"/>
              <w:rPr>
                <w:kern w:val="0"/>
                <w:sz w:val="21"/>
                <w:szCs w:val="21"/>
              </w:rPr>
            </w:pPr>
          </w:p>
        </w:tc>
        <w:tc>
          <w:tcPr>
            <w:tcW w:w="991" w:type="dxa"/>
          </w:tcPr>
          <w:p>
            <w:pPr>
              <w:spacing w:line="240" w:lineRule="auto"/>
              <w:ind w:firstLine="0" w:firstLineChars="0"/>
              <w:jc w:val="center"/>
              <w:rPr>
                <w:kern w:val="0"/>
                <w:sz w:val="21"/>
                <w:szCs w:val="21"/>
              </w:rPr>
            </w:pPr>
            <w:r>
              <w:rPr>
                <w:rFonts w:hint="eastAsia"/>
                <w:kern w:val="0"/>
                <w:sz w:val="21"/>
                <w:szCs w:val="21"/>
              </w:rPr>
              <w:t>其他</w:t>
            </w:r>
          </w:p>
        </w:tc>
        <w:tc>
          <w:tcPr>
            <w:tcW w:w="127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70</w:t>
            </w:r>
          </w:p>
        </w:tc>
        <w:tc>
          <w:tcPr>
            <w:tcW w:w="1702"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90</w:t>
            </w:r>
          </w:p>
        </w:tc>
        <w:tc>
          <w:tcPr>
            <w:tcW w:w="1667"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120</w:t>
            </w:r>
          </w:p>
        </w:tc>
        <w:tc>
          <w:tcPr>
            <w:tcW w:w="1236" w:type="dxa"/>
          </w:tcPr>
          <w:p>
            <w:pPr>
              <w:spacing w:line="240" w:lineRule="auto"/>
              <w:ind w:firstLine="0" w:firstLineChars="0"/>
              <w:jc w:val="center"/>
              <w:rPr>
                <w:rFonts w:eastAsiaTheme="minorEastAsia"/>
                <w:kern w:val="0"/>
                <w:sz w:val="21"/>
                <w:szCs w:val="21"/>
                <w:lang w:val="zh-CN"/>
              </w:rPr>
            </w:pPr>
            <w:r>
              <w:rPr>
                <w:rFonts w:hint="eastAsia" w:eastAsiaTheme="minorEastAsia"/>
                <w:kern w:val="0"/>
                <w:sz w:val="21"/>
                <w:szCs w:val="21"/>
                <w:lang w:val="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vAlign w:val="center"/>
          </w:tcPr>
          <w:p>
            <w:pPr>
              <w:spacing w:line="240" w:lineRule="auto"/>
              <w:ind w:firstLine="0" w:firstLineChars="0"/>
              <w:jc w:val="center"/>
              <w:rPr>
                <w:sz w:val="21"/>
                <w:szCs w:val="21"/>
                <w:lang w:val="zh-CN"/>
              </w:rPr>
            </w:pPr>
            <w:r>
              <w:rPr>
                <w:rFonts w:hint="eastAsia" w:eastAsiaTheme="minorEastAsia"/>
                <w:bCs/>
                <w:sz w:val="21"/>
                <w:szCs w:val="21"/>
              </w:rPr>
              <w:t>5</w:t>
            </w:r>
          </w:p>
        </w:tc>
        <w:tc>
          <w:tcPr>
            <w:tcW w:w="708" w:type="dxa"/>
            <w:vMerge w:val="restart"/>
            <w:vAlign w:val="center"/>
          </w:tcPr>
          <w:p>
            <w:pPr>
              <w:spacing w:line="240" w:lineRule="auto"/>
              <w:ind w:firstLine="0" w:firstLineChars="0"/>
              <w:jc w:val="center"/>
              <w:rPr>
                <w:kern w:val="0"/>
                <w:sz w:val="21"/>
                <w:szCs w:val="21"/>
              </w:rPr>
            </w:pPr>
            <w:r>
              <w:rPr>
                <w:rFonts w:hint="eastAsia"/>
                <w:kern w:val="0"/>
                <w:sz w:val="21"/>
                <w:szCs w:val="21"/>
              </w:rPr>
              <w:t>铬</w:t>
            </w:r>
          </w:p>
        </w:tc>
        <w:tc>
          <w:tcPr>
            <w:tcW w:w="991" w:type="dxa"/>
          </w:tcPr>
          <w:p>
            <w:pPr>
              <w:spacing w:line="240" w:lineRule="auto"/>
              <w:ind w:firstLine="0" w:firstLineChars="0"/>
              <w:jc w:val="center"/>
              <w:rPr>
                <w:kern w:val="0"/>
                <w:sz w:val="21"/>
                <w:szCs w:val="21"/>
              </w:rPr>
            </w:pPr>
            <w:r>
              <w:rPr>
                <w:rFonts w:hint="eastAsia"/>
                <w:kern w:val="0"/>
                <w:sz w:val="21"/>
                <w:szCs w:val="21"/>
              </w:rPr>
              <w:t>水田</w:t>
            </w:r>
          </w:p>
        </w:tc>
        <w:tc>
          <w:tcPr>
            <w:tcW w:w="127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250</w:t>
            </w:r>
          </w:p>
        </w:tc>
        <w:tc>
          <w:tcPr>
            <w:tcW w:w="1702"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250</w:t>
            </w:r>
          </w:p>
        </w:tc>
        <w:tc>
          <w:tcPr>
            <w:tcW w:w="1667"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300</w:t>
            </w:r>
          </w:p>
        </w:tc>
        <w:tc>
          <w:tcPr>
            <w:tcW w:w="123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vAlign w:val="center"/>
          </w:tcPr>
          <w:p>
            <w:pPr>
              <w:spacing w:line="240" w:lineRule="auto"/>
              <w:ind w:firstLine="0" w:firstLineChars="0"/>
              <w:jc w:val="center"/>
              <w:rPr>
                <w:rFonts w:eastAsiaTheme="minorEastAsia"/>
                <w:bCs/>
                <w:sz w:val="21"/>
                <w:szCs w:val="21"/>
              </w:rPr>
            </w:pPr>
          </w:p>
        </w:tc>
        <w:tc>
          <w:tcPr>
            <w:tcW w:w="708" w:type="dxa"/>
            <w:vMerge w:val="continue"/>
            <w:vAlign w:val="center"/>
          </w:tcPr>
          <w:p>
            <w:pPr>
              <w:spacing w:line="240" w:lineRule="auto"/>
              <w:ind w:firstLine="0" w:firstLineChars="0"/>
              <w:jc w:val="center"/>
              <w:rPr>
                <w:kern w:val="0"/>
                <w:sz w:val="21"/>
                <w:szCs w:val="21"/>
              </w:rPr>
            </w:pPr>
          </w:p>
        </w:tc>
        <w:tc>
          <w:tcPr>
            <w:tcW w:w="991" w:type="dxa"/>
          </w:tcPr>
          <w:p>
            <w:pPr>
              <w:spacing w:line="240" w:lineRule="auto"/>
              <w:ind w:firstLine="0" w:firstLineChars="0"/>
              <w:jc w:val="center"/>
              <w:rPr>
                <w:kern w:val="0"/>
                <w:sz w:val="21"/>
                <w:szCs w:val="21"/>
              </w:rPr>
            </w:pPr>
            <w:r>
              <w:rPr>
                <w:rFonts w:hint="eastAsia"/>
                <w:kern w:val="0"/>
                <w:sz w:val="21"/>
                <w:szCs w:val="21"/>
              </w:rPr>
              <w:t>其他</w:t>
            </w:r>
          </w:p>
        </w:tc>
        <w:tc>
          <w:tcPr>
            <w:tcW w:w="127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150</w:t>
            </w:r>
          </w:p>
        </w:tc>
        <w:tc>
          <w:tcPr>
            <w:tcW w:w="1702"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150</w:t>
            </w:r>
          </w:p>
        </w:tc>
        <w:tc>
          <w:tcPr>
            <w:tcW w:w="1667"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200</w:t>
            </w:r>
          </w:p>
        </w:tc>
        <w:tc>
          <w:tcPr>
            <w:tcW w:w="123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vAlign w:val="center"/>
          </w:tcPr>
          <w:p>
            <w:pPr>
              <w:spacing w:line="240" w:lineRule="auto"/>
              <w:ind w:firstLine="0" w:firstLineChars="0"/>
              <w:jc w:val="center"/>
              <w:rPr>
                <w:sz w:val="21"/>
                <w:szCs w:val="21"/>
                <w:lang w:val="zh-CN"/>
              </w:rPr>
            </w:pPr>
            <w:r>
              <w:rPr>
                <w:rFonts w:hint="eastAsia" w:eastAsiaTheme="minorEastAsia"/>
                <w:bCs/>
                <w:sz w:val="21"/>
                <w:szCs w:val="21"/>
              </w:rPr>
              <w:t>6</w:t>
            </w:r>
          </w:p>
        </w:tc>
        <w:tc>
          <w:tcPr>
            <w:tcW w:w="708" w:type="dxa"/>
            <w:vMerge w:val="restart"/>
            <w:vAlign w:val="center"/>
          </w:tcPr>
          <w:p>
            <w:pPr>
              <w:spacing w:line="240" w:lineRule="auto"/>
              <w:ind w:firstLine="0" w:firstLineChars="0"/>
              <w:jc w:val="center"/>
              <w:rPr>
                <w:kern w:val="0"/>
                <w:sz w:val="21"/>
                <w:szCs w:val="21"/>
              </w:rPr>
            </w:pPr>
            <w:r>
              <w:rPr>
                <w:rFonts w:hint="eastAsia"/>
                <w:kern w:val="0"/>
                <w:sz w:val="21"/>
                <w:szCs w:val="21"/>
              </w:rPr>
              <w:t>铜</w:t>
            </w:r>
          </w:p>
        </w:tc>
        <w:tc>
          <w:tcPr>
            <w:tcW w:w="991" w:type="dxa"/>
          </w:tcPr>
          <w:p>
            <w:pPr>
              <w:spacing w:line="240" w:lineRule="auto"/>
              <w:ind w:firstLine="0" w:firstLineChars="0"/>
              <w:jc w:val="center"/>
              <w:rPr>
                <w:kern w:val="0"/>
                <w:sz w:val="21"/>
                <w:szCs w:val="21"/>
              </w:rPr>
            </w:pPr>
            <w:r>
              <w:rPr>
                <w:rFonts w:hint="eastAsia"/>
                <w:kern w:val="0"/>
                <w:sz w:val="21"/>
                <w:szCs w:val="21"/>
              </w:rPr>
              <w:t>果园</w:t>
            </w:r>
          </w:p>
        </w:tc>
        <w:tc>
          <w:tcPr>
            <w:tcW w:w="127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150</w:t>
            </w:r>
          </w:p>
        </w:tc>
        <w:tc>
          <w:tcPr>
            <w:tcW w:w="1702"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150</w:t>
            </w:r>
          </w:p>
        </w:tc>
        <w:tc>
          <w:tcPr>
            <w:tcW w:w="1667"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200</w:t>
            </w:r>
          </w:p>
        </w:tc>
        <w:tc>
          <w:tcPr>
            <w:tcW w:w="123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vAlign w:val="center"/>
          </w:tcPr>
          <w:p>
            <w:pPr>
              <w:spacing w:line="240" w:lineRule="auto"/>
              <w:ind w:firstLine="0" w:firstLineChars="0"/>
              <w:jc w:val="center"/>
              <w:rPr>
                <w:rFonts w:eastAsiaTheme="minorEastAsia"/>
                <w:bCs/>
                <w:sz w:val="21"/>
                <w:szCs w:val="21"/>
              </w:rPr>
            </w:pPr>
          </w:p>
        </w:tc>
        <w:tc>
          <w:tcPr>
            <w:tcW w:w="708" w:type="dxa"/>
            <w:vMerge w:val="continue"/>
            <w:vAlign w:val="center"/>
          </w:tcPr>
          <w:p>
            <w:pPr>
              <w:spacing w:line="240" w:lineRule="auto"/>
              <w:ind w:firstLine="0" w:firstLineChars="0"/>
              <w:jc w:val="center"/>
              <w:rPr>
                <w:kern w:val="0"/>
                <w:sz w:val="21"/>
                <w:szCs w:val="21"/>
              </w:rPr>
            </w:pPr>
          </w:p>
        </w:tc>
        <w:tc>
          <w:tcPr>
            <w:tcW w:w="991" w:type="dxa"/>
          </w:tcPr>
          <w:p>
            <w:pPr>
              <w:spacing w:line="240" w:lineRule="auto"/>
              <w:ind w:firstLine="0" w:firstLineChars="0"/>
              <w:jc w:val="center"/>
              <w:rPr>
                <w:kern w:val="0"/>
                <w:sz w:val="21"/>
                <w:szCs w:val="21"/>
              </w:rPr>
            </w:pPr>
            <w:r>
              <w:rPr>
                <w:rFonts w:hint="eastAsia"/>
                <w:kern w:val="0"/>
                <w:sz w:val="21"/>
                <w:szCs w:val="21"/>
              </w:rPr>
              <w:t>其他</w:t>
            </w:r>
          </w:p>
        </w:tc>
        <w:tc>
          <w:tcPr>
            <w:tcW w:w="127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50</w:t>
            </w:r>
          </w:p>
        </w:tc>
        <w:tc>
          <w:tcPr>
            <w:tcW w:w="1702"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50</w:t>
            </w:r>
          </w:p>
        </w:tc>
        <w:tc>
          <w:tcPr>
            <w:tcW w:w="1667"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100</w:t>
            </w:r>
          </w:p>
        </w:tc>
        <w:tc>
          <w:tcPr>
            <w:tcW w:w="123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spacing w:line="240" w:lineRule="auto"/>
              <w:ind w:firstLine="0" w:firstLineChars="0"/>
              <w:jc w:val="center"/>
              <w:rPr>
                <w:sz w:val="21"/>
                <w:szCs w:val="21"/>
                <w:lang w:val="zh-CN"/>
              </w:rPr>
            </w:pPr>
            <w:r>
              <w:rPr>
                <w:rFonts w:hint="eastAsia" w:eastAsiaTheme="minorEastAsia"/>
                <w:bCs/>
                <w:sz w:val="21"/>
                <w:szCs w:val="21"/>
              </w:rPr>
              <w:t>7</w:t>
            </w:r>
          </w:p>
        </w:tc>
        <w:tc>
          <w:tcPr>
            <w:tcW w:w="1699" w:type="dxa"/>
            <w:gridSpan w:val="2"/>
            <w:vAlign w:val="center"/>
          </w:tcPr>
          <w:p>
            <w:pPr>
              <w:spacing w:line="240" w:lineRule="auto"/>
              <w:ind w:firstLine="0" w:firstLineChars="0"/>
              <w:jc w:val="center"/>
              <w:rPr>
                <w:kern w:val="0"/>
                <w:sz w:val="21"/>
                <w:szCs w:val="21"/>
              </w:rPr>
            </w:pPr>
            <w:r>
              <w:rPr>
                <w:rFonts w:hint="eastAsia"/>
                <w:kern w:val="0"/>
                <w:sz w:val="21"/>
                <w:szCs w:val="21"/>
              </w:rPr>
              <w:t>镍</w:t>
            </w:r>
          </w:p>
        </w:tc>
        <w:tc>
          <w:tcPr>
            <w:tcW w:w="127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60</w:t>
            </w:r>
          </w:p>
        </w:tc>
        <w:tc>
          <w:tcPr>
            <w:tcW w:w="1702"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70</w:t>
            </w:r>
          </w:p>
        </w:tc>
        <w:tc>
          <w:tcPr>
            <w:tcW w:w="1667"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100</w:t>
            </w:r>
          </w:p>
        </w:tc>
        <w:tc>
          <w:tcPr>
            <w:tcW w:w="1236" w:type="dxa"/>
          </w:tcPr>
          <w:p>
            <w:pPr>
              <w:spacing w:line="240" w:lineRule="auto"/>
              <w:ind w:firstLine="0" w:firstLineChars="0"/>
              <w:jc w:val="center"/>
              <w:rPr>
                <w:rFonts w:eastAsiaTheme="minorEastAsia"/>
                <w:kern w:val="0"/>
                <w:sz w:val="21"/>
                <w:szCs w:val="21"/>
              </w:rPr>
            </w:pPr>
            <w:r>
              <w:rPr>
                <w:rFonts w:hint="eastAsia" w:eastAsiaTheme="minorEastAsia"/>
                <w:kern w:val="0"/>
                <w:sz w:val="21"/>
                <w:szCs w:val="21"/>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tcPr>
          <w:p>
            <w:pPr>
              <w:spacing w:line="240" w:lineRule="auto"/>
              <w:ind w:firstLine="0" w:firstLineChars="0"/>
              <w:jc w:val="center"/>
              <w:rPr>
                <w:sz w:val="21"/>
                <w:szCs w:val="21"/>
                <w:lang w:val="zh-CN"/>
              </w:rPr>
            </w:pPr>
            <w:r>
              <w:rPr>
                <w:rFonts w:hint="eastAsia" w:eastAsiaTheme="minorEastAsia"/>
                <w:bCs/>
                <w:sz w:val="21"/>
                <w:szCs w:val="21"/>
              </w:rPr>
              <w:t>8</w:t>
            </w:r>
          </w:p>
        </w:tc>
        <w:tc>
          <w:tcPr>
            <w:tcW w:w="1699" w:type="dxa"/>
            <w:gridSpan w:val="2"/>
            <w:vAlign w:val="center"/>
          </w:tcPr>
          <w:p>
            <w:pPr>
              <w:spacing w:line="240" w:lineRule="auto"/>
              <w:ind w:firstLine="0" w:firstLineChars="0"/>
              <w:jc w:val="center"/>
              <w:rPr>
                <w:kern w:val="0"/>
                <w:sz w:val="21"/>
                <w:szCs w:val="21"/>
              </w:rPr>
            </w:pPr>
            <w:r>
              <w:rPr>
                <w:rFonts w:hint="eastAsia"/>
                <w:kern w:val="0"/>
                <w:sz w:val="21"/>
                <w:szCs w:val="21"/>
              </w:rPr>
              <w:t>锌</w:t>
            </w:r>
          </w:p>
        </w:tc>
        <w:tc>
          <w:tcPr>
            <w:tcW w:w="1276" w:type="dxa"/>
          </w:tcPr>
          <w:p>
            <w:pPr>
              <w:spacing w:line="240" w:lineRule="auto"/>
              <w:ind w:firstLine="0" w:firstLineChars="0"/>
              <w:jc w:val="center"/>
              <w:rPr>
                <w:kern w:val="0"/>
                <w:sz w:val="21"/>
                <w:szCs w:val="21"/>
              </w:rPr>
            </w:pPr>
            <w:r>
              <w:rPr>
                <w:rFonts w:hint="eastAsia"/>
                <w:kern w:val="0"/>
                <w:sz w:val="21"/>
                <w:szCs w:val="21"/>
              </w:rPr>
              <w:t>200</w:t>
            </w:r>
          </w:p>
        </w:tc>
        <w:tc>
          <w:tcPr>
            <w:tcW w:w="1702" w:type="dxa"/>
          </w:tcPr>
          <w:p>
            <w:pPr>
              <w:spacing w:line="240" w:lineRule="auto"/>
              <w:ind w:firstLine="0" w:firstLineChars="0"/>
              <w:jc w:val="center"/>
              <w:rPr>
                <w:kern w:val="0"/>
                <w:sz w:val="21"/>
                <w:szCs w:val="21"/>
              </w:rPr>
            </w:pPr>
            <w:r>
              <w:rPr>
                <w:rFonts w:hint="eastAsia"/>
                <w:kern w:val="0"/>
                <w:sz w:val="21"/>
                <w:szCs w:val="21"/>
              </w:rPr>
              <w:t>200</w:t>
            </w:r>
          </w:p>
        </w:tc>
        <w:tc>
          <w:tcPr>
            <w:tcW w:w="1667" w:type="dxa"/>
          </w:tcPr>
          <w:p>
            <w:pPr>
              <w:spacing w:line="240" w:lineRule="auto"/>
              <w:ind w:firstLine="0" w:firstLineChars="0"/>
              <w:jc w:val="center"/>
              <w:rPr>
                <w:kern w:val="0"/>
                <w:sz w:val="21"/>
                <w:szCs w:val="21"/>
              </w:rPr>
            </w:pPr>
            <w:r>
              <w:rPr>
                <w:rFonts w:hint="eastAsia"/>
                <w:kern w:val="0"/>
                <w:sz w:val="21"/>
                <w:szCs w:val="21"/>
              </w:rPr>
              <w:t>250</w:t>
            </w:r>
          </w:p>
        </w:tc>
        <w:tc>
          <w:tcPr>
            <w:tcW w:w="1236" w:type="dxa"/>
          </w:tcPr>
          <w:p>
            <w:pPr>
              <w:spacing w:line="240" w:lineRule="auto"/>
              <w:ind w:firstLine="0" w:firstLineChars="0"/>
              <w:jc w:val="center"/>
              <w:rPr>
                <w:kern w:val="0"/>
                <w:sz w:val="21"/>
                <w:szCs w:val="21"/>
              </w:rPr>
            </w:pPr>
            <w:r>
              <w:rPr>
                <w:rFonts w:hint="eastAsia"/>
                <w:kern w:val="0"/>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76" w:type="dxa"/>
            <w:gridSpan w:val="7"/>
          </w:tcPr>
          <w:p>
            <w:pPr>
              <w:spacing w:line="240" w:lineRule="auto"/>
              <w:ind w:firstLine="0" w:firstLineChars="0"/>
              <w:jc w:val="left"/>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注</w:t>
            </w:r>
            <w:r>
              <w:rPr>
                <w:rFonts w:asciiTheme="minorEastAsia" w:hAnsiTheme="minorEastAsia" w:eastAsiaTheme="minorEastAsia"/>
                <w:kern w:val="0"/>
                <w:sz w:val="21"/>
                <w:szCs w:val="21"/>
              </w:rPr>
              <w:t>：①重金属和类金属砷均按元素总量计</w:t>
            </w:r>
            <w:r>
              <w:rPr>
                <w:rFonts w:hint="eastAsia" w:asciiTheme="minorEastAsia" w:hAnsiTheme="minorEastAsia" w:eastAsiaTheme="minorEastAsia"/>
                <w:kern w:val="0"/>
                <w:sz w:val="21"/>
                <w:szCs w:val="21"/>
              </w:rPr>
              <w:t>。</w:t>
            </w:r>
          </w:p>
          <w:p>
            <w:pPr>
              <w:spacing w:line="240" w:lineRule="auto"/>
              <w:ind w:firstLine="0" w:firstLineChars="0"/>
              <w:jc w:val="left"/>
              <w:rPr>
                <w:rFonts w:ascii="微软雅黑" w:hAnsi="微软雅黑" w:eastAsia="微软雅黑" w:cs="微软雅黑"/>
                <w:kern w:val="0"/>
                <w:sz w:val="21"/>
                <w:szCs w:val="21"/>
              </w:rPr>
            </w:pPr>
            <w:r>
              <w:rPr>
                <w:rFonts w:asciiTheme="minorEastAsia" w:hAnsiTheme="minorEastAsia" w:eastAsiaTheme="minorEastAsia"/>
                <w:kern w:val="0"/>
                <w:sz w:val="21"/>
                <w:szCs w:val="21"/>
              </w:rPr>
              <w:t xml:space="preserve">    </w:t>
            </w:r>
            <w:r>
              <w:rPr>
                <w:rFonts w:hint="eastAsia" w:cs="宋体" w:asciiTheme="minorEastAsia" w:hAnsiTheme="minorEastAsia" w:eastAsiaTheme="minorEastAsia"/>
                <w:kern w:val="0"/>
                <w:sz w:val="21"/>
                <w:szCs w:val="21"/>
                <w:lang w:eastAsia="ja-JP"/>
              </w:rPr>
              <w:t>②</w:t>
            </w:r>
            <w:r>
              <w:rPr>
                <w:rFonts w:cs="宋体" w:asciiTheme="minorEastAsia" w:hAnsiTheme="minorEastAsia" w:eastAsiaTheme="minorEastAsia"/>
                <w:kern w:val="0"/>
                <w:sz w:val="21"/>
                <w:szCs w:val="21"/>
                <w:lang w:eastAsia="ja-JP"/>
              </w:rPr>
              <w:t>对于水旱</w:t>
            </w:r>
            <w:r>
              <w:rPr>
                <w:rFonts w:hint="eastAsia" w:cs="微软雅黑" w:asciiTheme="minorEastAsia" w:hAnsiTheme="minorEastAsia" w:eastAsiaTheme="minorEastAsia"/>
                <w:kern w:val="0"/>
                <w:sz w:val="21"/>
                <w:szCs w:val="21"/>
              </w:rPr>
              <w:t>轮作地</w:t>
            </w:r>
            <w:r>
              <w:rPr>
                <w:rFonts w:cs="微软雅黑" w:asciiTheme="minorEastAsia" w:hAnsiTheme="minorEastAsia" w:eastAsiaTheme="minorEastAsia"/>
                <w:kern w:val="0"/>
                <w:sz w:val="21"/>
                <w:szCs w:val="21"/>
              </w:rPr>
              <w:t>，采用</w:t>
            </w:r>
            <w:r>
              <w:rPr>
                <w:rFonts w:hint="eastAsia" w:cs="微软雅黑" w:asciiTheme="minorEastAsia" w:hAnsiTheme="minorEastAsia" w:eastAsiaTheme="minorEastAsia"/>
                <w:kern w:val="0"/>
                <w:sz w:val="21"/>
                <w:szCs w:val="21"/>
              </w:rPr>
              <w:t>其</w:t>
            </w:r>
            <w:r>
              <w:rPr>
                <w:rFonts w:cs="微软雅黑" w:asciiTheme="minorEastAsia" w:hAnsiTheme="minorEastAsia" w:eastAsiaTheme="minorEastAsia"/>
                <w:kern w:val="0"/>
                <w:sz w:val="21"/>
                <w:szCs w:val="21"/>
              </w:rPr>
              <w:t>中较严格</w:t>
            </w:r>
            <w:r>
              <w:rPr>
                <w:rFonts w:hint="eastAsia" w:cs="微软雅黑" w:asciiTheme="minorEastAsia" w:hAnsiTheme="minorEastAsia" w:eastAsiaTheme="minorEastAsia"/>
                <w:kern w:val="0"/>
                <w:sz w:val="21"/>
                <w:szCs w:val="21"/>
              </w:rPr>
              <w:t>的</w:t>
            </w:r>
            <w:r>
              <w:rPr>
                <w:rFonts w:cs="微软雅黑" w:asciiTheme="minorEastAsia" w:hAnsiTheme="minorEastAsia" w:eastAsiaTheme="minorEastAsia"/>
                <w:kern w:val="0"/>
                <w:sz w:val="21"/>
                <w:szCs w:val="21"/>
              </w:rPr>
              <w:t>风险筛选值。</w:t>
            </w:r>
          </w:p>
        </w:tc>
      </w:tr>
    </w:tbl>
    <w:p>
      <w:pPr>
        <w:pStyle w:val="4"/>
      </w:pPr>
      <w:r>
        <w:rPr>
          <w:rFonts w:hint="eastAsia"/>
        </w:rPr>
        <w:t>污染物排放标准</w:t>
      </w:r>
    </w:p>
    <w:p>
      <w:pPr>
        <w:pStyle w:val="5"/>
      </w:pPr>
      <w:r>
        <w:rPr>
          <w:rFonts w:hint="eastAsia"/>
        </w:rPr>
        <w:t>废气</w:t>
      </w:r>
    </w:p>
    <w:p>
      <w:pPr>
        <w:ind w:firstLine="480"/>
      </w:pPr>
      <w:r>
        <w:t>该项目养殖区</w:t>
      </w:r>
      <w:r>
        <w:rPr>
          <w:rFonts w:hint="eastAsia"/>
        </w:rPr>
        <w:t>臭气浓度</w:t>
      </w:r>
      <w:r>
        <w:t>排放执行《畜禽养殖业污染物排放标准》（GB18596-2001）中的规定，</w:t>
      </w:r>
      <w:r>
        <w:rPr>
          <w:rFonts w:hint="eastAsia"/>
        </w:rPr>
        <w:t>氨和硫化氢执行《恶臭污染物排放标准》（GB14554-93）表1中的二级新扩改建标准。</w:t>
      </w:r>
      <w:r>
        <w:t>标准限值见</w:t>
      </w:r>
      <w:r>
        <w:rPr>
          <w:rFonts w:hint="eastAsia"/>
        </w:rPr>
        <w:t>表2.4-6</w:t>
      </w:r>
      <w:r>
        <w:t>。</w:t>
      </w:r>
    </w:p>
    <w:p>
      <w:pPr>
        <w:pStyle w:val="41"/>
      </w:pPr>
      <w:bookmarkStart w:id="30" w:name="_Ref36130867"/>
      <w:r>
        <w:rPr>
          <w:rFonts w:hint="eastAsia" w:ascii="宋体" w:hAnsi="宋体" w:eastAsia="宋体" w:cs="宋体"/>
        </w:rPr>
        <w:t>表</w:t>
      </w:r>
      <w:r>
        <w:fldChar w:fldCharType="begin"/>
      </w:r>
      <w:r>
        <w:rPr>
          <w:rFonts w:hint="eastAsia"/>
        </w:rPr>
        <w:instrText xml:space="preserve">STYLEREF 2 \s</w:instrText>
      </w:r>
      <w:r>
        <w:fldChar w:fldCharType="separate"/>
      </w:r>
      <w:r>
        <w:t>2.4</w:t>
      </w:r>
      <w:r>
        <w:fldChar w:fldCharType="end"/>
      </w:r>
      <w:r>
        <w:noBreakHyphen/>
      </w:r>
      <w:bookmarkEnd w:id="30"/>
      <w:r>
        <w:rPr>
          <w:rFonts w:eastAsiaTheme="minorEastAsia"/>
        </w:rPr>
        <w:t xml:space="preserve">6  </w:t>
      </w:r>
      <w:r>
        <w:rPr>
          <w:rFonts w:hint="eastAsia" w:ascii="宋体" w:hAnsi="宋体" w:eastAsia="宋体" w:cs="宋体"/>
        </w:rPr>
        <w:t>养殖场</w:t>
      </w:r>
      <w:r>
        <w:rPr>
          <w:rFonts w:ascii="宋体" w:hAnsi="宋体" w:eastAsia="宋体" w:cs="宋体"/>
        </w:rPr>
        <w:t>废气污染物排放标准</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064"/>
        <w:gridCol w:w="4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481" w:type="dxa"/>
            <w:vAlign w:val="center"/>
          </w:tcPr>
          <w:p>
            <w:pPr>
              <w:pStyle w:val="40"/>
            </w:pPr>
            <w:r>
              <w:t>控制项目</w:t>
            </w:r>
          </w:p>
        </w:tc>
        <w:tc>
          <w:tcPr>
            <w:tcW w:w="2064" w:type="dxa"/>
            <w:vAlign w:val="center"/>
          </w:tcPr>
          <w:p>
            <w:pPr>
              <w:pStyle w:val="40"/>
            </w:pPr>
            <w:r>
              <w:t>标准值</w:t>
            </w:r>
            <w:r>
              <w:rPr>
                <w:rFonts w:hint="eastAsia"/>
              </w:rPr>
              <w:t>（mg/m</w:t>
            </w:r>
            <w:r>
              <w:rPr>
                <w:rFonts w:hint="eastAsia"/>
                <w:vertAlign w:val="superscript"/>
              </w:rPr>
              <w:t>3</w:t>
            </w:r>
            <w:r>
              <w:rPr>
                <w:rFonts w:hint="eastAsia"/>
              </w:rPr>
              <w:t>）</w:t>
            </w:r>
          </w:p>
        </w:tc>
        <w:tc>
          <w:tcPr>
            <w:tcW w:w="4731" w:type="dxa"/>
            <w:vAlign w:val="center"/>
          </w:tcPr>
          <w:p>
            <w:pPr>
              <w:pStyle w:val="40"/>
            </w:pPr>
            <w:r>
              <w:rPr>
                <w:rFonts w:hint="eastAsia"/>
              </w:rPr>
              <w:t>标准</w:t>
            </w:r>
            <w: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Align w:val="center"/>
          </w:tcPr>
          <w:p>
            <w:pPr>
              <w:pStyle w:val="40"/>
            </w:pPr>
            <w:r>
              <w:t>臭气浓度</w:t>
            </w:r>
          </w:p>
        </w:tc>
        <w:tc>
          <w:tcPr>
            <w:tcW w:w="2064" w:type="dxa"/>
            <w:vAlign w:val="center"/>
          </w:tcPr>
          <w:p>
            <w:pPr>
              <w:pStyle w:val="40"/>
            </w:pPr>
            <w:r>
              <w:t>70（无量纲）</w:t>
            </w:r>
          </w:p>
        </w:tc>
        <w:tc>
          <w:tcPr>
            <w:tcW w:w="4731" w:type="dxa"/>
            <w:vAlign w:val="center"/>
          </w:tcPr>
          <w:p>
            <w:pPr>
              <w:pStyle w:val="58"/>
              <w:jc w:val="center"/>
              <w:rPr>
                <w:color w:val="auto"/>
                <w:sz w:val="21"/>
                <w:szCs w:val="21"/>
              </w:rPr>
            </w:pPr>
            <w:r>
              <w:rPr>
                <w:rFonts w:hint="eastAsia"/>
                <w:color w:val="auto"/>
                <w:sz w:val="21"/>
                <w:szCs w:val="21"/>
              </w:rPr>
              <w:t>《畜禽养殖业污染物排放标准（</w:t>
            </w:r>
            <w:r>
              <w:rPr>
                <w:rFonts w:ascii="Times New Roman" w:cs="Times New Roman"/>
                <w:color w:val="auto"/>
                <w:sz w:val="21"/>
                <w:szCs w:val="21"/>
              </w:rPr>
              <w:t>GB18596-2001</w:t>
            </w:r>
            <w:r>
              <w:rPr>
                <w:rFonts w:hint="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Align w:val="center"/>
          </w:tcPr>
          <w:p>
            <w:pPr>
              <w:pStyle w:val="40"/>
            </w:pPr>
            <w:r>
              <w:rPr>
                <w:rFonts w:hint="eastAsia"/>
              </w:rPr>
              <w:t>NH</w:t>
            </w:r>
            <w:r>
              <w:rPr>
                <w:rFonts w:hint="eastAsia"/>
                <w:vertAlign w:val="subscript"/>
              </w:rPr>
              <w:t>3</w:t>
            </w:r>
          </w:p>
        </w:tc>
        <w:tc>
          <w:tcPr>
            <w:tcW w:w="2064" w:type="dxa"/>
            <w:vAlign w:val="center"/>
          </w:tcPr>
          <w:p>
            <w:pPr>
              <w:pStyle w:val="40"/>
            </w:pPr>
            <w:r>
              <w:t>1.5</w:t>
            </w:r>
          </w:p>
        </w:tc>
        <w:tc>
          <w:tcPr>
            <w:tcW w:w="4731" w:type="dxa"/>
            <w:vMerge w:val="restart"/>
            <w:vAlign w:val="center"/>
          </w:tcPr>
          <w:p>
            <w:pPr>
              <w:pStyle w:val="58"/>
              <w:ind w:firstLine="420"/>
              <w:jc w:val="center"/>
              <w:rPr>
                <w:color w:val="auto"/>
                <w:sz w:val="21"/>
                <w:szCs w:val="21"/>
              </w:rPr>
            </w:pPr>
            <w:r>
              <w:rPr>
                <w:rFonts w:hint="eastAsia"/>
                <w:color w:val="auto"/>
                <w:sz w:val="21"/>
                <w:szCs w:val="21"/>
              </w:rPr>
              <w:t>《恶臭污染物排放标准》（</w:t>
            </w:r>
            <w:r>
              <w:rPr>
                <w:rFonts w:ascii="Times New Roman" w:cs="Times New Roman"/>
                <w:color w:val="auto"/>
                <w:sz w:val="21"/>
                <w:szCs w:val="21"/>
              </w:rPr>
              <w:t>GB14554-93</w:t>
            </w:r>
            <w:r>
              <w:rPr>
                <w:rFonts w:hint="eastAsia"/>
                <w:color w:val="auto"/>
                <w:sz w:val="21"/>
                <w:szCs w:val="21"/>
              </w:rPr>
              <w:t>）二级新扩改建标准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Align w:val="center"/>
          </w:tcPr>
          <w:p>
            <w:pPr>
              <w:pStyle w:val="40"/>
            </w:pPr>
            <w:r>
              <w:rPr>
                <w:rFonts w:hint="eastAsia"/>
              </w:rPr>
              <w:t>H</w:t>
            </w:r>
            <w:r>
              <w:rPr>
                <w:rFonts w:hint="eastAsia"/>
                <w:vertAlign w:val="subscript"/>
              </w:rPr>
              <w:t>2</w:t>
            </w:r>
            <w:r>
              <w:rPr>
                <w:rFonts w:hint="eastAsia"/>
              </w:rPr>
              <w:t>S</w:t>
            </w:r>
          </w:p>
        </w:tc>
        <w:tc>
          <w:tcPr>
            <w:tcW w:w="2064" w:type="dxa"/>
            <w:vAlign w:val="center"/>
          </w:tcPr>
          <w:p>
            <w:pPr>
              <w:pStyle w:val="40"/>
            </w:pPr>
            <w:r>
              <w:t>0.06</w:t>
            </w:r>
          </w:p>
        </w:tc>
        <w:tc>
          <w:tcPr>
            <w:tcW w:w="4731" w:type="dxa"/>
            <w:vMerge w:val="continue"/>
            <w:vAlign w:val="center"/>
          </w:tcPr>
          <w:p>
            <w:pPr>
              <w:pStyle w:val="40"/>
            </w:pPr>
          </w:p>
        </w:tc>
      </w:tr>
    </w:tbl>
    <w:p>
      <w:pPr>
        <w:pStyle w:val="5"/>
      </w:pPr>
      <w:r>
        <w:rPr>
          <w:rFonts w:hint="eastAsia"/>
        </w:rPr>
        <w:t>废水</w:t>
      </w:r>
    </w:p>
    <w:p>
      <w:pPr>
        <w:ind w:firstLine="480"/>
      </w:pPr>
      <w:r>
        <w:rPr>
          <w:rFonts w:hint="eastAsia"/>
        </w:rPr>
        <w:t>项目营运期厂区内雨污分流、干湿分离。产生的废水分为两类：养殖废水和生活</w:t>
      </w:r>
      <w:r>
        <w:t>污水</w:t>
      </w:r>
      <w:r>
        <w:rPr>
          <w:rFonts w:hint="eastAsia"/>
        </w:rPr>
        <w:t>，生活污水经化粪池处理后进入</w:t>
      </w:r>
      <w:r>
        <w:t>污水处理</w:t>
      </w:r>
      <w:r>
        <w:rPr>
          <w:rFonts w:hint="eastAsia"/>
        </w:rPr>
        <w:t>系统与养殖废水一并经“厌氧</w:t>
      </w:r>
      <w:r>
        <w:t>发酵池</w:t>
      </w:r>
      <w:r>
        <w:rPr>
          <w:rFonts w:hint="eastAsia"/>
        </w:rPr>
        <w:t>”</w:t>
      </w:r>
      <w:r>
        <w:t>处理后</w:t>
      </w:r>
      <w:r>
        <w:rPr>
          <w:rFonts w:hint="eastAsia"/>
        </w:rPr>
        <w:t>回用于魔芋、林果等种植农田施肥，不外排。</w:t>
      </w:r>
    </w:p>
    <w:p>
      <w:pPr>
        <w:ind w:firstLine="480"/>
      </w:pPr>
      <w:r>
        <w:rPr>
          <w:rFonts w:hint="eastAsia"/>
        </w:rPr>
        <w:t>猪舍采用干清粪工艺，生产过程中干清粪工艺最高允许排水量执行《畜禽养殖业污染物排放标准》（GB18596-2001）中表</w:t>
      </w:r>
      <w:r>
        <w:t>4</w:t>
      </w:r>
      <w:r>
        <w:rPr>
          <w:rFonts w:hint="eastAsia"/>
        </w:rPr>
        <w:t>要求</w:t>
      </w:r>
      <w:r>
        <w:t>，</w:t>
      </w:r>
      <w:r>
        <w:rPr>
          <w:rStyle w:val="80"/>
        </w:rPr>
        <w:t>具体</w:t>
      </w:r>
      <w:r>
        <w:rPr>
          <w:rStyle w:val="80"/>
          <w:rFonts w:hint="eastAsia"/>
        </w:rPr>
        <w:t>见表2.4-7。</w:t>
      </w:r>
    </w:p>
    <w:p>
      <w:pPr>
        <w:pStyle w:val="41"/>
      </w:pPr>
      <w:bookmarkStart w:id="31" w:name="_Ref36131192"/>
      <w:r>
        <w:rPr>
          <w:rFonts w:hint="eastAsia" w:ascii="宋体" w:hAnsi="宋体" w:eastAsia="宋体" w:cs="宋体"/>
        </w:rPr>
        <w:t>表</w:t>
      </w:r>
      <w:r>
        <w:fldChar w:fldCharType="begin"/>
      </w:r>
      <w:r>
        <w:rPr>
          <w:rFonts w:hint="eastAsia"/>
        </w:rPr>
        <w:instrText xml:space="preserve">STYLEREF 2 \s</w:instrText>
      </w:r>
      <w:r>
        <w:fldChar w:fldCharType="separate"/>
      </w:r>
      <w:r>
        <w:t>2.4</w:t>
      </w:r>
      <w:r>
        <w:fldChar w:fldCharType="end"/>
      </w:r>
      <w:r>
        <w:noBreakHyphen/>
      </w:r>
      <w:bookmarkEnd w:id="31"/>
      <w:r>
        <w:rPr>
          <w:rFonts w:eastAsiaTheme="minorEastAsia"/>
        </w:rPr>
        <w:t xml:space="preserve">7  </w:t>
      </w:r>
      <w:r>
        <w:rPr>
          <w:rFonts w:hint="eastAsia" w:ascii="宋体" w:hAnsi="宋体" w:eastAsia="宋体" w:cs="宋体"/>
        </w:rPr>
        <w:t>集约化畜禽养殖场干清粪工艺最高允许排放量</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2764"/>
        <w:gridCol w:w="2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48" w:type="dxa"/>
            <w:vAlign w:val="center"/>
          </w:tcPr>
          <w:p>
            <w:pPr>
              <w:pStyle w:val="40"/>
              <w:ind w:left="115" w:right="170"/>
            </w:pPr>
            <w:r>
              <w:rPr>
                <w:rFonts w:hint="eastAsia"/>
              </w:rPr>
              <w:t>种类</w:t>
            </w:r>
          </w:p>
        </w:tc>
        <w:tc>
          <w:tcPr>
            <w:tcW w:w="5528" w:type="dxa"/>
            <w:gridSpan w:val="2"/>
            <w:vAlign w:val="center"/>
          </w:tcPr>
          <w:p>
            <w:pPr>
              <w:pStyle w:val="40"/>
              <w:ind w:left="115" w:right="170"/>
            </w:pPr>
            <w:r>
              <w:rPr>
                <w:rFonts w:hint="eastAsia"/>
              </w:rPr>
              <w:t>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48" w:type="dxa"/>
            <w:vAlign w:val="center"/>
          </w:tcPr>
          <w:p>
            <w:pPr>
              <w:pStyle w:val="40"/>
              <w:ind w:left="115" w:right="170"/>
            </w:pPr>
            <w:r>
              <w:rPr>
                <w:rFonts w:hint="eastAsia"/>
              </w:rPr>
              <w:t>季节</w:t>
            </w:r>
          </w:p>
        </w:tc>
        <w:tc>
          <w:tcPr>
            <w:tcW w:w="2764" w:type="dxa"/>
            <w:vAlign w:val="center"/>
          </w:tcPr>
          <w:p>
            <w:pPr>
              <w:pStyle w:val="40"/>
              <w:ind w:left="115" w:right="170"/>
            </w:pPr>
            <w:r>
              <w:rPr>
                <w:rFonts w:hint="eastAsia"/>
              </w:rPr>
              <w:t>冬季</w:t>
            </w:r>
          </w:p>
        </w:tc>
        <w:tc>
          <w:tcPr>
            <w:tcW w:w="2764" w:type="dxa"/>
            <w:vAlign w:val="center"/>
          </w:tcPr>
          <w:p>
            <w:pPr>
              <w:pStyle w:val="40"/>
              <w:ind w:left="115" w:right="170"/>
            </w:pPr>
            <w:r>
              <w:rPr>
                <w:rFonts w:hint="eastAsia"/>
              </w:rPr>
              <w:t>夏季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48" w:type="dxa"/>
            <w:vAlign w:val="center"/>
          </w:tcPr>
          <w:p>
            <w:pPr>
              <w:pStyle w:val="40"/>
              <w:ind w:left="115" w:right="170"/>
            </w:pPr>
            <w:r>
              <w:rPr>
                <w:rFonts w:hint="eastAsia"/>
              </w:rPr>
              <w:t>标准</w:t>
            </w:r>
            <w:r>
              <w:t>值</w:t>
            </w:r>
          </w:p>
        </w:tc>
        <w:tc>
          <w:tcPr>
            <w:tcW w:w="2764" w:type="dxa"/>
            <w:vAlign w:val="center"/>
          </w:tcPr>
          <w:p>
            <w:pPr>
              <w:pStyle w:val="40"/>
              <w:ind w:left="115" w:right="170"/>
              <w:rPr>
                <w:szCs w:val="21"/>
              </w:rPr>
            </w:pPr>
            <w:r>
              <w:rPr>
                <w:szCs w:val="21"/>
              </w:rPr>
              <w:t>1.2 m</w:t>
            </w:r>
            <w:r>
              <w:rPr>
                <w:szCs w:val="21"/>
                <w:vertAlign w:val="superscript"/>
              </w:rPr>
              <w:t>3</w:t>
            </w:r>
            <w:r>
              <w:rPr>
                <w:szCs w:val="21"/>
              </w:rPr>
              <w:t>/(</w:t>
            </w:r>
            <w:r>
              <w:rPr>
                <w:rFonts w:hint="eastAsia" w:ascii="宋体" w:cs="宋体"/>
                <w:szCs w:val="21"/>
              </w:rPr>
              <w:t>百头</w:t>
            </w:r>
            <w:r>
              <w:rPr>
                <w:szCs w:val="21"/>
              </w:rPr>
              <w:t xml:space="preserve">·d) </w:t>
            </w:r>
          </w:p>
        </w:tc>
        <w:tc>
          <w:tcPr>
            <w:tcW w:w="2764" w:type="dxa"/>
            <w:vAlign w:val="center"/>
          </w:tcPr>
          <w:p>
            <w:pPr>
              <w:pStyle w:val="40"/>
              <w:ind w:left="115" w:right="170"/>
              <w:rPr>
                <w:szCs w:val="21"/>
              </w:rPr>
            </w:pPr>
            <w:r>
              <w:rPr>
                <w:szCs w:val="21"/>
              </w:rPr>
              <w:t>1.8 m</w:t>
            </w:r>
            <w:r>
              <w:rPr>
                <w:szCs w:val="21"/>
                <w:vertAlign w:val="superscript"/>
              </w:rPr>
              <w:t>3</w:t>
            </w:r>
            <w:r>
              <w:rPr>
                <w:szCs w:val="21"/>
              </w:rPr>
              <w:t>/(</w:t>
            </w:r>
            <w:r>
              <w:rPr>
                <w:rFonts w:hint="eastAsia" w:ascii="宋体" w:cs="宋体"/>
                <w:szCs w:val="21"/>
              </w:rPr>
              <w:t>百头</w:t>
            </w:r>
            <w:r>
              <w:rPr>
                <w:szCs w:val="21"/>
              </w:rPr>
              <w:t xml:space="preserve">·d) </w:t>
            </w:r>
          </w:p>
        </w:tc>
      </w:tr>
    </w:tbl>
    <w:p>
      <w:pPr>
        <w:ind w:firstLine="480"/>
      </w:pPr>
      <w:r>
        <w:rPr>
          <w:rFonts w:hint="eastAsia"/>
        </w:rPr>
        <w:t>注：废水最高允许排放量的单位中，百头、千只均指存栏数。春、秋废水最高允许排放量按冬、夏两季的平均值计算。</w:t>
      </w:r>
    </w:p>
    <w:p>
      <w:pPr>
        <w:pStyle w:val="5"/>
      </w:pPr>
      <w:r>
        <w:t>噪声</w:t>
      </w:r>
    </w:p>
    <w:p>
      <w:pPr>
        <w:ind w:firstLine="480"/>
      </w:pPr>
      <w:r>
        <w:t>运营期厂界</w:t>
      </w:r>
      <w:r>
        <w:rPr>
          <w:rFonts w:hint="eastAsia"/>
        </w:rPr>
        <w:t>噪声</w:t>
      </w:r>
      <w:r>
        <w:t>执行《工业企业厂界环境噪声排放标准》（GB12348-2008）中2类区标准限值，具体见</w:t>
      </w:r>
      <w:r>
        <w:rPr>
          <w:rFonts w:hint="eastAsia"/>
        </w:rPr>
        <w:t>表2.4-8</w:t>
      </w:r>
      <w:r>
        <w:rPr>
          <w:rStyle w:val="80"/>
        </w:rPr>
        <w:t>。</w:t>
      </w:r>
    </w:p>
    <w:p>
      <w:pPr>
        <w:pStyle w:val="85"/>
        <w:rPr>
          <w:rFonts w:hAnsi="Times New Roman"/>
        </w:rPr>
      </w:pPr>
      <w:bookmarkStart w:id="32" w:name="_Ref36131576"/>
      <w:r>
        <w:rPr>
          <w:rFonts w:hint="eastAsia"/>
        </w:rPr>
        <w:t>表</w:t>
      </w:r>
      <w:bookmarkEnd w:id="32"/>
      <w:r>
        <w:t xml:space="preserve">2.4-8  </w:t>
      </w:r>
      <w:r>
        <w:rPr>
          <w:rFonts w:hAnsi="Times New Roman"/>
        </w:rPr>
        <w:t>工业企业厂界环境噪声排放标准</w:t>
      </w:r>
      <w:r>
        <w:rPr>
          <w:rFonts w:hint="eastAsia" w:hAnsi="Times New Roman"/>
        </w:rPr>
        <w:t xml:space="preserve"> </w:t>
      </w:r>
      <w:r>
        <w:rPr>
          <w:rFonts w:hAnsi="Times New Roman"/>
        </w:rPr>
        <w:t>单位：dB</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2761"/>
        <w:gridCol w:w="2761"/>
        <w:gridCol w:w="2754"/>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446" w:hRule="atLeast"/>
        </w:trPr>
        <w:tc>
          <w:tcPr>
            <w:tcW w:w="2761" w:type="dxa"/>
            <w:vAlign w:val="center"/>
          </w:tcPr>
          <w:p>
            <w:pPr>
              <w:pStyle w:val="40"/>
            </w:pPr>
            <w:r>
              <w:rPr>
                <w:rFonts w:hint="eastAsia"/>
              </w:rPr>
              <w:t>时段</w:t>
            </w:r>
          </w:p>
        </w:tc>
        <w:tc>
          <w:tcPr>
            <w:tcW w:w="2761" w:type="dxa"/>
            <w:vAlign w:val="center"/>
          </w:tcPr>
          <w:p>
            <w:pPr>
              <w:pStyle w:val="40"/>
            </w:pPr>
            <w:r>
              <w:rPr>
                <w:rFonts w:hint="eastAsia"/>
              </w:rPr>
              <w:t>昼间</w:t>
            </w:r>
          </w:p>
        </w:tc>
        <w:tc>
          <w:tcPr>
            <w:tcW w:w="2754" w:type="dxa"/>
            <w:vAlign w:val="center"/>
          </w:tcPr>
          <w:p>
            <w:pPr>
              <w:pStyle w:val="40"/>
            </w:pPr>
            <w:r>
              <w:rPr>
                <w:rFonts w:hint="eastAsia"/>
              </w:rPr>
              <w:t>夜间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07" w:hRule="atLeast"/>
        </w:trPr>
        <w:tc>
          <w:tcPr>
            <w:tcW w:w="2761" w:type="dxa"/>
            <w:vAlign w:val="center"/>
          </w:tcPr>
          <w:p>
            <w:pPr>
              <w:pStyle w:val="40"/>
            </w:pPr>
            <w:r>
              <w:rPr>
                <w:rFonts w:hint="eastAsia" w:ascii="宋体"/>
              </w:rPr>
              <w:t>标准值</w:t>
            </w:r>
          </w:p>
        </w:tc>
        <w:tc>
          <w:tcPr>
            <w:tcW w:w="2761" w:type="dxa"/>
            <w:vAlign w:val="center"/>
          </w:tcPr>
          <w:p>
            <w:pPr>
              <w:pStyle w:val="40"/>
            </w:pPr>
            <w:r>
              <w:t>60</w:t>
            </w:r>
          </w:p>
        </w:tc>
        <w:tc>
          <w:tcPr>
            <w:tcW w:w="2754" w:type="dxa"/>
            <w:vAlign w:val="center"/>
          </w:tcPr>
          <w:p>
            <w:pPr>
              <w:pStyle w:val="40"/>
            </w:pPr>
            <w:r>
              <w:rPr>
                <w:rFonts w:hint="eastAsia"/>
              </w:rPr>
              <w:t>5</w:t>
            </w:r>
            <w:r>
              <w:t>0</w:t>
            </w:r>
          </w:p>
        </w:tc>
      </w:tr>
    </w:tbl>
    <w:p>
      <w:pPr>
        <w:pStyle w:val="5"/>
      </w:pPr>
      <w:r>
        <w:rPr>
          <w:rFonts w:hint="eastAsia"/>
        </w:rPr>
        <w:t>固废</w:t>
      </w:r>
    </w:p>
    <w:p>
      <w:pPr>
        <w:ind w:firstLine="480"/>
      </w:pPr>
      <w:r>
        <w:t>猪粪执行《畜禽养殖业污染物排放标准》（GB18596-2001）中表6标准，见</w:t>
      </w:r>
      <w:r>
        <w:rPr>
          <w:rStyle w:val="80"/>
          <w:rFonts w:hint="eastAsia"/>
        </w:rPr>
        <w:t>表2.4-</w:t>
      </w:r>
      <w:r>
        <w:rPr>
          <w:rStyle w:val="80"/>
        </w:rPr>
        <w:t>9；</w:t>
      </w:r>
      <w:r>
        <w:t>病死猪尸体的处理与处置执行《畜禽养殖业污染防治技术规范（HJ/T81-2001）要求。医疗废物贮存执行《危险废物贮存污染控制标准》（GB18597-2001）。其他固废执行《一般工业固体废物贮存和填埋污染控制标准》（GB18599-2020）。</w:t>
      </w:r>
    </w:p>
    <w:p>
      <w:pPr>
        <w:pStyle w:val="41"/>
      </w:pPr>
      <w:bookmarkStart w:id="33" w:name="_Ref36131598"/>
      <w:r>
        <w:rPr>
          <w:rFonts w:hint="eastAsia" w:ascii="宋体" w:hAnsi="宋体" w:eastAsia="宋体" w:cs="宋体"/>
        </w:rPr>
        <w:t>表</w:t>
      </w:r>
      <w:r>
        <w:fldChar w:fldCharType="begin"/>
      </w:r>
      <w:r>
        <w:rPr>
          <w:rFonts w:hint="eastAsia"/>
        </w:rPr>
        <w:instrText xml:space="preserve">STYLEREF 2 \s</w:instrText>
      </w:r>
      <w:r>
        <w:fldChar w:fldCharType="separate"/>
      </w:r>
      <w:r>
        <w:t>2.4</w:t>
      </w:r>
      <w:r>
        <w:fldChar w:fldCharType="end"/>
      </w:r>
      <w:r>
        <w:noBreakHyphen/>
      </w:r>
      <w:bookmarkEnd w:id="33"/>
      <w:r>
        <w:rPr>
          <w:rFonts w:eastAsiaTheme="minorEastAsia"/>
        </w:rPr>
        <w:t xml:space="preserve">9  </w:t>
      </w:r>
      <w:r>
        <w:rPr>
          <w:rFonts w:hint="eastAsia" w:ascii="宋体" w:hAnsi="宋体" w:eastAsia="宋体" w:cs="宋体"/>
        </w:rPr>
        <w:t>畜禽养殖业废渣无害化</w:t>
      </w:r>
      <w:r>
        <w:rPr>
          <w:rFonts w:ascii="宋体" w:hAnsi="宋体" w:eastAsia="宋体" w:cs="宋体"/>
        </w:rPr>
        <w:t>环境标准</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3350"/>
        <w:gridCol w:w="3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77" w:type="dxa"/>
            <w:vAlign w:val="center"/>
          </w:tcPr>
          <w:p>
            <w:pPr>
              <w:pStyle w:val="40"/>
            </w:pPr>
            <w:r>
              <w:t>控制项目</w:t>
            </w:r>
          </w:p>
        </w:tc>
        <w:tc>
          <w:tcPr>
            <w:tcW w:w="3350" w:type="dxa"/>
            <w:vAlign w:val="center"/>
          </w:tcPr>
          <w:p>
            <w:pPr>
              <w:pStyle w:val="40"/>
            </w:pPr>
            <w:r>
              <w:t>蛔虫卵</w:t>
            </w:r>
          </w:p>
        </w:tc>
        <w:tc>
          <w:tcPr>
            <w:tcW w:w="3049" w:type="dxa"/>
            <w:vAlign w:val="center"/>
          </w:tcPr>
          <w:p>
            <w:pPr>
              <w:pStyle w:val="40"/>
            </w:pPr>
            <w:r>
              <w:t>粪大肠菌群数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77" w:type="dxa"/>
            <w:vAlign w:val="center"/>
          </w:tcPr>
          <w:p>
            <w:pPr>
              <w:pStyle w:val="40"/>
            </w:pPr>
            <w:r>
              <w:t>指标</w:t>
            </w:r>
          </w:p>
        </w:tc>
        <w:tc>
          <w:tcPr>
            <w:tcW w:w="3350" w:type="dxa"/>
            <w:vAlign w:val="center"/>
          </w:tcPr>
          <w:p>
            <w:pPr>
              <w:pStyle w:val="40"/>
            </w:pPr>
            <w:r>
              <w:t>死亡率≥95%</w:t>
            </w:r>
          </w:p>
        </w:tc>
        <w:tc>
          <w:tcPr>
            <w:tcW w:w="3049" w:type="dxa"/>
            <w:vAlign w:val="center"/>
          </w:tcPr>
          <w:p>
            <w:pPr>
              <w:pStyle w:val="40"/>
            </w:pPr>
            <w:r>
              <w:t>≤10</w:t>
            </w:r>
            <w:r>
              <w:rPr>
                <w:vertAlign w:val="superscript"/>
              </w:rPr>
              <w:t>5</w:t>
            </w:r>
            <w:r>
              <w:t>个/kg</w:t>
            </w:r>
          </w:p>
        </w:tc>
      </w:tr>
    </w:tbl>
    <w:p>
      <w:pPr>
        <w:pStyle w:val="5"/>
      </w:pPr>
      <w:r>
        <w:t>其他标准</w:t>
      </w:r>
    </w:p>
    <w:p>
      <w:pPr>
        <w:ind w:firstLine="480"/>
        <w:rPr>
          <w:b/>
          <w:sz w:val="28"/>
          <w:szCs w:val="28"/>
        </w:rPr>
      </w:pPr>
      <w:r>
        <w:rPr>
          <w:bCs/>
          <w:kern w:val="0"/>
        </w:rPr>
        <w:t>根据《畜禽养殖业污染防治技术规范》（HJ/T81-2001），厂界与禁建区域（本项目体现为村庄）边界的最小距离不得小于500m，</w:t>
      </w:r>
      <w:r>
        <w:t>粪便储存设施距地表水体不得小于400m。</w:t>
      </w:r>
    </w:p>
    <w:p>
      <w:pPr>
        <w:pStyle w:val="3"/>
      </w:pPr>
      <w:bookmarkStart w:id="34" w:name="_Toc488102150"/>
      <w:bookmarkStart w:id="35" w:name="_Toc108422224"/>
      <w:r>
        <w:rPr>
          <w:rFonts w:hint="eastAsia"/>
        </w:rPr>
        <w:t>评价工作等级和评价范围</w:t>
      </w:r>
      <w:bookmarkEnd w:id="34"/>
      <w:bookmarkEnd w:id="35"/>
    </w:p>
    <w:p>
      <w:pPr>
        <w:pStyle w:val="4"/>
      </w:pPr>
      <w:r>
        <w:rPr>
          <w:rFonts w:hint="eastAsia"/>
        </w:rPr>
        <w:t>评价工作等级</w:t>
      </w:r>
    </w:p>
    <w:p>
      <w:pPr>
        <w:pStyle w:val="5"/>
      </w:pPr>
      <w:r>
        <w:rPr>
          <w:rFonts w:hint="eastAsia"/>
        </w:rPr>
        <w:t>环境空气评价等级划分</w:t>
      </w:r>
    </w:p>
    <w:p>
      <w:pPr>
        <w:ind w:firstLine="480"/>
      </w:pPr>
      <w:r>
        <w:rPr>
          <w:rFonts w:hint="eastAsia"/>
        </w:rPr>
        <w:t>根据</w:t>
      </w:r>
      <w:r>
        <w:t>《环境影响评价技术导则-大气环境》（HJ2.2-2018）中的有关规定，将大气环境影响评价工作分为一、二、三级，划分依据见</w:t>
      </w:r>
      <w:r>
        <w:fldChar w:fldCharType="begin"/>
      </w:r>
      <w:r>
        <w:instrText xml:space="preserve"> REF _Ref27042141 \h  \* MERGEFORMAT </w:instrText>
      </w:r>
      <w:r>
        <w:fldChar w:fldCharType="separate"/>
      </w:r>
      <w:r>
        <w:t>表2.5</w:t>
      </w:r>
      <w:r>
        <w:noBreakHyphen/>
      </w:r>
      <w:r>
        <w:t>1</w:t>
      </w:r>
      <w:r>
        <w:fldChar w:fldCharType="end"/>
      </w:r>
      <w:r>
        <w:t>。</w:t>
      </w:r>
    </w:p>
    <w:p>
      <w:pPr>
        <w:pStyle w:val="85"/>
        <w:rPr>
          <w:rFonts w:hAnsi="Times New Roman"/>
        </w:rPr>
      </w:pPr>
      <w:bookmarkStart w:id="36" w:name="_Ref27042141"/>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36"/>
      <w:r>
        <w:rPr>
          <w:rFonts w:hAnsi="Times New Roman"/>
        </w:rPr>
        <w:t xml:space="preserve"> 评价工作等级判断标准</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5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45" w:type="dxa"/>
            <w:vAlign w:val="center"/>
          </w:tcPr>
          <w:p>
            <w:pPr>
              <w:pStyle w:val="89"/>
              <w:ind w:firstLine="560"/>
            </w:pPr>
            <w:r>
              <w:t>评价工作等级</w:t>
            </w:r>
          </w:p>
        </w:tc>
        <w:tc>
          <w:tcPr>
            <w:tcW w:w="5831" w:type="dxa"/>
            <w:vAlign w:val="center"/>
          </w:tcPr>
          <w:p>
            <w:pPr>
              <w:pStyle w:val="89"/>
              <w:ind w:firstLine="560"/>
            </w:pPr>
            <w: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45" w:type="dxa"/>
            <w:vAlign w:val="center"/>
          </w:tcPr>
          <w:p>
            <w:pPr>
              <w:pStyle w:val="89"/>
              <w:ind w:firstLine="560"/>
            </w:pPr>
            <w:r>
              <w:t>一级</w:t>
            </w:r>
          </w:p>
        </w:tc>
        <w:tc>
          <w:tcPr>
            <w:tcW w:w="5831" w:type="dxa"/>
            <w:vAlign w:val="center"/>
          </w:tcPr>
          <w:p>
            <w:pPr>
              <w:pStyle w:val="89"/>
              <w:ind w:firstLine="560"/>
            </w:pPr>
            <w:r>
              <w:rPr>
                <w:snapToGrid w:val="0"/>
              </w:rPr>
              <w:t>P</w:t>
            </w:r>
            <w:r>
              <w:rPr>
                <w:snapToGrid w:val="0"/>
                <w:vertAlign w:val="subscript"/>
              </w:rPr>
              <w:t>max</w:t>
            </w:r>
            <w:r>
              <w:rPr>
                <w:snapToGrid w:val="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45" w:type="dxa"/>
            <w:vAlign w:val="center"/>
          </w:tcPr>
          <w:p>
            <w:pPr>
              <w:pStyle w:val="89"/>
              <w:ind w:firstLine="560"/>
            </w:pPr>
            <w:r>
              <w:t>二级</w:t>
            </w:r>
          </w:p>
        </w:tc>
        <w:tc>
          <w:tcPr>
            <w:tcW w:w="5831" w:type="dxa"/>
            <w:vAlign w:val="center"/>
          </w:tcPr>
          <w:p>
            <w:pPr>
              <w:pStyle w:val="89"/>
              <w:ind w:firstLine="560"/>
            </w:pPr>
            <w:r>
              <w:rPr>
                <w:snapToGrid w:val="0"/>
              </w:rPr>
              <w:t>1%≤P</w:t>
            </w:r>
            <w:r>
              <w:rPr>
                <w:snapToGrid w:val="0"/>
                <w:vertAlign w:val="subscript"/>
              </w:rPr>
              <w:t>max</w:t>
            </w:r>
            <w:r>
              <w:rPr>
                <w:snapToGrid w:val="0"/>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45" w:type="dxa"/>
            <w:vAlign w:val="center"/>
          </w:tcPr>
          <w:p>
            <w:pPr>
              <w:pStyle w:val="89"/>
              <w:ind w:firstLine="560"/>
            </w:pPr>
            <w:r>
              <w:t>三级</w:t>
            </w:r>
          </w:p>
        </w:tc>
        <w:tc>
          <w:tcPr>
            <w:tcW w:w="5831" w:type="dxa"/>
            <w:vAlign w:val="center"/>
          </w:tcPr>
          <w:p>
            <w:pPr>
              <w:pStyle w:val="89"/>
              <w:ind w:firstLine="560"/>
            </w:pPr>
            <w:r>
              <w:rPr>
                <w:snapToGrid w:val="0"/>
              </w:rPr>
              <w:t>P</w:t>
            </w:r>
            <w:r>
              <w:rPr>
                <w:snapToGrid w:val="0"/>
                <w:vertAlign w:val="subscript"/>
              </w:rPr>
              <w:t>max</w:t>
            </w:r>
            <w:r>
              <w:rPr>
                <w:snapToGrid w:val="0"/>
              </w:rPr>
              <w:t>&lt;1%</w:t>
            </w:r>
          </w:p>
        </w:tc>
      </w:tr>
    </w:tbl>
    <w:p>
      <w:pPr>
        <w:pStyle w:val="79"/>
        <w:ind w:firstLine="480"/>
        <w:rPr>
          <w:rFonts w:cs="Times New Roman"/>
        </w:rPr>
      </w:pPr>
      <w:r>
        <w:rPr>
          <w:rFonts w:cs="Times New Roman"/>
        </w:rPr>
        <w:t>根据导则规定，选取推荐模式中的AERSCREEN 模型对项目的大气环境评价工作进行分级。</w:t>
      </w:r>
    </w:p>
    <w:p>
      <w:pPr>
        <w:ind w:firstLine="480"/>
      </w:pPr>
      <w:r>
        <w:t>经过对建设项目的初步工程分析：项目运营期主要大气污染物为恶臭、</w:t>
      </w:r>
      <w:r>
        <w:rPr>
          <w:rFonts w:hint="eastAsia"/>
        </w:rPr>
        <w:t>食堂油烟</w:t>
      </w:r>
      <w:r>
        <w:rPr>
          <w:kern w:val="44"/>
        </w:rPr>
        <w:t>；</w:t>
      </w:r>
      <w:r>
        <w:t>本项目选取恶臭进行评价等级判定</w:t>
      </w:r>
      <w:r>
        <w:rPr>
          <w:rFonts w:hint="eastAsia"/>
        </w:rPr>
        <w:t>。</w:t>
      </w:r>
    </w:p>
    <w:p>
      <w:pPr>
        <w:ind w:firstLine="480"/>
        <w:rPr>
          <w:kern w:val="10"/>
        </w:rPr>
      </w:pPr>
      <w:r>
        <w:rPr>
          <w:kern w:val="10"/>
        </w:rPr>
        <w:t>经过对建设项目的初步工程分析，本项目分别计算每一种污染物的最大地面浓度占标率Pi及其地面浓度达标准限值10%时所对应的最远距离D10%，其中Pi定义为：</w:t>
      </w:r>
    </w:p>
    <w:p>
      <w:pPr>
        <w:ind w:firstLine="480"/>
        <w:jc w:val="center"/>
        <w:rPr>
          <w:kern w:val="10"/>
          <w:lang w:val="pt-BR"/>
        </w:rPr>
      </w:pPr>
      <w:r>
        <w:rPr>
          <w:kern w:val="10"/>
          <w:lang w:val="pt-BR"/>
        </w:rPr>
        <w:t>P</w:t>
      </w:r>
      <w:r>
        <w:rPr>
          <w:kern w:val="10"/>
          <w:vertAlign w:val="subscript"/>
          <w:lang w:val="pt-BR"/>
        </w:rPr>
        <w:t>i</w:t>
      </w:r>
      <w:r>
        <w:rPr>
          <w:kern w:val="10"/>
          <w:lang w:val="pt-BR"/>
        </w:rPr>
        <w:t>=</w:t>
      </w:r>
      <w:r>
        <w:rPr>
          <w:rFonts w:hint="eastAsia"/>
          <w:kern w:val="10"/>
          <w:lang w:val="pt-BR"/>
        </w:rPr>
        <w:t>（</w:t>
      </w:r>
      <w:r>
        <w:rPr>
          <w:kern w:val="10"/>
          <w:lang w:val="pt-BR"/>
        </w:rPr>
        <w:t>C</w:t>
      </w:r>
      <w:r>
        <w:rPr>
          <w:kern w:val="10"/>
          <w:vertAlign w:val="subscript"/>
          <w:lang w:val="pt-BR"/>
        </w:rPr>
        <w:t>i</w:t>
      </w:r>
      <w:r>
        <w:rPr>
          <w:kern w:val="10"/>
          <w:lang w:val="pt-BR"/>
        </w:rPr>
        <w:t>/C</w:t>
      </w:r>
      <w:r>
        <w:rPr>
          <w:kern w:val="10"/>
          <w:vertAlign w:val="subscript"/>
          <w:lang w:val="pt-BR"/>
        </w:rPr>
        <w:t>oi</w:t>
      </w:r>
      <w:r>
        <w:rPr>
          <w:rFonts w:hint="eastAsia"/>
          <w:kern w:val="10"/>
          <w:lang w:val="pt-BR"/>
        </w:rPr>
        <w:t>）</w:t>
      </w:r>
      <w:r>
        <w:rPr>
          <w:kern w:val="10"/>
          <w:lang w:val="pt-BR"/>
        </w:rPr>
        <w:t>×100%</w:t>
      </w:r>
    </w:p>
    <w:p>
      <w:pPr>
        <w:ind w:firstLine="480"/>
        <w:rPr>
          <w:kern w:val="10"/>
          <w:lang w:val="fr-FR"/>
        </w:rPr>
      </w:pPr>
      <w:r>
        <w:rPr>
          <w:kern w:val="10"/>
        </w:rPr>
        <w:t>式中</w:t>
      </w:r>
      <w:r>
        <w:rPr>
          <w:kern w:val="10"/>
          <w:lang w:val="fr-FR"/>
        </w:rPr>
        <w:t>：</w:t>
      </w:r>
    </w:p>
    <w:p>
      <w:pPr>
        <w:ind w:firstLine="480"/>
        <w:rPr>
          <w:kern w:val="10"/>
        </w:rPr>
      </w:pPr>
      <w:r>
        <w:rPr>
          <w:kern w:val="10"/>
        </w:rPr>
        <w:t>P</w:t>
      </w:r>
      <w:r>
        <w:rPr>
          <w:kern w:val="10"/>
          <w:vertAlign w:val="subscript"/>
        </w:rPr>
        <w:t>i</w:t>
      </w:r>
      <w:r>
        <w:rPr>
          <w:kern w:val="10"/>
        </w:rPr>
        <w:t>—第i个污染物的最大地面浓度占标率，%；</w:t>
      </w:r>
    </w:p>
    <w:p>
      <w:pPr>
        <w:ind w:firstLine="480"/>
        <w:rPr>
          <w:kern w:val="10"/>
          <w:vertAlign w:val="superscript"/>
          <w:lang w:val="en-GB"/>
        </w:rPr>
      </w:pPr>
      <w:r>
        <w:rPr>
          <w:kern w:val="10"/>
        </w:rPr>
        <w:t>C</w:t>
      </w:r>
      <w:r>
        <w:rPr>
          <w:kern w:val="10"/>
          <w:vertAlign w:val="subscript"/>
        </w:rPr>
        <w:t>i</w:t>
      </w:r>
      <w:r>
        <w:rPr>
          <w:kern w:val="10"/>
        </w:rPr>
        <w:t>—采用估算模式计算出的第i个污染物的最大地面浓度，</w:t>
      </w:r>
      <w:r>
        <w:rPr>
          <w:kern w:val="10"/>
          <w:lang w:val="en-GB"/>
        </w:rPr>
        <w:t>μg/m</w:t>
      </w:r>
      <w:r>
        <w:rPr>
          <w:kern w:val="10"/>
          <w:vertAlign w:val="superscript"/>
          <w:lang w:val="en-GB"/>
        </w:rPr>
        <w:t>3</w:t>
      </w:r>
      <w:r>
        <w:rPr>
          <w:kern w:val="10"/>
        </w:rPr>
        <w:t>；</w:t>
      </w:r>
    </w:p>
    <w:p>
      <w:pPr>
        <w:ind w:firstLine="480"/>
        <w:rPr>
          <w:kern w:val="10"/>
        </w:rPr>
      </w:pPr>
      <w:r>
        <w:rPr>
          <w:kern w:val="10"/>
        </w:rPr>
        <w:t>C</w:t>
      </w:r>
      <w:r>
        <w:rPr>
          <w:kern w:val="10"/>
          <w:vertAlign w:val="subscript"/>
        </w:rPr>
        <w:t>oi</w:t>
      </w:r>
      <w:r>
        <w:rPr>
          <w:kern w:val="10"/>
        </w:rPr>
        <w:t>—第i个污染物的环境空气质量标准，</w:t>
      </w:r>
      <w:r>
        <w:rPr>
          <w:kern w:val="10"/>
          <w:lang w:val="en-GB"/>
        </w:rPr>
        <w:t>μ</w:t>
      </w:r>
      <w:r>
        <w:rPr>
          <w:kern w:val="10"/>
        </w:rPr>
        <w:t>g/m</w:t>
      </w:r>
      <w:r>
        <w:rPr>
          <w:kern w:val="10"/>
          <w:vertAlign w:val="superscript"/>
        </w:rPr>
        <w:t>3</w:t>
      </w:r>
      <w:r>
        <w:rPr>
          <w:kern w:val="10"/>
        </w:rPr>
        <w:t>。C</w:t>
      </w:r>
      <w:r>
        <w:rPr>
          <w:kern w:val="10"/>
          <w:vertAlign w:val="subscript"/>
        </w:rPr>
        <w:t>0i</w:t>
      </w:r>
      <w:r>
        <w:rPr>
          <w:kern w:val="10"/>
        </w:rPr>
        <w:t>一般选取GB3095 中1h平均质量浓度的二级浓度限值，使用5.2确定的各评价因子1h平均质量浓度限值。对仅有的8h平均质量浓度限值、日平均质量浓度限值或年平均质量浓度限值的，可分别按2倍、3倍、6倍折算为1h平均质量浓度限值。</w:t>
      </w:r>
    </w:p>
    <w:p>
      <w:pPr>
        <w:ind w:firstLine="480"/>
        <w:rPr>
          <w:szCs w:val="24"/>
        </w:rPr>
      </w:pPr>
      <w:r>
        <w:t>根据估算模式计算本项目大气污染物的最大地面浓度及占标率见</w:t>
      </w:r>
      <w:r>
        <w:rPr>
          <w:rFonts w:hint="eastAsia"/>
        </w:rPr>
        <w:t>表2.5-2。</w:t>
      </w:r>
    </w:p>
    <w:p>
      <w:pPr>
        <w:spacing w:line="240" w:lineRule="auto"/>
        <w:ind w:firstLine="0" w:firstLineChars="0"/>
        <w:jc w:val="center"/>
        <w:rPr>
          <w:b/>
          <w:sz w:val="21"/>
          <w:szCs w:val="24"/>
        </w:rPr>
      </w:pPr>
      <w:bookmarkStart w:id="37" w:name="_Ref27042154"/>
      <w:bookmarkStart w:id="38" w:name="_Ref36132597"/>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2.5</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2</w:t>
      </w:r>
      <w:r>
        <w:rPr>
          <w:b/>
          <w:sz w:val="21"/>
          <w:szCs w:val="24"/>
        </w:rPr>
        <w:fldChar w:fldCharType="end"/>
      </w:r>
      <w:bookmarkEnd w:id="37"/>
      <w:bookmarkEnd w:id="38"/>
      <w:r>
        <w:rPr>
          <w:b/>
          <w:sz w:val="21"/>
          <w:szCs w:val="24"/>
        </w:rPr>
        <w:t>本项目各污染物因子Pi值计算结果</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639"/>
        <w:gridCol w:w="1006"/>
        <w:gridCol w:w="1344"/>
        <w:gridCol w:w="1344"/>
        <w:gridCol w:w="934"/>
        <w:gridCol w:w="1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Align w:val="center"/>
          </w:tcPr>
          <w:p>
            <w:pPr>
              <w:spacing w:line="240" w:lineRule="auto"/>
              <w:ind w:firstLine="0" w:firstLineChars="0"/>
              <w:jc w:val="center"/>
              <w:rPr>
                <w:sz w:val="21"/>
                <w:szCs w:val="21"/>
              </w:rPr>
            </w:pPr>
            <w:r>
              <w:rPr>
                <w:sz w:val="21"/>
                <w:szCs w:val="21"/>
              </w:rPr>
              <w:t>类别</w:t>
            </w:r>
          </w:p>
        </w:tc>
        <w:tc>
          <w:tcPr>
            <w:tcW w:w="2645" w:type="dxa"/>
            <w:gridSpan w:val="2"/>
            <w:vAlign w:val="center"/>
          </w:tcPr>
          <w:p>
            <w:pPr>
              <w:spacing w:line="240" w:lineRule="auto"/>
              <w:ind w:firstLine="420"/>
              <w:jc w:val="center"/>
              <w:rPr>
                <w:sz w:val="21"/>
                <w:szCs w:val="21"/>
              </w:rPr>
            </w:pPr>
            <w:r>
              <w:rPr>
                <w:sz w:val="21"/>
                <w:szCs w:val="21"/>
              </w:rPr>
              <w:t>污染源名称</w:t>
            </w:r>
          </w:p>
        </w:tc>
        <w:tc>
          <w:tcPr>
            <w:tcW w:w="1344" w:type="dxa"/>
            <w:vAlign w:val="center"/>
          </w:tcPr>
          <w:p>
            <w:pPr>
              <w:spacing w:line="240" w:lineRule="auto"/>
              <w:ind w:firstLine="0" w:firstLineChars="0"/>
              <w:jc w:val="center"/>
              <w:rPr>
                <w:sz w:val="21"/>
                <w:szCs w:val="21"/>
                <w:vertAlign w:val="subscript"/>
              </w:rPr>
            </w:pPr>
            <w:r>
              <w:rPr>
                <w:sz w:val="21"/>
                <w:szCs w:val="21"/>
              </w:rPr>
              <w:t>C</w:t>
            </w:r>
            <w:r>
              <w:rPr>
                <w:sz w:val="21"/>
                <w:szCs w:val="21"/>
                <w:vertAlign w:val="subscript"/>
              </w:rPr>
              <w:t>i</w:t>
            </w:r>
            <w:r>
              <w:rPr>
                <w:sz w:val="21"/>
                <w:szCs w:val="21"/>
              </w:rPr>
              <w:t>（μg /m</w:t>
            </w:r>
            <w:r>
              <w:rPr>
                <w:sz w:val="21"/>
                <w:szCs w:val="21"/>
                <w:vertAlign w:val="superscript"/>
              </w:rPr>
              <w:t>3</w:t>
            </w:r>
            <w:r>
              <w:rPr>
                <w:sz w:val="21"/>
                <w:szCs w:val="21"/>
              </w:rPr>
              <w:t>）</w:t>
            </w:r>
          </w:p>
        </w:tc>
        <w:tc>
          <w:tcPr>
            <w:tcW w:w="1344" w:type="dxa"/>
            <w:vAlign w:val="center"/>
          </w:tcPr>
          <w:p>
            <w:pPr>
              <w:spacing w:line="240" w:lineRule="auto"/>
              <w:ind w:firstLine="0" w:firstLineChars="0"/>
              <w:jc w:val="center"/>
              <w:rPr>
                <w:sz w:val="21"/>
                <w:szCs w:val="21"/>
              </w:rPr>
            </w:pPr>
            <w:r>
              <w:rPr>
                <w:sz w:val="21"/>
                <w:szCs w:val="21"/>
              </w:rPr>
              <w:t>C</w:t>
            </w:r>
            <w:r>
              <w:rPr>
                <w:sz w:val="21"/>
                <w:szCs w:val="21"/>
                <w:vertAlign w:val="subscript"/>
              </w:rPr>
              <w:t>0</w:t>
            </w:r>
            <w:r>
              <w:rPr>
                <w:sz w:val="21"/>
                <w:szCs w:val="21"/>
              </w:rPr>
              <w:t>（μg/m</w:t>
            </w:r>
            <w:r>
              <w:rPr>
                <w:sz w:val="21"/>
                <w:szCs w:val="21"/>
                <w:vertAlign w:val="superscript"/>
              </w:rPr>
              <w:t>3</w:t>
            </w:r>
            <w:r>
              <w:rPr>
                <w:sz w:val="21"/>
                <w:szCs w:val="21"/>
              </w:rPr>
              <w:t>）</w:t>
            </w:r>
          </w:p>
        </w:tc>
        <w:tc>
          <w:tcPr>
            <w:tcW w:w="934" w:type="dxa"/>
            <w:vAlign w:val="center"/>
          </w:tcPr>
          <w:p>
            <w:pPr>
              <w:spacing w:line="240" w:lineRule="auto"/>
              <w:ind w:firstLine="0" w:firstLineChars="0"/>
              <w:jc w:val="center"/>
              <w:rPr>
                <w:sz w:val="21"/>
                <w:szCs w:val="21"/>
              </w:rPr>
            </w:pPr>
            <w:r>
              <w:rPr>
                <w:sz w:val="21"/>
                <w:szCs w:val="21"/>
              </w:rPr>
              <w:t>P</w:t>
            </w:r>
            <w:r>
              <w:rPr>
                <w:sz w:val="21"/>
                <w:szCs w:val="21"/>
                <w:vertAlign w:val="subscript"/>
              </w:rPr>
              <w:t>i</w:t>
            </w:r>
            <w:r>
              <w:rPr>
                <w:sz w:val="21"/>
                <w:szCs w:val="21"/>
              </w:rPr>
              <w:t>（%）</w:t>
            </w:r>
          </w:p>
        </w:tc>
        <w:tc>
          <w:tcPr>
            <w:tcW w:w="1111" w:type="dxa"/>
            <w:vAlign w:val="center"/>
          </w:tcPr>
          <w:p>
            <w:pPr>
              <w:spacing w:line="240" w:lineRule="auto"/>
              <w:ind w:firstLine="0" w:firstLineChars="0"/>
              <w:jc w:val="center"/>
              <w:rPr>
                <w:sz w:val="21"/>
                <w:szCs w:val="21"/>
                <w:vertAlign w:val="subscript"/>
              </w:rPr>
            </w:pPr>
            <w:r>
              <w:rPr>
                <w:sz w:val="21"/>
                <w:szCs w:val="21"/>
              </w:rPr>
              <w:t>D</w:t>
            </w:r>
            <w:r>
              <w:rPr>
                <w:sz w:val="21"/>
                <w:szCs w:val="21"/>
                <w:vertAlign w:val="subscript"/>
              </w:rPr>
              <w:t>10%</w:t>
            </w:r>
            <w:r>
              <w:rPr>
                <w:rFonts w:hint="eastAsia"/>
                <w:sz w:val="21"/>
                <w:szCs w:val="21"/>
              </w:rPr>
              <w:t>（</w:t>
            </w:r>
            <w:r>
              <w:rPr>
                <w:sz w:val="21"/>
                <w:szCs w:val="21"/>
              </w:rPr>
              <w:t>m</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restart"/>
            <w:vAlign w:val="center"/>
          </w:tcPr>
          <w:p>
            <w:pPr>
              <w:spacing w:line="240" w:lineRule="auto"/>
              <w:ind w:firstLine="0" w:firstLineChars="0"/>
              <w:jc w:val="center"/>
              <w:rPr>
                <w:sz w:val="21"/>
                <w:szCs w:val="21"/>
                <w:highlight w:val="yellow"/>
              </w:rPr>
            </w:pPr>
            <w:r>
              <w:rPr>
                <w:rFonts w:hint="eastAsia"/>
                <w:sz w:val="21"/>
                <w:szCs w:val="21"/>
              </w:rPr>
              <w:t>无组织</w:t>
            </w:r>
          </w:p>
        </w:tc>
        <w:tc>
          <w:tcPr>
            <w:tcW w:w="1639" w:type="dxa"/>
            <w:vMerge w:val="restart"/>
            <w:vAlign w:val="center"/>
          </w:tcPr>
          <w:p>
            <w:pPr>
              <w:spacing w:line="240" w:lineRule="auto"/>
              <w:ind w:firstLine="0" w:firstLineChars="0"/>
              <w:jc w:val="center"/>
              <w:rPr>
                <w:sz w:val="21"/>
                <w:szCs w:val="21"/>
              </w:rPr>
            </w:pPr>
            <w:r>
              <w:rPr>
                <w:rFonts w:hint="eastAsia"/>
                <w:sz w:val="21"/>
                <w:szCs w:val="21"/>
              </w:rPr>
              <w:t>A1猪舍</w:t>
            </w:r>
          </w:p>
        </w:tc>
        <w:tc>
          <w:tcPr>
            <w:tcW w:w="1006" w:type="dxa"/>
            <w:vAlign w:val="center"/>
          </w:tcPr>
          <w:p>
            <w:pPr>
              <w:spacing w:line="240" w:lineRule="auto"/>
              <w:ind w:firstLine="0" w:firstLineChars="0"/>
              <w:jc w:val="center"/>
              <w:rPr>
                <w:sz w:val="21"/>
                <w:szCs w:val="21"/>
              </w:rPr>
            </w:pPr>
            <w:r>
              <w:rPr>
                <w:rFonts w:hint="eastAsia"/>
                <w:sz w:val="21"/>
                <w:szCs w:val="21"/>
              </w:rPr>
              <w:t>NH</w:t>
            </w:r>
            <w:r>
              <w:rPr>
                <w:rFonts w:hint="eastAsia"/>
                <w:sz w:val="21"/>
                <w:szCs w:val="21"/>
                <w:vertAlign w:val="subscript"/>
              </w:rPr>
              <w:t>3</w:t>
            </w:r>
          </w:p>
        </w:tc>
        <w:tc>
          <w:tcPr>
            <w:tcW w:w="1344" w:type="dxa"/>
            <w:vAlign w:val="center"/>
          </w:tcPr>
          <w:p>
            <w:pPr>
              <w:pStyle w:val="89"/>
            </w:pPr>
            <w:r>
              <w:t>2.4451</w:t>
            </w:r>
          </w:p>
        </w:tc>
        <w:tc>
          <w:tcPr>
            <w:tcW w:w="1344" w:type="dxa"/>
            <w:vAlign w:val="center"/>
          </w:tcPr>
          <w:p>
            <w:pPr>
              <w:pStyle w:val="84"/>
            </w:pPr>
            <w:r>
              <w:rPr>
                <w:rFonts w:hint="eastAsia"/>
              </w:rPr>
              <w:t>200</w:t>
            </w:r>
          </w:p>
        </w:tc>
        <w:tc>
          <w:tcPr>
            <w:tcW w:w="934" w:type="dxa"/>
            <w:vAlign w:val="center"/>
          </w:tcPr>
          <w:p>
            <w:pPr>
              <w:pStyle w:val="89"/>
            </w:pPr>
            <w:r>
              <w:t>1.2226</w:t>
            </w:r>
          </w:p>
        </w:tc>
        <w:tc>
          <w:tcPr>
            <w:tcW w:w="1111" w:type="dxa"/>
            <w:vAlign w:val="center"/>
          </w:tcPr>
          <w:p>
            <w:pPr>
              <w:spacing w:line="240" w:lineRule="auto"/>
              <w:ind w:firstLine="0" w:firstLineChars="0"/>
              <w:jc w:val="center"/>
              <w:textAlignment w:val="baseline"/>
              <w:rPr>
                <w:kern w:val="0"/>
                <w:sz w:val="21"/>
                <w:szCs w:val="21"/>
              </w:rPr>
            </w:pP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Merge w:val="continue"/>
            <w:vAlign w:val="center"/>
          </w:tcPr>
          <w:p>
            <w:pPr>
              <w:spacing w:line="240" w:lineRule="auto"/>
              <w:ind w:firstLine="0" w:firstLineChars="0"/>
              <w:jc w:val="center"/>
              <w:rPr>
                <w:sz w:val="21"/>
                <w:szCs w:val="21"/>
              </w:rPr>
            </w:pPr>
          </w:p>
        </w:tc>
        <w:tc>
          <w:tcPr>
            <w:tcW w:w="1006" w:type="dxa"/>
            <w:vAlign w:val="center"/>
          </w:tcPr>
          <w:p>
            <w:pPr>
              <w:spacing w:line="240" w:lineRule="auto"/>
              <w:ind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1344" w:type="dxa"/>
            <w:vAlign w:val="center"/>
          </w:tcPr>
          <w:p>
            <w:pPr>
              <w:pStyle w:val="89"/>
            </w:pPr>
            <w:r>
              <w:t>0.4279</w:t>
            </w:r>
          </w:p>
        </w:tc>
        <w:tc>
          <w:tcPr>
            <w:tcW w:w="1344" w:type="dxa"/>
            <w:vAlign w:val="center"/>
          </w:tcPr>
          <w:p>
            <w:pPr>
              <w:pStyle w:val="84"/>
            </w:pPr>
            <w:r>
              <w:rPr>
                <w:rFonts w:hint="eastAsia"/>
              </w:rPr>
              <w:t>10</w:t>
            </w:r>
          </w:p>
        </w:tc>
        <w:tc>
          <w:tcPr>
            <w:tcW w:w="934" w:type="dxa"/>
            <w:vAlign w:val="center"/>
          </w:tcPr>
          <w:p>
            <w:pPr>
              <w:pStyle w:val="89"/>
            </w:pPr>
            <w:r>
              <w:t>4.2789</w:t>
            </w:r>
          </w:p>
        </w:tc>
        <w:tc>
          <w:tcPr>
            <w:tcW w:w="1111" w:type="dxa"/>
            <w:vAlign w:val="center"/>
          </w:tcPr>
          <w:p>
            <w:pPr>
              <w:spacing w:line="240" w:lineRule="auto"/>
              <w:ind w:firstLine="0" w:firstLineChars="0"/>
              <w:jc w:val="center"/>
              <w:textAlignment w:val="baseline"/>
              <w:rPr>
                <w:kern w:val="0"/>
                <w:sz w:val="21"/>
                <w:szCs w:val="21"/>
              </w:rPr>
            </w:pP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Merge w:val="restart"/>
            <w:vAlign w:val="center"/>
          </w:tcPr>
          <w:p>
            <w:pPr>
              <w:spacing w:line="240" w:lineRule="auto"/>
              <w:ind w:firstLine="0" w:firstLineChars="0"/>
              <w:jc w:val="center"/>
              <w:rPr>
                <w:sz w:val="21"/>
                <w:szCs w:val="21"/>
              </w:rPr>
            </w:pPr>
            <w:r>
              <w:rPr>
                <w:rFonts w:hint="eastAsia"/>
                <w:sz w:val="21"/>
                <w:szCs w:val="21"/>
              </w:rPr>
              <w:t>A2堆粪</w:t>
            </w:r>
            <w:r>
              <w:rPr>
                <w:sz w:val="21"/>
                <w:szCs w:val="21"/>
              </w:rPr>
              <w:t>区</w:t>
            </w:r>
          </w:p>
        </w:tc>
        <w:tc>
          <w:tcPr>
            <w:tcW w:w="1006" w:type="dxa"/>
            <w:vAlign w:val="center"/>
          </w:tcPr>
          <w:p>
            <w:pPr>
              <w:spacing w:line="240" w:lineRule="auto"/>
              <w:ind w:firstLine="0" w:firstLineChars="0"/>
              <w:jc w:val="center"/>
              <w:rPr>
                <w:sz w:val="21"/>
                <w:szCs w:val="21"/>
              </w:rPr>
            </w:pPr>
            <w:r>
              <w:rPr>
                <w:rFonts w:hint="eastAsia"/>
                <w:sz w:val="21"/>
                <w:szCs w:val="21"/>
              </w:rPr>
              <w:t>NH</w:t>
            </w:r>
            <w:r>
              <w:rPr>
                <w:rFonts w:hint="eastAsia"/>
                <w:sz w:val="21"/>
                <w:szCs w:val="21"/>
                <w:vertAlign w:val="subscript"/>
              </w:rPr>
              <w:t>3</w:t>
            </w:r>
          </w:p>
        </w:tc>
        <w:tc>
          <w:tcPr>
            <w:tcW w:w="1344" w:type="dxa"/>
            <w:vAlign w:val="center"/>
          </w:tcPr>
          <w:p>
            <w:pPr>
              <w:pStyle w:val="84"/>
            </w:pPr>
            <w:r>
              <w:t>5.5519</w:t>
            </w:r>
          </w:p>
        </w:tc>
        <w:tc>
          <w:tcPr>
            <w:tcW w:w="1344" w:type="dxa"/>
            <w:vAlign w:val="center"/>
          </w:tcPr>
          <w:p>
            <w:pPr>
              <w:pStyle w:val="84"/>
            </w:pPr>
            <w:r>
              <w:rPr>
                <w:rFonts w:hint="eastAsia"/>
              </w:rPr>
              <w:t>200</w:t>
            </w:r>
          </w:p>
        </w:tc>
        <w:tc>
          <w:tcPr>
            <w:tcW w:w="934" w:type="dxa"/>
            <w:vAlign w:val="center"/>
          </w:tcPr>
          <w:p>
            <w:pPr>
              <w:pStyle w:val="84"/>
            </w:pPr>
            <w:r>
              <w:rPr>
                <w:rFonts w:hint="eastAsia"/>
              </w:rPr>
              <w:t>2.7759</w:t>
            </w:r>
          </w:p>
        </w:tc>
        <w:tc>
          <w:tcPr>
            <w:tcW w:w="1111" w:type="dxa"/>
            <w:vAlign w:val="center"/>
          </w:tcPr>
          <w:p>
            <w:pPr>
              <w:spacing w:line="240" w:lineRule="auto"/>
              <w:ind w:firstLine="0" w:firstLineChars="0"/>
              <w:jc w:val="center"/>
              <w:textAlignment w:val="baseline"/>
              <w:rPr>
                <w:kern w:val="0"/>
                <w:sz w:val="21"/>
                <w:szCs w:val="21"/>
              </w:rPr>
            </w:pP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Merge w:val="continue"/>
            <w:vAlign w:val="center"/>
          </w:tcPr>
          <w:p>
            <w:pPr>
              <w:spacing w:line="240" w:lineRule="auto"/>
              <w:ind w:firstLine="0" w:firstLineChars="0"/>
              <w:jc w:val="center"/>
              <w:rPr>
                <w:sz w:val="21"/>
                <w:szCs w:val="21"/>
              </w:rPr>
            </w:pPr>
          </w:p>
        </w:tc>
        <w:tc>
          <w:tcPr>
            <w:tcW w:w="1006" w:type="dxa"/>
            <w:vAlign w:val="center"/>
          </w:tcPr>
          <w:p>
            <w:pPr>
              <w:spacing w:line="240" w:lineRule="auto"/>
              <w:ind w:firstLine="0" w:firstLineChars="0"/>
              <w:jc w:val="center"/>
              <w:rPr>
                <w:b/>
                <w:sz w:val="21"/>
                <w:szCs w:val="21"/>
              </w:rPr>
            </w:pPr>
            <w:r>
              <w:rPr>
                <w:rFonts w:hint="eastAsia"/>
                <w:b/>
                <w:sz w:val="21"/>
                <w:szCs w:val="21"/>
              </w:rPr>
              <w:t>H</w:t>
            </w:r>
            <w:r>
              <w:rPr>
                <w:rFonts w:hint="eastAsia"/>
                <w:b/>
                <w:sz w:val="21"/>
                <w:szCs w:val="21"/>
                <w:vertAlign w:val="subscript"/>
              </w:rPr>
              <w:t>2</w:t>
            </w:r>
            <w:r>
              <w:rPr>
                <w:rFonts w:hint="eastAsia"/>
                <w:b/>
                <w:sz w:val="21"/>
                <w:szCs w:val="21"/>
              </w:rPr>
              <w:t>S</w:t>
            </w:r>
          </w:p>
        </w:tc>
        <w:tc>
          <w:tcPr>
            <w:tcW w:w="1344" w:type="dxa"/>
            <w:vAlign w:val="center"/>
          </w:tcPr>
          <w:p>
            <w:pPr>
              <w:pStyle w:val="84"/>
              <w:rPr>
                <w:b/>
              </w:rPr>
            </w:pPr>
            <w:r>
              <w:rPr>
                <w:b/>
              </w:rPr>
              <w:t>0.5552</w:t>
            </w:r>
          </w:p>
        </w:tc>
        <w:tc>
          <w:tcPr>
            <w:tcW w:w="1344" w:type="dxa"/>
            <w:vAlign w:val="center"/>
          </w:tcPr>
          <w:p>
            <w:pPr>
              <w:pStyle w:val="84"/>
              <w:rPr>
                <w:b/>
              </w:rPr>
            </w:pPr>
            <w:r>
              <w:rPr>
                <w:rFonts w:hint="eastAsia"/>
                <w:b/>
              </w:rPr>
              <w:t>10</w:t>
            </w:r>
          </w:p>
        </w:tc>
        <w:tc>
          <w:tcPr>
            <w:tcW w:w="934" w:type="dxa"/>
            <w:vAlign w:val="center"/>
          </w:tcPr>
          <w:p>
            <w:pPr>
              <w:pStyle w:val="84"/>
              <w:rPr>
                <w:b/>
              </w:rPr>
            </w:pPr>
            <w:r>
              <w:rPr>
                <w:rFonts w:hint="eastAsia"/>
                <w:b/>
              </w:rPr>
              <w:t>5.5519</w:t>
            </w:r>
          </w:p>
        </w:tc>
        <w:tc>
          <w:tcPr>
            <w:tcW w:w="1111" w:type="dxa"/>
            <w:vAlign w:val="center"/>
          </w:tcPr>
          <w:p>
            <w:pPr>
              <w:spacing w:line="240" w:lineRule="auto"/>
              <w:ind w:firstLine="0" w:firstLineChars="0"/>
              <w:jc w:val="center"/>
              <w:textAlignment w:val="baseline"/>
              <w:rPr>
                <w:kern w:val="0"/>
                <w:sz w:val="21"/>
                <w:szCs w:val="21"/>
              </w:rPr>
            </w:pP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Merge w:val="restart"/>
            <w:vAlign w:val="center"/>
          </w:tcPr>
          <w:p>
            <w:pPr>
              <w:spacing w:line="240" w:lineRule="auto"/>
              <w:ind w:firstLine="0" w:firstLineChars="0"/>
              <w:jc w:val="center"/>
              <w:rPr>
                <w:sz w:val="21"/>
                <w:szCs w:val="21"/>
              </w:rPr>
            </w:pPr>
            <w:r>
              <w:rPr>
                <w:rFonts w:hint="eastAsia"/>
                <w:sz w:val="21"/>
                <w:szCs w:val="21"/>
              </w:rPr>
              <w:t>A</w:t>
            </w:r>
            <w:r>
              <w:rPr>
                <w:sz w:val="21"/>
                <w:szCs w:val="21"/>
              </w:rPr>
              <w:t xml:space="preserve">3 </w:t>
            </w:r>
            <w:r>
              <w:rPr>
                <w:rFonts w:hint="eastAsia"/>
                <w:sz w:val="21"/>
                <w:szCs w:val="21"/>
              </w:rPr>
              <w:t>污水处理系统</w:t>
            </w:r>
          </w:p>
        </w:tc>
        <w:tc>
          <w:tcPr>
            <w:tcW w:w="1006" w:type="dxa"/>
            <w:vAlign w:val="center"/>
          </w:tcPr>
          <w:p>
            <w:pPr>
              <w:spacing w:line="240" w:lineRule="auto"/>
              <w:ind w:firstLine="0" w:firstLineChars="0"/>
              <w:jc w:val="center"/>
              <w:rPr>
                <w:sz w:val="21"/>
                <w:szCs w:val="21"/>
              </w:rPr>
            </w:pPr>
            <w:r>
              <w:rPr>
                <w:rFonts w:hint="eastAsia"/>
                <w:sz w:val="21"/>
                <w:szCs w:val="21"/>
              </w:rPr>
              <w:t>NH</w:t>
            </w:r>
            <w:r>
              <w:rPr>
                <w:rFonts w:hint="eastAsia"/>
                <w:sz w:val="21"/>
                <w:szCs w:val="21"/>
                <w:vertAlign w:val="subscript"/>
              </w:rPr>
              <w:t>3</w:t>
            </w:r>
          </w:p>
        </w:tc>
        <w:tc>
          <w:tcPr>
            <w:tcW w:w="1344" w:type="dxa"/>
            <w:vAlign w:val="center"/>
          </w:tcPr>
          <w:p>
            <w:pPr>
              <w:pStyle w:val="89"/>
            </w:pPr>
            <w:r>
              <w:t>0.3447</w:t>
            </w:r>
          </w:p>
        </w:tc>
        <w:tc>
          <w:tcPr>
            <w:tcW w:w="1344" w:type="dxa"/>
            <w:vAlign w:val="center"/>
          </w:tcPr>
          <w:p>
            <w:pPr>
              <w:pStyle w:val="84"/>
            </w:pPr>
            <w:r>
              <w:rPr>
                <w:rFonts w:hint="eastAsia"/>
              </w:rPr>
              <w:t>200</w:t>
            </w:r>
          </w:p>
        </w:tc>
        <w:tc>
          <w:tcPr>
            <w:tcW w:w="934" w:type="dxa"/>
            <w:vAlign w:val="center"/>
          </w:tcPr>
          <w:p>
            <w:pPr>
              <w:pStyle w:val="89"/>
            </w:pPr>
            <w:r>
              <w:t>0.1724</w:t>
            </w:r>
          </w:p>
        </w:tc>
        <w:tc>
          <w:tcPr>
            <w:tcW w:w="1111" w:type="dxa"/>
            <w:vAlign w:val="center"/>
          </w:tcPr>
          <w:p>
            <w:pPr>
              <w:spacing w:line="240" w:lineRule="auto"/>
              <w:ind w:firstLine="0" w:firstLineChars="0"/>
              <w:jc w:val="center"/>
              <w:textAlignment w:val="baseline"/>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Merge w:val="continue"/>
            <w:vAlign w:val="center"/>
          </w:tcPr>
          <w:p>
            <w:pPr>
              <w:spacing w:line="240" w:lineRule="auto"/>
              <w:ind w:firstLine="0" w:firstLineChars="0"/>
              <w:jc w:val="center"/>
              <w:rPr>
                <w:sz w:val="21"/>
                <w:szCs w:val="21"/>
                <w:highlight w:val="yellow"/>
              </w:rPr>
            </w:pPr>
          </w:p>
        </w:tc>
        <w:tc>
          <w:tcPr>
            <w:tcW w:w="1006" w:type="dxa"/>
            <w:vAlign w:val="center"/>
          </w:tcPr>
          <w:p>
            <w:pPr>
              <w:spacing w:line="240" w:lineRule="auto"/>
              <w:ind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1344" w:type="dxa"/>
            <w:vAlign w:val="center"/>
          </w:tcPr>
          <w:p>
            <w:pPr>
              <w:pStyle w:val="89"/>
            </w:pPr>
            <w:r>
              <w:t>0.0115</w:t>
            </w:r>
          </w:p>
        </w:tc>
        <w:tc>
          <w:tcPr>
            <w:tcW w:w="1344" w:type="dxa"/>
            <w:vAlign w:val="center"/>
          </w:tcPr>
          <w:p>
            <w:pPr>
              <w:pStyle w:val="84"/>
            </w:pPr>
            <w:r>
              <w:rPr>
                <w:rFonts w:hint="eastAsia"/>
              </w:rPr>
              <w:t>10</w:t>
            </w:r>
          </w:p>
        </w:tc>
        <w:tc>
          <w:tcPr>
            <w:tcW w:w="934" w:type="dxa"/>
            <w:vAlign w:val="center"/>
          </w:tcPr>
          <w:p>
            <w:pPr>
              <w:pStyle w:val="89"/>
            </w:pPr>
            <w:r>
              <w:t>0.1149</w:t>
            </w:r>
          </w:p>
        </w:tc>
        <w:tc>
          <w:tcPr>
            <w:tcW w:w="1111" w:type="dxa"/>
            <w:vAlign w:val="center"/>
          </w:tcPr>
          <w:p>
            <w:pPr>
              <w:spacing w:line="240" w:lineRule="auto"/>
              <w:ind w:firstLine="0" w:firstLineChars="0"/>
              <w:jc w:val="center"/>
              <w:textAlignment w:val="baseline"/>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Align w:val="center"/>
          </w:tcPr>
          <w:p>
            <w:pPr>
              <w:spacing w:line="240" w:lineRule="auto"/>
              <w:ind w:firstLine="0" w:firstLineChars="0"/>
              <w:jc w:val="center"/>
              <w:rPr>
                <w:sz w:val="21"/>
                <w:szCs w:val="21"/>
                <w:highlight w:val="yellow"/>
              </w:rPr>
            </w:pPr>
            <w:r>
              <w:rPr>
                <w:rFonts w:hint="eastAsia"/>
                <w:sz w:val="21"/>
                <w:szCs w:val="21"/>
              </w:rPr>
              <w:t>A4</w:t>
            </w:r>
            <w:r>
              <w:rPr>
                <w:sz w:val="21"/>
                <w:szCs w:val="21"/>
              </w:rPr>
              <w:t>饲料库房</w:t>
            </w:r>
          </w:p>
        </w:tc>
        <w:tc>
          <w:tcPr>
            <w:tcW w:w="1006" w:type="dxa"/>
            <w:vAlign w:val="center"/>
          </w:tcPr>
          <w:p>
            <w:pPr>
              <w:spacing w:line="240" w:lineRule="auto"/>
              <w:ind w:firstLine="0" w:firstLineChars="0"/>
              <w:jc w:val="center"/>
              <w:rPr>
                <w:sz w:val="21"/>
                <w:szCs w:val="21"/>
              </w:rPr>
            </w:pPr>
            <w:r>
              <w:rPr>
                <w:rFonts w:hint="eastAsia"/>
                <w:sz w:val="21"/>
                <w:szCs w:val="21"/>
              </w:rPr>
              <w:t>颗粒物</w:t>
            </w:r>
          </w:p>
        </w:tc>
        <w:tc>
          <w:tcPr>
            <w:tcW w:w="1344" w:type="dxa"/>
            <w:vAlign w:val="center"/>
          </w:tcPr>
          <w:p>
            <w:pPr>
              <w:pStyle w:val="89"/>
            </w:pPr>
            <w:r>
              <w:rPr>
                <w:rFonts w:hint="eastAsia"/>
              </w:rPr>
              <w:t>1.4802</w:t>
            </w:r>
          </w:p>
        </w:tc>
        <w:tc>
          <w:tcPr>
            <w:tcW w:w="1344" w:type="dxa"/>
            <w:vAlign w:val="center"/>
          </w:tcPr>
          <w:p>
            <w:pPr>
              <w:pStyle w:val="84"/>
            </w:pPr>
            <w:r>
              <w:t>9</w:t>
            </w:r>
            <w:r>
              <w:rPr>
                <w:rFonts w:hint="eastAsia"/>
              </w:rPr>
              <w:t>00</w:t>
            </w:r>
          </w:p>
        </w:tc>
        <w:tc>
          <w:tcPr>
            <w:tcW w:w="934" w:type="dxa"/>
            <w:vAlign w:val="center"/>
          </w:tcPr>
          <w:p>
            <w:pPr>
              <w:pStyle w:val="89"/>
            </w:pPr>
            <w:r>
              <w:rPr>
                <w:rFonts w:hint="eastAsia"/>
              </w:rPr>
              <w:t>0.16</w:t>
            </w:r>
            <w:r>
              <w:t>45</w:t>
            </w:r>
          </w:p>
        </w:tc>
        <w:tc>
          <w:tcPr>
            <w:tcW w:w="1111" w:type="dxa"/>
            <w:vAlign w:val="center"/>
          </w:tcPr>
          <w:p>
            <w:pPr>
              <w:spacing w:line="240" w:lineRule="auto"/>
              <w:ind w:firstLine="0" w:firstLineChars="0"/>
              <w:jc w:val="center"/>
              <w:textAlignment w:val="baseline"/>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restart"/>
            <w:vAlign w:val="center"/>
          </w:tcPr>
          <w:p>
            <w:pPr>
              <w:spacing w:line="240" w:lineRule="auto"/>
              <w:ind w:firstLine="0" w:firstLineChars="0"/>
              <w:jc w:val="center"/>
              <w:rPr>
                <w:sz w:val="21"/>
                <w:szCs w:val="21"/>
                <w:highlight w:val="yellow"/>
              </w:rPr>
            </w:pPr>
            <w:r>
              <w:rPr>
                <w:rFonts w:hint="eastAsia"/>
                <w:sz w:val="21"/>
                <w:szCs w:val="21"/>
              </w:rPr>
              <w:t>有组织</w:t>
            </w:r>
          </w:p>
        </w:tc>
        <w:tc>
          <w:tcPr>
            <w:tcW w:w="1639" w:type="dxa"/>
            <w:vMerge w:val="restart"/>
            <w:vAlign w:val="center"/>
          </w:tcPr>
          <w:p>
            <w:pPr>
              <w:spacing w:line="240" w:lineRule="auto"/>
              <w:ind w:firstLine="0" w:firstLineChars="0"/>
              <w:jc w:val="center"/>
              <w:rPr>
                <w:sz w:val="21"/>
                <w:szCs w:val="21"/>
              </w:rPr>
            </w:pPr>
            <w:r>
              <w:rPr>
                <w:rFonts w:hint="eastAsia"/>
                <w:sz w:val="21"/>
                <w:szCs w:val="21"/>
              </w:rPr>
              <w:t>沼气</w:t>
            </w:r>
            <w:r>
              <w:rPr>
                <w:sz w:val="21"/>
                <w:szCs w:val="21"/>
              </w:rPr>
              <w:t>火炬燃烧</w:t>
            </w:r>
            <w:r>
              <w:rPr>
                <w:rFonts w:hint="eastAsia"/>
                <w:sz w:val="21"/>
                <w:szCs w:val="21"/>
              </w:rPr>
              <w:t>排气筒P1</w:t>
            </w:r>
          </w:p>
        </w:tc>
        <w:tc>
          <w:tcPr>
            <w:tcW w:w="1006" w:type="dxa"/>
            <w:vAlign w:val="center"/>
          </w:tcPr>
          <w:p>
            <w:pPr>
              <w:spacing w:line="240" w:lineRule="auto"/>
              <w:ind w:firstLine="0" w:firstLineChars="0"/>
              <w:jc w:val="center"/>
              <w:rPr>
                <w:sz w:val="21"/>
                <w:szCs w:val="21"/>
              </w:rPr>
            </w:pPr>
            <w:r>
              <w:rPr>
                <w:rFonts w:hint="eastAsia"/>
                <w:sz w:val="21"/>
                <w:szCs w:val="21"/>
              </w:rPr>
              <w:t>颗粒物</w:t>
            </w:r>
          </w:p>
        </w:tc>
        <w:tc>
          <w:tcPr>
            <w:tcW w:w="1344" w:type="dxa"/>
            <w:vAlign w:val="center"/>
          </w:tcPr>
          <w:p>
            <w:pPr>
              <w:pStyle w:val="89"/>
            </w:pPr>
            <w:r>
              <w:t>0.0513</w:t>
            </w:r>
          </w:p>
        </w:tc>
        <w:tc>
          <w:tcPr>
            <w:tcW w:w="1344" w:type="dxa"/>
            <w:vAlign w:val="center"/>
          </w:tcPr>
          <w:p>
            <w:pPr>
              <w:pStyle w:val="89"/>
            </w:pPr>
            <w:r>
              <w:t>450.0</w:t>
            </w:r>
          </w:p>
        </w:tc>
        <w:tc>
          <w:tcPr>
            <w:tcW w:w="934" w:type="dxa"/>
            <w:vAlign w:val="center"/>
          </w:tcPr>
          <w:p>
            <w:pPr>
              <w:pStyle w:val="89"/>
            </w:pPr>
            <w:r>
              <w:t>0.0114</w:t>
            </w:r>
          </w:p>
        </w:tc>
        <w:tc>
          <w:tcPr>
            <w:tcW w:w="1111" w:type="dxa"/>
            <w:vAlign w:val="center"/>
          </w:tcPr>
          <w:p>
            <w:pPr>
              <w:spacing w:line="240" w:lineRule="auto"/>
              <w:ind w:firstLine="0" w:firstLineChars="0"/>
              <w:jc w:val="center"/>
              <w:textAlignment w:val="baseline"/>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Merge w:val="continue"/>
            <w:vAlign w:val="center"/>
          </w:tcPr>
          <w:p>
            <w:pPr>
              <w:spacing w:line="240" w:lineRule="auto"/>
              <w:ind w:firstLine="0" w:firstLineChars="0"/>
              <w:jc w:val="center"/>
              <w:rPr>
                <w:sz w:val="21"/>
                <w:szCs w:val="21"/>
              </w:rPr>
            </w:pPr>
          </w:p>
        </w:tc>
        <w:tc>
          <w:tcPr>
            <w:tcW w:w="1006" w:type="dxa"/>
            <w:vAlign w:val="center"/>
          </w:tcPr>
          <w:p>
            <w:pPr>
              <w:spacing w:line="240" w:lineRule="auto"/>
              <w:ind w:firstLine="0" w:firstLineChars="0"/>
              <w:jc w:val="center"/>
              <w:rPr>
                <w:sz w:val="21"/>
                <w:szCs w:val="21"/>
              </w:rPr>
            </w:pPr>
            <w:r>
              <w:rPr>
                <w:rFonts w:hint="eastAsia"/>
                <w:sz w:val="21"/>
                <w:szCs w:val="21"/>
              </w:rPr>
              <w:t>SO</w:t>
            </w:r>
            <w:r>
              <w:rPr>
                <w:rFonts w:hint="eastAsia"/>
                <w:sz w:val="21"/>
                <w:szCs w:val="21"/>
                <w:vertAlign w:val="subscript"/>
              </w:rPr>
              <w:t>2</w:t>
            </w:r>
          </w:p>
        </w:tc>
        <w:tc>
          <w:tcPr>
            <w:tcW w:w="1344" w:type="dxa"/>
            <w:vAlign w:val="center"/>
          </w:tcPr>
          <w:p>
            <w:pPr>
              <w:pStyle w:val="89"/>
            </w:pPr>
            <w:r>
              <w:t>0.0103</w:t>
            </w:r>
          </w:p>
        </w:tc>
        <w:tc>
          <w:tcPr>
            <w:tcW w:w="1344" w:type="dxa"/>
            <w:vAlign w:val="center"/>
          </w:tcPr>
          <w:p>
            <w:pPr>
              <w:pStyle w:val="89"/>
            </w:pPr>
            <w:r>
              <w:t>500.0</w:t>
            </w:r>
          </w:p>
        </w:tc>
        <w:tc>
          <w:tcPr>
            <w:tcW w:w="934" w:type="dxa"/>
            <w:vAlign w:val="center"/>
          </w:tcPr>
          <w:p>
            <w:pPr>
              <w:pStyle w:val="89"/>
            </w:pPr>
            <w:r>
              <w:t>0.0021</w:t>
            </w:r>
          </w:p>
        </w:tc>
        <w:tc>
          <w:tcPr>
            <w:tcW w:w="1111" w:type="dxa"/>
            <w:vAlign w:val="center"/>
          </w:tcPr>
          <w:p>
            <w:pPr>
              <w:spacing w:line="240" w:lineRule="auto"/>
              <w:ind w:firstLine="0" w:firstLineChars="0"/>
              <w:jc w:val="center"/>
              <w:textAlignment w:val="baseline"/>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98" w:type="dxa"/>
            <w:vMerge w:val="continue"/>
            <w:vAlign w:val="center"/>
          </w:tcPr>
          <w:p>
            <w:pPr>
              <w:spacing w:line="240" w:lineRule="auto"/>
              <w:ind w:firstLine="0" w:firstLineChars="0"/>
              <w:jc w:val="center"/>
              <w:rPr>
                <w:sz w:val="21"/>
                <w:szCs w:val="21"/>
                <w:highlight w:val="yellow"/>
              </w:rPr>
            </w:pPr>
          </w:p>
        </w:tc>
        <w:tc>
          <w:tcPr>
            <w:tcW w:w="1639" w:type="dxa"/>
            <w:vMerge w:val="continue"/>
            <w:vAlign w:val="center"/>
          </w:tcPr>
          <w:p>
            <w:pPr>
              <w:spacing w:line="240" w:lineRule="auto"/>
              <w:ind w:firstLine="0" w:firstLineChars="0"/>
              <w:jc w:val="center"/>
              <w:rPr>
                <w:sz w:val="21"/>
                <w:szCs w:val="21"/>
              </w:rPr>
            </w:pPr>
          </w:p>
        </w:tc>
        <w:tc>
          <w:tcPr>
            <w:tcW w:w="1006" w:type="dxa"/>
            <w:vAlign w:val="center"/>
          </w:tcPr>
          <w:p>
            <w:pPr>
              <w:spacing w:line="240" w:lineRule="auto"/>
              <w:ind w:firstLine="0" w:firstLineChars="0"/>
              <w:jc w:val="center"/>
              <w:rPr>
                <w:sz w:val="21"/>
                <w:szCs w:val="21"/>
              </w:rPr>
            </w:pPr>
            <w:r>
              <w:rPr>
                <w:rFonts w:hint="eastAsia"/>
                <w:sz w:val="21"/>
                <w:szCs w:val="21"/>
              </w:rPr>
              <w:t>NO</w:t>
            </w:r>
            <w:r>
              <w:rPr>
                <w:rFonts w:hint="eastAsia"/>
                <w:sz w:val="21"/>
                <w:szCs w:val="21"/>
                <w:vertAlign w:val="subscript"/>
              </w:rPr>
              <w:t>X</w:t>
            </w:r>
          </w:p>
        </w:tc>
        <w:tc>
          <w:tcPr>
            <w:tcW w:w="1344" w:type="dxa"/>
            <w:vAlign w:val="center"/>
          </w:tcPr>
          <w:p>
            <w:pPr>
              <w:pStyle w:val="89"/>
            </w:pPr>
            <w:r>
              <w:t>0.5134</w:t>
            </w:r>
          </w:p>
        </w:tc>
        <w:tc>
          <w:tcPr>
            <w:tcW w:w="1344" w:type="dxa"/>
            <w:vAlign w:val="center"/>
          </w:tcPr>
          <w:p>
            <w:pPr>
              <w:pStyle w:val="89"/>
            </w:pPr>
            <w:r>
              <w:t>250.0</w:t>
            </w:r>
          </w:p>
        </w:tc>
        <w:tc>
          <w:tcPr>
            <w:tcW w:w="934" w:type="dxa"/>
            <w:vAlign w:val="center"/>
          </w:tcPr>
          <w:p>
            <w:pPr>
              <w:pStyle w:val="89"/>
            </w:pPr>
            <w:r>
              <w:t>0.2054</w:t>
            </w:r>
          </w:p>
        </w:tc>
        <w:tc>
          <w:tcPr>
            <w:tcW w:w="1111" w:type="dxa"/>
            <w:vAlign w:val="center"/>
          </w:tcPr>
          <w:p>
            <w:pPr>
              <w:spacing w:line="240" w:lineRule="auto"/>
              <w:ind w:firstLine="0" w:firstLineChars="0"/>
              <w:jc w:val="center"/>
              <w:textAlignment w:val="baseline"/>
              <w:rPr>
                <w:kern w:val="0"/>
                <w:sz w:val="21"/>
                <w:szCs w:val="21"/>
              </w:rPr>
            </w:pPr>
            <w:r>
              <w:rPr>
                <w:rFonts w:hint="eastAsia"/>
                <w:kern w:val="0"/>
                <w:sz w:val="21"/>
                <w:szCs w:val="21"/>
              </w:rPr>
              <w:t>/</w:t>
            </w:r>
          </w:p>
        </w:tc>
      </w:tr>
    </w:tbl>
    <w:p>
      <w:pPr>
        <w:ind w:firstLine="480"/>
        <w:rPr>
          <w:rFonts w:cstheme="minorBidi"/>
        </w:rPr>
      </w:pPr>
      <w:r>
        <w:rPr>
          <w:rStyle w:val="80"/>
        </w:rPr>
        <w:t>根据</w:t>
      </w:r>
      <w:r>
        <w:rPr>
          <w:rStyle w:val="80"/>
          <w:rFonts w:hint="eastAsia"/>
        </w:rPr>
        <w:t>上表</w:t>
      </w:r>
      <w:r>
        <w:rPr>
          <w:rStyle w:val="80"/>
        </w:rPr>
        <w:t>可知</w:t>
      </w:r>
      <w:r>
        <w:t>，项目</w:t>
      </w:r>
      <w:r>
        <w:rPr>
          <w:rFonts w:hint="eastAsia"/>
        </w:rPr>
        <w:t>建成</w:t>
      </w:r>
      <w:r>
        <w:t>后，各污染源排放的污染物下风向最大落地浓度P</w:t>
      </w:r>
      <w:r>
        <w:rPr>
          <w:vertAlign w:val="subscript"/>
        </w:rPr>
        <w:t>max</w:t>
      </w:r>
      <w:r>
        <w:rPr>
          <w:rFonts w:hint="eastAsia"/>
        </w:rPr>
        <w:t>为堆粪区面源A</w:t>
      </w:r>
      <w:r>
        <w:t>2排放的H</w:t>
      </w:r>
      <w:r>
        <w:rPr>
          <w:vertAlign w:val="subscript"/>
        </w:rPr>
        <w:t>2</w:t>
      </w:r>
      <w:r>
        <w:t>S</w:t>
      </w:r>
      <w:r>
        <w:rPr>
          <w:rFonts w:hint="eastAsia"/>
        </w:rPr>
        <w:t>，</w:t>
      </w:r>
      <w:r>
        <w:t>P</w:t>
      </w:r>
      <w:r>
        <w:rPr>
          <w:vertAlign w:val="subscript"/>
        </w:rPr>
        <w:t>max</w:t>
      </w:r>
      <w:r>
        <w:t>=5.5519%&lt;10%。根据表2.5-1的评价工作等级评定依据，确定本次环境空气评价工作等级为二级。</w:t>
      </w:r>
    </w:p>
    <w:p>
      <w:pPr>
        <w:pStyle w:val="5"/>
      </w:pPr>
      <w:r>
        <w:rPr>
          <w:rFonts w:hint="eastAsia"/>
        </w:rPr>
        <w:t>地表水环境评价等级划分</w:t>
      </w:r>
    </w:p>
    <w:p>
      <w:pPr>
        <w:pStyle w:val="79"/>
        <w:ind w:firstLine="480"/>
      </w:pPr>
      <w:r>
        <w:rPr>
          <w:rFonts w:hint="eastAsia"/>
        </w:rPr>
        <w:t>本项目运营期产生的污水主要为养殖废水和生活污水，生活</w:t>
      </w:r>
      <w:r>
        <w:t>污水经化粪池处理后与</w:t>
      </w:r>
      <w:r>
        <w:rPr>
          <w:rFonts w:hint="eastAsia"/>
        </w:rPr>
        <w:t>项目养殖废水一并</w:t>
      </w:r>
      <w:r>
        <w:t>经</w:t>
      </w:r>
      <w:r>
        <w:rPr>
          <w:rFonts w:hint="eastAsia"/>
        </w:rPr>
        <w:t>“固液</w:t>
      </w:r>
      <w:r>
        <w:t>分离</w:t>
      </w:r>
      <w:r>
        <w:rPr>
          <w:rFonts w:hint="eastAsia"/>
        </w:rPr>
        <w:t>+厌氧</w:t>
      </w:r>
      <w:r>
        <w:t>发酵池</w:t>
      </w:r>
      <w:r>
        <w:rPr>
          <w:rFonts w:hint="eastAsia"/>
        </w:rPr>
        <w:t>”处理</w:t>
      </w:r>
      <w:r>
        <w:t>后用于</w:t>
      </w:r>
      <w:r>
        <w:rPr>
          <w:rFonts w:hint="eastAsia"/>
        </w:rPr>
        <w:t>农田种植施肥</w:t>
      </w:r>
      <w:r>
        <w:t>，</w:t>
      </w:r>
      <w:r>
        <w:rPr>
          <w:rFonts w:hint="eastAsia"/>
        </w:rPr>
        <w:t>施肥采用</w:t>
      </w:r>
      <w:r>
        <w:t>管道输送</w:t>
      </w:r>
      <w:r>
        <w:rPr>
          <w:rFonts w:hint="eastAsia"/>
        </w:rPr>
        <w:t>，不外排。</w:t>
      </w:r>
    </w:p>
    <w:p>
      <w:pPr>
        <w:pStyle w:val="79"/>
        <w:ind w:firstLine="480"/>
      </w:pPr>
      <w:r>
        <w:rPr>
          <w:rFonts w:hint="eastAsia"/>
        </w:rPr>
        <w:t>根据《环境影响评价技术导则地面水环境》（</w:t>
      </w:r>
      <w:r>
        <w:t>HJ2.3-2018</w:t>
      </w:r>
      <w:r>
        <w:rPr>
          <w:rFonts w:hint="eastAsia"/>
        </w:rPr>
        <w:t>）中相关环境影响评价工作等级划分原则，确定本项目地表水环境评价等级为三级</w:t>
      </w:r>
      <w:r>
        <w:t>B</w:t>
      </w:r>
      <w:r>
        <w:rPr>
          <w:rFonts w:hint="eastAsia"/>
        </w:rPr>
        <w:t>。</w:t>
      </w:r>
    </w:p>
    <w:p>
      <w:pPr>
        <w:pStyle w:val="5"/>
      </w:pPr>
      <w:r>
        <w:rPr>
          <w:rFonts w:hint="eastAsia"/>
        </w:rPr>
        <w:t>地下水环境评价等级划分</w:t>
      </w:r>
    </w:p>
    <w:p>
      <w:pPr>
        <w:ind w:firstLine="600" w:firstLineChars="250"/>
        <w:rPr>
          <w:kern w:val="0"/>
        </w:rPr>
      </w:pPr>
      <w:r>
        <w:rPr>
          <w:rFonts w:hint="eastAsia"/>
          <w:kern w:val="0"/>
        </w:rPr>
        <w:t>（1）评价</w:t>
      </w:r>
      <w:r>
        <w:rPr>
          <w:kern w:val="0"/>
        </w:rPr>
        <w:t>等级</w:t>
      </w:r>
    </w:p>
    <w:p>
      <w:pPr>
        <w:ind w:firstLine="600" w:firstLineChars="250"/>
      </w:pPr>
      <w:r>
        <w:rPr>
          <w:kern w:val="0"/>
        </w:rPr>
        <w:t>本项目属于养殖项目，根据</w:t>
      </w:r>
      <w:r>
        <w:t>《环境影响评价技术导则地下水环境》（HJ610-2016）</w:t>
      </w:r>
      <w:r>
        <w:rPr>
          <w:rFonts w:hint="eastAsia"/>
        </w:rPr>
        <w:t>中的地下水环境影响评价项目类别，项目地下水环境影响评价行业属于</w:t>
      </w:r>
      <w:r>
        <w:rPr>
          <w:rFonts w:asciiTheme="minorEastAsia" w:hAnsiTheme="minorEastAsia" w:eastAsiaTheme="minorEastAsia"/>
        </w:rPr>
        <w:t>“</w:t>
      </w:r>
      <w:r>
        <w:rPr>
          <w:rFonts w:hint="eastAsia"/>
        </w:rPr>
        <w:t>报告书Ⅲ类项目</w:t>
      </w:r>
      <w:r>
        <w:rPr>
          <w:rFonts w:asciiTheme="minorEastAsia" w:hAnsiTheme="minorEastAsia" w:eastAsiaTheme="minorEastAsia"/>
        </w:rPr>
        <w:t>”</w:t>
      </w:r>
      <w:r>
        <w:rPr>
          <w:rFonts w:hint="eastAsia" w:asciiTheme="minorEastAsia" w:hAnsiTheme="minorEastAsia" w:eastAsiaTheme="minorEastAsia"/>
        </w:rPr>
        <w:t>，项目所在区域不属于集中式饮用水水源地准保护区和补给径流区，项目评价范围内无</w:t>
      </w:r>
      <w:r>
        <w:rPr>
          <w:rFonts w:asciiTheme="minorEastAsia" w:hAnsiTheme="minorEastAsia" w:eastAsiaTheme="minorEastAsia"/>
        </w:rPr>
        <w:t>居民</w:t>
      </w:r>
      <w:r>
        <w:rPr>
          <w:rFonts w:hint="eastAsia" w:asciiTheme="minorEastAsia" w:hAnsiTheme="minorEastAsia" w:eastAsiaTheme="minorEastAsia"/>
        </w:rPr>
        <w:t>饮用水井，无分散式</w:t>
      </w:r>
      <w:r>
        <w:rPr>
          <w:rFonts w:asciiTheme="minorEastAsia" w:hAnsiTheme="minorEastAsia" w:eastAsiaTheme="minorEastAsia"/>
        </w:rPr>
        <w:t>水源地，</w:t>
      </w:r>
      <w:r>
        <w:t>项目所在区域地下水环境敏感程度为</w:t>
      </w:r>
      <w:r>
        <w:rPr>
          <w:rFonts w:hint="eastAsia"/>
        </w:rPr>
        <w:t>不</w:t>
      </w:r>
      <w:r>
        <w:t>敏感。以此判定项目地下水环境影响评价等级为三级。评价等级分级见</w:t>
      </w:r>
      <w:r>
        <w:rPr>
          <w:rFonts w:hint="eastAsia"/>
        </w:rPr>
        <w:t>表2.5-3。</w:t>
      </w:r>
      <w:bookmarkStart w:id="39" w:name="_Ref27042182"/>
    </w:p>
    <w:p>
      <w:pPr>
        <w:pStyle w:val="85"/>
        <w:rPr>
          <w:rFonts w:hAnsi="Times New Roman"/>
          <w:sz w:val="20"/>
          <w:szCs w:val="20"/>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3</w:t>
      </w:r>
      <w:r>
        <w:rPr>
          <w:rFonts w:hAnsi="Times New Roman"/>
        </w:rPr>
        <w:fldChar w:fldCharType="end"/>
      </w:r>
      <w:bookmarkEnd w:id="39"/>
      <w:r>
        <w:rPr>
          <w:rFonts w:hAnsi="Times New Roman"/>
          <w:szCs w:val="21"/>
        </w:rPr>
        <w:t>评价工作等级分级表</w:t>
      </w:r>
    </w:p>
    <w:tbl>
      <w:tblPr>
        <w:tblStyle w:val="27"/>
        <w:tblW w:w="827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9"/>
        <w:gridCol w:w="2069"/>
        <w:gridCol w:w="2069"/>
        <w:gridCol w:w="2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69" w:type="dxa"/>
            <w:tcBorders>
              <w:top w:val="single" w:color="auto" w:sz="12" w:space="0"/>
              <w:left w:val="single" w:color="auto" w:sz="12" w:space="0"/>
              <w:tl2br w:val="single" w:color="auto" w:sz="4" w:space="0"/>
            </w:tcBorders>
            <w:vAlign w:val="center"/>
          </w:tcPr>
          <w:p>
            <w:pPr>
              <w:spacing w:line="240" w:lineRule="auto"/>
              <w:ind w:firstLine="420"/>
              <w:jc w:val="center"/>
              <w:rPr>
                <w:sz w:val="21"/>
                <w:szCs w:val="21"/>
              </w:rPr>
            </w:pPr>
            <w:r>
              <w:rPr>
                <w:sz w:val="21"/>
                <w:szCs w:val="21"/>
              </w:rPr>
              <w:t>项目类别</w:t>
            </w:r>
          </w:p>
          <w:p>
            <w:pPr>
              <w:spacing w:line="240" w:lineRule="auto"/>
              <w:ind w:firstLine="0" w:firstLineChars="0"/>
              <w:rPr>
                <w:sz w:val="21"/>
                <w:szCs w:val="21"/>
              </w:rPr>
            </w:pPr>
            <w:r>
              <w:rPr>
                <w:sz w:val="21"/>
                <w:szCs w:val="21"/>
              </w:rPr>
              <w:t>环境敏感程度</w:t>
            </w:r>
          </w:p>
        </w:tc>
        <w:tc>
          <w:tcPr>
            <w:tcW w:w="2069" w:type="dxa"/>
            <w:tcBorders>
              <w:top w:val="single" w:color="auto" w:sz="12" w:space="0"/>
            </w:tcBorders>
            <w:vAlign w:val="center"/>
          </w:tcPr>
          <w:p>
            <w:pPr>
              <w:spacing w:line="240" w:lineRule="auto"/>
              <w:ind w:firstLine="420"/>
              <w:jc w:val="center"/>
              <w:rPr>
                <w:sz w:val="21"/>
                <w:szCs w:val="21"/>
              </w:rPr>
            </w:pPr>
            <w:r>
              <w:rPr>
                <w:rFonts w:hint="eastAsia" w:ascii="宋体" w:hAnsi="宋体" w:cs="宋体"/>
                <w:sz w:val="21"/>
                <w:szCs w:val="21"/>
              </w:rPr>
              <w:t>Ⅰ</w:t>
            </w:r>
            <w:r>
              <w:rPr>
                <w:sz w:val="21"/>
                <w:szCs w:val="21"/>
              </w:rPr>
              <w:t>类项目</w:t>
            </w:r>
          </w:p>
        </w:tc>
        <w:tc>
          <w:tcPr>
            <w:tcW w:w="2069" w:type="dxa"/>
            <w:tcBorders>
              <w:top w:val="single" w:color="auto" w:sz="12" w:space="0"/>
            </w:tcBorders>
            <w:vAlign w:val="center"/>
          </w:tcPr>
          <w:p>
            <w:pPr>
              <w:spacing w:line="240" w:lineRule="auto"/>
              <w:ind w:firstLine="420"/>
              <w:jc w:val="center"/>
              <w:rPr>
                <w:sz w:val="21"/>
                <w:szCs w:val="21"/>
              </w:rPr>
            </w:pPr>
            <w:r>
              <w:rPr>
                <w:rFonts w:hint="eastAsia" w:ascii="宋体" w:hAnsi="宋体" w:cs="宋体"/>
                <w:sz w:val="21"/>
                <w:szCs w:val="21"/>
              </w:rPr>
              <w:t>Ⅱ</w:t>
            </w:r>
            <w:r>
              <w:rPr>
                <w:sz w:val="21"/>
                <w:szCs w:val="21"/>
              </w:rPr>
              <w:t>类项目</w:t>
            </w:r>
          </w:p>
        </w:tc>
        <w:tc>
          <w:tcPr>
            <w:tcW w:w="2069" w:type="dxa"/>
            <w:tcBorders>
              <w:top w:val="single" w:color="auto" w:sz="12" w:space="0"/>
              <w:right w:val="single" w:color="auto" w:sz="12" w:space="0"/>
            </w:tcBorders>
            <w:vAlign w:val="center"/>
          </w:tcPr>
          <w:p>
            <w:pPr>
              <w:spacing w:line="240" w:lineRule="auto"/>
              <w:ind w:firstLine="420"/>
              <w:jc w:val="center"/>
              <w:rPr>
                <w:sz w:val="21"/>
                <w:szCs w:val="21"/>
              </w:rPr>
            </w:pPr>
            <w:r>
              <w:rPr>
                <w:rFonts w:hint="eastAsia" w:ascii="宋体" w:hAnsi="宋体" w:cs="宋体"/>
                <w:sz w:val="21"/>
                <w:szCs w:val="21"/>
              </w:rPr>
              <w:t>Ⅲ</w:t>
            </w:r>
            <w:r>
              <w:rPr>
                <w:sz w:val="21"/>
                <w:szCs w:val="21"/>
              </w:rPr>
              <w:t>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69" w:type="dxa"/>
            <w:tcBorders>
              <w:left w:val="single" w:color="auto" w:sz="12" w:space="0"/>
            </w:tcBorders>
            <w:vAlign w:val="center"/>
          </w:tcPr>
          <w:p>
            <w:pPr>
              <w:spacing w:line="240" w:lineRule="auto"/>
              <w:ind w:firstLine="420"/>
              <w:jc w:val="center"/>
              <w:rPr>
                <w:sz w:val="21"/>
                <w:szCs w:val="21"/>
              </w:rPr>
            </w:pPr>
            <w:r>
              <w:rPr>
                <w:sz w:val="21"/>
                <w:szCs w:val="21"/>
              </w:rPr>
              <w:t>敏感</w:t>
            </w:r>
          </w:p>
        </w:tc>
        <w:tc>
          <w:tcPr>
            <w:tcW w:w="2069" w:type="dxa"/>
            <w:vAlign w:val="center"/>
          </w:tcPr>
          <w:p>
            <w:pPr>
              <w:spacing w:line="240" w:lineRule="auto"/>
              <w:ind w:firstLine="420"/>
              <w:jc w:val="center"/>
              <w:rPr>
                <w:sz w:val="21"/>
                <w:szCs w:val="21"/>
              </w:rPr>
            </w:pPr>
            <w:r>
              <w:rPr>
                <w:sz w:val="21"/>
                <w:szCs w:val="21"/>
              </w:rPr>
              <w:t>一</w:t>
            </w:r>
          </w:p>
        </w:tc>
        <w:tc>
          <w:tcPr>
            <w:tcW w:w="2069" w:type="dxa"/>
            <w:vAlign w:val="center"/>
          </w:tcPr>
          <w:p>
            <w:pPr>
              <w:spacing w:line="240" w:lineRule="auto"/>
              <w:ind w:firstLine="420"/>
              <w:jc w:val="center"/>
              <w:rPr>
                <w:sz w:val="21"/>
                <w:szCs w:val="21"/>
              </w:rPr>
            </w:pPr>
            <w:r>
              <w:rPr>
                <w:sz w:val="21"/>
                <w:szCs w:val="21"/>
              </w:rPr>
              <w:t>一</w:t>
            </w:r>
          </w:p>
        </w:tc>
        <w:tc>
          <w:tcPr>
            <w:tcW w:w="2069" w:type="dxa"/>
            <w:tcBorders>
              <w:right w:val="single" w:color="auto" w:sz="12" w:space="0"/>
            </w:tcBorders>
            <w:vAlign w:val="center"/>
          </w:tcPr>
          <w:p>
            <w:pPr>
              <w:spacing w:line="240" w:lineRule="auto"/>
              <w:ind w:firstLine="420"/>
              <w:jc w:val="center"/>
              <w:rPr>
                <w:sz w:val="21"/>
                <w:szCs w:val="21"/>
              </w:rPr>
            </w:pPr>
            <w:r>
              <w:rPr>
                <w:sz w:val="21"/>
                <w:szCs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69" w:type="dxa"/>
            <w:tcBorders>
              <w:left w:val="single" w:color="auto" w:sz="12" w:space="0"/>
            </w:tcBorders>
            <w:vAlign w:val="center"/>
          </w:tcPr>
          <w:p>
            <w:pPr>
              <w:spacing w:line="240" w:lineRule="auto"/>
              <w:ind w:firstLine="420"/>
              <w:jc w:val="center"/>
              <w:rPr>
                <w:sz w:val="21"/>
                <w:szCs w:val="21"/>
              </w:rPr>
            </w:pPr>
            <w:r>
              <w:rPr>
                <w:sz w:val="21"/>
                <w:szCs w:val="21"/>
              </w:rPr>
              <w:t>较敏感</w:t>
            </w:r>
          </w:p>
        </w:tc>
        <w:tc>
          <w:tcPr>
            <w:tcW w:w="2069" w:type="dxa"/>
            <w:vAlign w:val="center"/>
          </w:tcPr>
          <w:p>
            <w:pPr>
              <w:spacing w:line="240" w:lineRule="auto"/>
              <w:ind w:firstLine="420"/>
              <w:jc w:val="center"/>
              <w:rPr>
                <w:sz w:val="21"/>
                <w:szCs w:val="21"/>
              </w:rPr>
            </w:pPr>
            <w:r>
              <w:rPr>
                <w:sz w:val="21"/>
                <w:szCs w:val="21"/>
              </w:rPr>
              <w:t>一</w:t>
            </w:r>
          </w:p>
        </w:tc>
        <w:tc>
          <w:tcPr>
            <w:tcW w:w="2069" w:type="dxa"/>
            <w:vAlign w:val="center"/>
          </w:tcPr>
          <w:p>
            <w:pPr>
              <w:spacing w:line="240" w:lineRule="auto"/>
              <w:ind w:firstLine="420"/>
              <w:jc w:val="center"/>
              <w:rPr>
                <w:sz w:val="21"/>
                <w:szCs w:val="21"/>
              </w:rPr>
            </w:pPr>
            <w:r>
              <w:rPr>
                <w:sz w:val="21"/>
                <w:szCs w:val="21"/>
              </w:rPr>
              <w:t>二</w:t>
            </w:r>
          </w:p>
        </w:tc>
        <w:tc>
          <w:tcPr>
            <w:tcW w:w="2069" w:type="dxa"/>
            <w:tcBorders>
              <w:bottom w:val="single" w:color="000000" w:sz="4" w:space="0"/>
              <w:right w:val="single" w:color="auto" w:sz="12" w:space="0"/>
            </w:tcBorders>
            <w:shd w:val="clear" w:color="auto" w:fill="auto"/>
            <w:vAlign w:val="center"/>
          </w:tcPr>
          <w:p>
            <w:pPr>
              <w:spacing w:line="240" w:lineRule="auto"/>
              <w:ind w:firstLine="420"/>
              <w:jc w:val="center"/>
              <w:rPr>
                <w:sz w:val="21"/>
                <w:szCs w:val="21"/>
              </w:rPr>
            </w:pPr>
            <w:r>
              <w:rPr>
                <w:sz w:val="21"/>
                <w:szCs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069" w:type="dxa"/>
            <w:tcBorders>
              <w:left w:val="single" w:color="auto" w:sz="12" w:space="0"/>
              <w:bottom w:val="single" w:color="auto" w:sz="12" w:space="0"/>
            </w:tcBorders>
            <w:vAlign w:val="center"/>
          </w:tcPr>
          <w:p>
            <w:pPr>
              <w:spacing w:line="240" w:lineRule="auto"/>
              <w:ind w:firstLine="420"/>
              <w:jc w:val="center"/>
              <w:rPr>
                <w:sz w:val="21"/>
                <w:szCs w:val="21"/>
              </w:rPr>
            </w:pPr>
            <w:r>
              <w:rPr>
                <w:sz w:val="21"/>
                <w:szCs w:val="21"/>
              </w:rPr>
              <w:t>不敏感</w:t>
            </w:r>
          </w:p>
        </w:tc>
        <w:tc>
          <w:tcPr>
            <w:tcW w:w="2069" w:type="dxa"/>
            <w:tcBorders>
              <w:bottom w:val="single" w:color="auto" w:sz="12" w:space="0"/>
            </w:tcBorders>
            <w:vAlign w:val="center"/>
          </w:tcPr>
          <w:p>
            <w:pPr>
              <w:spacing w:line="240" w:lineRule="auto"/>
              <w:ind w:firstLine="420"/>
              <w:jc w:val="center"/>
              <w:rPr>
                <w:sz w:val="21"/>
                <w:szCs w:val="21"/>
              </w:rPr>
            </w:pPr>
            <w:r>
              <w:rPr>
                <w:sz w:val="21"/>
                <w:szCs w:val="21"/>
              </w:rPr>
              <w:t>二</w:t>
            </w:r>
          </w:p>
        </w:tc>
        <w:tc>
          <w:tcPr>
            <w:tcW w:w="2069" w:type="dxa"/>
            <w:tcBorders>
              <w:bottom w:val="single" w:color="auto" w:sz="12" w:space="0"/>
            </w:tcBorders>
            <w:shd w:val="clear" w:color="auto" w:fill="auto"/>
            <w:vAlign w:val="center"/>
          </w:tcPr>
          <w:p>
            <w:pPr>
              <w:spacing w:line="240" w:lineRule="auto"/>
              <w:ind w:firstLine="420"/>
              <w:jc w:val="center"/>
              <w:rPr>
                <w:sz w:val="21"/>
                <w:szCs w:val="21"/>
              </w:rPr>
            </w:pPr>
            <w:r>
              <w:rPr>
                <w:sz w:val="21"/>
                <w:szCs w:val="21"/>
              </w:rPr>
              <w:t>三</w:t>
            </w:r>
          </w:p>
        </w:tc>
        <w:tc>
          <w:tcPr>
            <w:tcW w:w="2069" w:type="dxa"/>
            <w:tcBorders>
              <w:bottom w:val="single" w:color="auto" w:sz="12" w:space="0"/>
              <w:right w:val="single" w:color="auto" w:sz="12" w:space="0"/>
            </w:tcBorders>
            <w:shd w:val="clear" w:color="auto" w:fill="EEECE1" w:themeFill="background2"/>
            <w:vAlign w:val="center"/>
          </w:tcPr>
          <w:p>
            <w:pPr>
              <w:spacing w:line="240" w:lineRule="auto"/>
              <w:ind w:firstLine="420"/>
              <w:jc w:val="center"/>
              <w:rPr>
                <w:b/>
                <w:sz w:val="21"/>
                <w:szCs w:val="21"/>
              </w:rPr>
            </w:pPr>
            <w:r>
              <w:rPr>
                <w:sz w:val="21"/>
                <w:szCs w:val="21"/>
              </w:rPr>
              <w:t>三</w:t>
            </w:r>
          </w:p>
        </w:tc>
      </w:tr>
    </w:tbl>
    <w:p>
      <w:pPr>
        <w:pStyle w:val="79"/>
        <w:ind w:firstLine="480"/>
      </w:pPr>
      <w:r>
        <w:rPr>
          <w:rFonts w:hint="eastAsia" w:cs="宋体"/>
        </w:rPr>
        <w:t>（2）</w:t>
      </w:r>
      <w:r>
        <w:t>评价范围</w:t>
      </w:r>
    </w:p>
    <w:p>
      <w:pPr>
        <w:pStyle w:val="79"/>
        <w:ind w:firstLine="480"/>
      </w:pPr>
      <w:r>
        <w:rPr>
          <w:rFonts w:hint="eastAsia"/>
        </w:rPr>
        <w:t>根据</w:t>
      </w:r>
      <w:r>
        <w:t>查表法，三级评价范围</w:t>
      </w:r>
      <w:r>
        <w:rPr>
          <w:rFonts w:hint="eastAsia"/>
        </w:rPr>
        <w:t>以</w:t>
      </w:r>
      <w:r>
        <w:t>场区中心点</w:t>
      </w:r>
      <w:r>
        <w:rPr>
          <w:rFonts w:hint="eastAsia"/>
        </w:rPr>
        <w:t>为</w:t>
      </w:r>
      <w:r>
        <w:t>中心≤6km</w:t>
      </w:r>
      <w:r>
        <w:rPr>
          <w:vertAlign w:val="superscript"/>
        </w:rPr>
        <w:t>2</w:t>
      </w:r>
      <w:r>
        <w:rPr>
          <w:rFonts w:hint="eastAsia"/>
        </w:rPr>
        <w:t>范围</w:t>
      </w:r>
      <w:r>
        <w:t>。</w:t>
      </w:r>
    </w:p>
    <w:p>
      <w:pPr>
        <w:pStyle w:val="5"/>
      </w:pPr>
      <w:r>
        <w:t>声环境评价等级</w:t>
      </w:r>
    </w:p>
    <w:p>
      <w:pPr>
        <w:ind w:firstLine="480"/>
      </w:pPr>
      <w:r>
        <w:t>本项目位于《声环境质量标准》（GB3096-2008）规定的2类区，依据《环境影响评价技术导则-声环境》（HJ2.4-2021）中的有关规定，确定环境噪声评价工作级别见</w:t>
      </w:r>
      <w:r>
        <w:rPr>
          <w:rFonts w:hint="eastAsia"/>
        </w:rPr>
        <w:t>表2.5-4。</w:t>
      </w:r>
    </w:p>
    <w:p>
      <w:pPr>
        <w:pStyle w:val="85"/>
        <w:ind w:firstLine="480"/>
        <w:rPr>
          <w:kern w:val="0"/>
          <w:szCs w:val="20"/>
        </w:rPr>
      </w:pPr>
      <w:bookmarkStart w:id="40" w:name="_Ref27042202"/>
      <w:r>
        <w:rPr>
          <w:rFonts w:hint="eastAsia"/>
        </w:rPr>
        <w:t>表</w:t>
      </w:r>
      <w:bookmarkEnd w:id="40"/>
      <w:r>
        <w:rPr>
          <w:rFonts w:hint="eastAsia"/>
        </w:rPr>
        <w:t>2.5-4</w:t>
      </w:r>
      <w:r>
        <w:rPr>
          <w:kern w:val="0"/>
          <w:szCs w:val="20"/>
        </w:rPr>
        <w:t>声环境影响评价等级判定结果</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828"/>
        <w:gridCol w:w="1135"/>
        <w:gridCol w:w="1152"/>
        <w:gridCol w:w="1539"/>
        <w:gridCol w:w="26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828" w:type="dxa"/>
            <w:vAlign w:val="center"/>
          </w:tcPr>
          <w:p>
            <w:pPr>
              <w:pStyle w:val="40"/>
            </w:pPr>
            <w:r>
              <w:rPr>
                <w:rFonts w:hint="eastAsia"/>
              </w:rPr>
              <w:t>判别依据</w:t>
            </w:r>
          </w:p>
        </w:tc>
        <w:tc>
          <w:tcPr>
            <w:tcW w:w="1135" w:type="dxa"/>
            <w:vAlign w:val="center"/>
          </w:tcPr>
          <w:p>
            <w:pPr>
              <w:pStyle w:val="40"/>
            </w:pPr>
            <w:r>
              <w:rPr>
                <w:rFonts w:hint="eastAsia"/>
              </w:rPr>
              <w:t>声环境</w:t>
            </w:r>
          </w:p>
          <w:p>
            <w:pPr>
              <w:pStyle w:val="40"/>
            </w:pPr>
            <w:r>
              <w:rPr>
                <w:rFonts w:hint="eastAsia"/>
              </w:rPr>
              <w:t>功能区</w:t>
            </w:r>
          </w:p>
        </w:tc>
        <w:tc>
          <w:tcPr>
            <w:tcW w:w="1152" w:type="dxa"/>
            <w:vAlign w:val="center"/>
          </w:tcPr>
          <w:p>
            <w:pPr>
              <w:pStyle w:val="40"/>
            </w:pPr>
            <w:r>
              <w:rPr>
                <w:rFonts w:hint="eastAsia"/>
              </w:rPr>
              <w:t>敏感目标噪声级增量</w:t>
            </w:r>
          </w:p>
        </w:tc>
        <w:tc>
          <w:tcPr>
            <w:tcW w:w="1539" w:type="dxa"/>
            <w:vAlign w:val="center"/>
          </w:tcPr>
          <w:p>
            <w:pPr>
              <w:pStyle w:val="40"/>
            </w:pPr>
            <w:r>
              <w:rPr>
                <w:rFonts w:hint="eastAsia"/>
              </w:rPr>
              <w:t>受噪声影响范围内的人口数量</w:t>
            </w:r>
          </w:p>
        </w:tc>
        <w:tc>
          <w:tcPr>
            <w:tcW w:w="2622" w:type="dxa"/>
            <w:vAlign w:val="center"/>
          </w:tcPr>
          <w:p>
            <w:pPr>
              <w:pStyle w:val="40"/>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828" w:type="dxa"/>
            <w:vAlign w:val="center"/>
          </w:tcPr>
          <w:p>
            <w:pPr>
              <w:pStyle w:val="40"/>
            </w:pPr>
            <w:r>
              <w:rPr>
                <w:rFonts w:hint="eastAsia"/>
              </w:rPr>
              <w:t>一级评价标准判据</w:t>
            </w:r>
          </w:p>
        </w:tc>
        <w:tc>
          <w:tcPr>
            <w:tcW w:w="1135" w:type="dxa"/>
            <w:vAlign w:val="center"/>
          </w:tcPr>
          <w:p>
            <w:pPr>
              <w:pStyle w:val="40"/>
            </w:pPr>
            <w:r>
              <w:t>0</w:t>
            </w:r>
            <w:r>
              <w:rPr>
                <w:rFonts w:hint="eastAsia"/>
              </w:rPr>
              <w:t>类及以上</w:t>
            </w:r>
          </w:p>
        </w:tc>
        <w:tc>
          <w:tcPr>
            <w:tcW w:w="1152" w:type="dxa"/>
            <w:vAlign w:val="center"/>
          </w:tcPr>
          <w:p>
            <w:pPr>
              <w:pStyle w:val="40"/>
            </w:pPr>
            <w:r>
              <w:rPr>
                <w:rFonts w:hint="eastAsia"/>
              </w:rPr>
              <w:t>＞</w:t>
            </w:r>
            <w:r>
              <w:t>5dB(A)</w:t>
            </w:r>
          </w:p>
        </w:tc>
        <w:tc>
          <w:tcPr>
            <w:tcW w:w="1539" w:type="dxa"/>
            <w:vAlign w:val="center"/>
          </w:tcPr>
          <w:p>
            <w:pPr>
              <w:pStyle w:val="40"/>
            </w:pPr>
            <w:r>
              <w:rPr>
                <w:rFonts w:hint="eastAsia"/>
              </w:rPr>
              <w:t>显着增多</w:t>
            </w:r>
          </w:p>
        </w:tc>
        <w:tc>
          <w:tcPr>
            <w:tcW w:w="2622" w:type="dxa"/>
            <w:vMerge w:val="restart"/>
            <w:vAlign w:val="center"/>
          </w:tcPr>
          <w:p>
            <w:pPr>
              <w:pStyle w:val="40"/>
            </w:pPr>
            <w:r>
              <w:t>1</w:t>
            </w:r>
            <w:r>
              <w:rPr>
                <w:rFonts w:hint="eastAsia"/>
              </w:rPr>
              <w:t>、判断项目建设后声级增高的具体地点为距该项目声源最近的敏感目标处。</w:t>
            </w:r>
          </w:p>
          <w:p>
            <w:pPr>
              <w:pStyle w:val="40"/>
            </w:pPr>
            <w:r>
              <w:t>2</w:t>
            </w:r>
            <w:r>
              <w:rPr>
                <w:rFonts w:hint="eastAsia"/>
              </w:rPr>
              <w:t>、符合两个以上的划分原则时，按较高级别执行。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828" w:type="dxa"/>
            <w:vAlign w:val="center"/>
          </w:tcPr>
          <w:p>
            <w:pPr>
              <w:pStyle w:val="40"/>
            </w:pPr>
            <w:r>
              <w:rPr>
                <w:rFonts w:hint="eastAsia"/>
              </w:rPr>
              <w:t>二级评价标准判据</w:t>
            </w:r>
          </w:p>
        </w:tc>
        <w:tc>
          <w:tcPr>
            <w:tcW w:w="1135" w:type="dxa"/>
            <w:vAlign w:val="center"/>
          </w:tcPr>
          <w:p>
            <w:pPr>
              <w:pStyle w:val="40"/>
            </w:pPr>
            <w:r>
              <w:t>1</w:t>
            </w:r>
            <w:r>
              <w:rPr>
                <w:rFonts w:hint="eastAsia"/>
              </w:rPr>
              <w:t>类、</w:t>
            </w:r>
            <w:r>
              <w:t>2</w:t>
            </w:r>
            <w:r>
              <w:rPr>
                <w:rFonts w:hint="eastAsia"/>
              </w:rPr>
              <w:t>类</w:t>
            </w:r>
          </w:p>
        </w:tc>
        <w:tc>
          <w:tcPr>
            <w:tcW w:w="1152" w:type="dxa"/>
            <w:vAlign w:val="center"/>
          </w:tcPr>
          <w:p>
            <w:pPr>
              <w:pStyle w:val="40"/>
            </w:pPr>
            <w:r>
              <w:t>3~5dB(A)</w:t>
            </w:r>
          </w:p>
        </w:tc>
        <w:tc>
          <w:tcPr>
            <w:tcW w:w="1539" w:type="dxa"/>
            <w:vAlign w:val="center"/>
          </w:tcPr>
          <w:p>
            <w:pPr>
              <w:pStyle w:val="40"/>
            </w:pPr>
            <w:r>
              <w:rPr>
                <w:rFonts w:hint="eastAsia"/>
              </w:rPr>
              <w:t>增加较多</w:t>
            </w:r>
          </w:p>
        </w:tc>
        <w:tc>
          <w:tcPr>
            <w:tcW w:w="2622"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828" w:type="dxa"/>
            <w:vAlign w:val="center"/>
          </w:tcPr>
          <w:p>
            <w:pPr>
              <w:pStyle w:val="40"/>
            </w:pPr>
            <w:r>
              <w:rPr>
                <w:rFonts w:hint="eastAsia"/>
              </w:rPr>
              <w:t>三级评价标准判据</w:t>
            </w:r>
          </w:p>
        </w:tc>
        <w:tc>
          <w:tcPr>
            <w:tcW w:w="1135" w:type="dxa"/>
            <w:vAlign w:val="center"/>
          </w:tcPr>
          <w:p>
            <w:pPr>
              <w:pStyle w:val="40"/>
            </w:pPr>
            <w:r>
              <w:t>3</w:t>
            </w:r>
            <w:r>
              <w:rPr>
                <w:rFonts w:hint="eastAsia"/>
              </w:rPr>
              <w:t>类、</w:t>
            </w:r>
            <w:r>
              <w:t>4a</w:t>
            </w:r>
            <w:r>
              <w:rPr>
                <w:rFonts w:hint="eastAsia"/>
              </w:rPr>
              <w:t>类</w:t>
            </w:r>
          </w:p>
        </w:tc>
        <w:tc>
          <w:tcPr>
            <w:tcW w:w="1152" w:type="dxa"/>
            <w:vAlign w:val="center"/>
          </w:tcPr>
          <w:p>
            <w:pPr>
              <w:pStyle w:val="40"/>
            </w:pPr>
            <w:r>
              <w:rPr>
                <w:rFonts w:hint="eastAsia"/>
              </w:rPr>
              <w:t>＜</w:t>
            </w:r>
            <w:r>
              <w:t>3dB(A)</w:t>
            </w:r>
          </w:p>
        </w:tc>
        <w:tc>
          <w:tcPr>
            <w:tcW w:w="1539" w:type="dxa"/>
            <w:vAlign w:val="center"/>
          </w:tcPr>
          <w:p>
            <w:pPr>
              <w:pStyle w:val="40"/>
            </w:pPr>
            <w:r>
              <w:rPr>
                <w:rFonts w:hint="eastAsia"/>
              </w:rPr>
              <w:t>变化不大</w:t>
            </w:r>
          </w:p>
        </w:tc>
        <w:tc>
          <w:tcPr>
            <w:tcW w:w="2622"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828" w:type="dxa"/>
            <w:vAlign w:val="center"/>
          </w:tcPr>
          <w:p>
            <w:pPr>
              <w:pStyle w:val="40"/>
            </w:pPr>
            <w:r>
              <w:rPr>
                <w:rFonts w:hint="eastAsia"/>
              </w:rPr>
              <w:t>本项目</w:t>
            </w:r>
          </w:p>
        </w:tc>
        <w:tc>
          <w:tcPr>
            <w:tcW w:w="1135" w:type="dxa"/>
            <w:vAlign w:val="center"/>
          </w:tcPr>
          <w:p>
            <w:pPr>
              <w:pStyle w:val="40"/>
            </w:pPr>
            <w:r>
              <w:t>2</w:t>
            </w:r>
            <w:r>
              <w:rPr>
                <w:rFonts w:hint="eastAsia"/>
              </w:rPr>
              <w:t>类</w:t>
            </w:r>
          </w:p>
        </w:tc>
        <w:tc>
          <w:tcPr>
            <w:tcW w:w="1152" w:type="dxa"/>
            <w:vAlign w:val="center"/>
          </w:tcPr>
          <w:p>
            <w:pPr>
              <w:pStyle w:val="40"/>
            </w:pPr>
            <w:r>
              <w:rPr>
                <w:rFonts w:hint="eastAsia"/>
              </w:rPr>
              <w:t>＜</w:t>
            </w:r>
            <w:r>
              <w:t>3dB(A)</w:t>
            </w:r>
          </w:p>
        </w:tc>
        <w:tc>
          <w:tcPr>
            <w:tcW w:w="1539" w:type="dxa"/>
            <w:vAlign w:val="center"/>
          </w:tcPr>
          <w:p>
            <w:pPr>
              <w:pStyle w:val="40"/>
            </w:pPr>
            <w:r>
              <w:rPr>
                <w:rFonts w:hint="eastAsia"/>
              </w:rPr>
              <w:t>变化不大</w:t>
            </w:r>
          </w:p>
        </w:tc>
        <w:tc>
          <w:tcPr>
            <w:tcW w:w="2622" w:type="dxa"/>
            <w:vAlign w:val="center"/>
          </w:tcPr>
          <w:p>
            <w:pPr>
              <w:pStyle w:val="4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1828" w:type="dxa"/>
            <w:vAlign w:val="center"/>
          </w:tcPr>
          <w:p>
            <w:pPr>
              <w:pStyle w:val="40"/>
            </w:pPr>
            <w:r>
              <w:rPr>
                <w:rFonts w:hint="eastAsia"/>
              </w:rPr>
              <w:t>评价等级</w:t>
            </w:r>
          </w:p>
        </w:tc>
        <w:tc>
          <w:tcPr>
            <w:tcW w:w="6448" w:type="dxa"/>
            <w:gridSpan w:val="4"/>
            <w:vAlign w:val="center"/>
          </w:tcPr>
          <w:p>
            <w:pPr>
              <w:pStyle w:val="40"/>
            </w:pPr>
            <w:r>
              <w:rPr>
                <w:rFonts w:hint="eastAsia"/>
              </w:rPr>
              <w:t>二级</w:t>
            </w:r>
          </w:p>
        </w:tc>
      </w:tr>
    </w:tbl>
    <w:p>
      <w:pPr>
        <w:ind w:firstLine="480"/>
      </w:pPr>
      <w:r>
        <w:t>该项目</w:t>
      </w:r>
      <w:r>
        <w:rPr>
          <w:rFonts w:hint="eastAsia"/>
        </w:rPr>
        <w:t>位于2类区</w:t>
      </w:r>
      <w:r>
        <w:t>，建设前后评价范围内敏感点噪声级增高量在3dB</w:t>
      </w:r>
      <w:r>
        <w:rPr>
          <w:rFonts w:hint="eastAsia"/>
        </w:rPr>
        <w:t>（</w:t>
      </w:r>
      <w:r>
        <w:t>A</w:t>
      </w:r>
      <w:r>
        <w:rPr>
          <w:rFonts w:hint="eastAsia"/>
        </w:rPr>
        <w:t>）</w:t>
      </w:r>
      <w:r>
        <w:t>以</w:t>
      </w:r>
      <w:r>
        <w:rPr>
          <w:rFonts w:hint="eastAsia"/>
        </w:rPr>
        <w:t>下</w:t>
      </w:r>
      <w:r>
        <w:t>，且受影响人口数量变化不大，根据《环境影响评价技术导则声环境》（HJ2.4-2021）声环境影响评价工作等级定为</w:t>
      </w:r>
      <w:r>
        <w:rPr>
          <w:rFonts w:hint="eastAsia"/>
        </w:rPr>
        <w:t>二级</w:t>
      </w:r>
      <w:r>
        <w:t>。</w:t>
      </w:r>
    </w:p>
    <w:p>
      <w:pPr>
        <w:pStyle w:val="5"/>
      </w:pPr>
      <w:r>
        <w:rPr>
          <w:rFonts w:hint="eastAsia"/>
        </w:rPr>
        <w:t>生态环境</w:t>
      </w:r>
      <w:r>
        <w:t>评价等级</w:t>
      </w:r>
    </w:p>
    <w:p>
      <w:pPr>
        <w:pStyle w:val="79"/>
        <w:ind w:firstLine="480"/>
      </w:pPr>
      <w:r>
        <w:rPr>
          <w:rStyle w:val="80"/>
        </w:rPr>
        <w:t>项目位于</w:t>
      </w:r>
      <w:r>
        <w:rPr>
          <w:rStyle w:val="80"/>
          <w:rFonts w:hint="eastAsia"/>
        </w:rPr>
        <w:t>旬阳市关口镇关坪村</w:t>
      </w:r>
      <w:r>
        <w:rPr>
          <w:rStyle w:val="80"/>
        </w:rPr>
        <w:t>，项目用地</w:t>
      </w:r>
      <w:r>
        <w:rPr>
          <w:rStyle w:val="80"/>
          <w:rFonts w:hint="eastAsia"/>
        </w:rPr>
        <w:t>总规模</w:t>
      </w:r>
      <w:r>
        <w:rPr>
          <w:rStyle w:val="80"/>
        </w:rPr>
        <w:t>为</w:t>
      </w:r>
      <w:r>
        <w:rPr>
          <w:rStyle w:val="80"/>
          <w:rFonts w:hint="eastAsia"/>
        </w:rPr>
        <w:t>27737.7</w:t>
      </w:r>
      <w:r>
        <w:rPr>
          <w:rStyle w:val="80"/>
        </w:rPr>
        <w:t>m</w:t>
      </w:r>
      <w:r>
        <w:rPr>
          <w:rStyle w:val="80"/>
          <w:vertAlign w:val="superscript"/>
        </w:rPr>
        <w:t>2</w:t>
      </w:r>
      <w:r>
        <w:rPr>
          <w:rStyle w:val="80"/>
        </w:rPr>
        <w:t>，结合项目区</w:t>
      </w:r>
      <w:r>
        <w:rPr>
          <w:rStyle w:val="80"/>
          <w:rFonts w:hint="eastAsia"/>
        </w:rPr>
        <w:t>生态</w:t>
      </w:r>
      <w:r>
        <w:rPr>
          <w:rStyle w:val="80"/>
        </w:rPr>
        <w:t>敏感性和影响程度分析，本</w:t>
      </w:r>
      <w:r>
        <w:rPr>
          <w:rStyle w:val="80"/>
          <w:rFonts w:hint="eastAsia"/>
        </w:rPr>
        <w:t>项目</w:t>
      </w:r>
      <w:r>
        <w:rPr>
          <w:rStyle w:val="80"/>
        </w:rPr>
        <w:t>不涉及国家公园、自然保护区、</w:t>
      </w:r>
      <w:r>
        <w:rPr>
          <w:rStyle w:val="80"/>
          <w:rFonts w:hint="eastAsia"/>
        </w:rPr>
        <w:t>世界</w:t>
      </w:r>
      <w:r>
        <w:rPr>
          <w:rStyle w:val="80"/>
        </w:rPr>
        <w:t>自然遗产、重要生境</w:t>
      </w:r>
      <w:r>
        <w:rPr>
          <w:rStyle w:val="80"/>
          <w:rFonts w:hint="eastAsia"/>
        </w:rPr>
        <w:t>、自然</w:t>
      </w:r>
      <w:r>
        <w:rPr>
          <w:rStyle w:val="80"/>
        </w:rPr>
        <w:t>公园，生态保护红线等</w:t>
      </w:r>
      <w:r>
        <w:rPr>
          <w:rStyle w:val="80"/>
          <w:rFonts w:hint="eastAsia"/>
        </w:rPr>
        <w:t>情况，</w:t>
      </w:r>
      <w:r>
        <w:rPr>
          <w:rStyle w:val="80"/>
        </w:rPr>
        <w:t>占地规模小于</w:t>
      </w:r>
      <w:r>
        <w:rPr>
          <w:rStyle w:val="80"/>
          <w:rFonts w:hint="eastAsia"/>
        </w:rPr>
        <w:t>20</w:t>
      </w:r>
      <w:r>
        <w:rPr>
          <w:rStyle w:val="80"/>
        </w:rPr>
        <w:t>km</w:t>
      </w:r>
      <w:r>
        <w:rPr>
          <w:rStyle w:val="80"/>
          <w:vertAlign w:val="superscript"/>
        </w:rPr>
        <w:t>2</w:t>
      </w:r>
      <w:r>
        <w:rPr>
          <w:rStyle w:val="80"/>
        </w:rPr>
        <w:t>，</w:t>
      </w:r>
      <w:r>
        <w:t>按《环境影响评价技术导则生态影响》（HJ 19-2022）要求，确定本项目生态环境影响评价工作等级为三级。</w:t>
      </w:r>
    </w:p>
    <w:p>
      <w:pPr>
        <w:pStyle w:val="5"/>
      </w:pPr>
      <w:r>
        <w:rPr>
          <w:rFonts w:hint="eastAsia"/>
        </w:rPr>
        <w:t>土壤</w:t>
      </w:r>
      <w:r>
        <w:t>环境影响评价</w:t>
      </w:r>
    </w:p>
    <w:p>
      <w:pPr>
        <w:ind w:firstLine="480"/>
        <w:rPr>
          <w:rFonts w:asciiTheme="minorEastAsia" w:hAnsiTheme="minorEastAsia" w:eastAsiaTheme="minorEastAsia"/>
        </w:rPr>
      </w:pPr>
      <w:r>
        <w:rPr>
          <w:rFonts w:hint="eastAsia"/>
        </w:rPr>
        <w:t>本项目</w:t>
      </w:r>
      <w:r>
        <w:t>属于养殖业，根据《环境影响评价技术导则土壤环境（试行）》（HJ964-2018）附录A 中土壤环境影响评价项目类别中的</w:t>
      </w:r>
      <w:r>
        <w:rPr>
          <w:rFonts w:hint="eastAsia"/>
        </w:rPr>
        <w:t>“农</w:t>
      </w:r>
      <w:r>
        <w:t>林牧</w:t>
      </w:r>
      <w:r>
        <w:rPr>
          <w:rFonts w:hint="eastAsia"/>
        </w:rPr>
        <w:t>渔业”、</w:t>
      </w:r>
      <w:r>
        <w:rPr>
          <w:rFonts w:asciiTheme="minorEastAsia" w:hAnsiTheme="minorEastAsia" w:eastAsiaTheme="minorEastAsia"/>
        </w:rPr>
        <w:t>“年出栏生</w:t>
      </w:r>
      <w:r>
        <w:rPr>
          <w:rFonts w:hAnsiTheme="minorEastAsia" w:eastAsiaTheme="minorEastAsia"/>
        </w:rPr>
        <w:t>猪</w:t>
      </w:r>
      <w:r>
        <w:rPr>
          <w:rFonts w:eastAsiaTheme="minorEastAsia"/>
        </w:rPr>
        <w:t>5000</w:t>
      </w:r>
      <w:r>
        <w:rPr>
          <w:rFonts w:hAnsiTheme="minorEastAsia" w:eastAsiaTheme="minorEastAsia"/>
        </w:rPr>
        <w:t>头（其他畜</w:t>
      </w:r>
      <w:r>
        <w:rPr>
          <w:rFonts w:asciiTheme="minorEastAsia" w:hAnsiTheme="minorEastAsia" w:eastAsiaTheme="minorEastAsia"/>
        </w:rPr>
        <w:t>禽种类折合猪的养殖规模）及以上的畜禽养殖场或养殖小区”</w:t>
      </w:r>
      <w:r>
        <w:rPr>
          <w:rFonts w:hint="eastAsia" w:asciiTheme="minorEastAsia" w:hAnsiTheme="minorEastAsia" w:eastAsiaTheme="minorEastAsia"/>
        </w:rPr>
        <w:t>，</w:t>
      </w:r>
      <w:r>
        <w:t>属于</w:t>
      </w:r>
      <w:r>
        <w:rPr>
          <w:rFonts w:hint="eastAsia" w:ascii="宋体" w:cs="宋体"/>
        </w:rPr>
        <w:t>Ⅲ</w:t>
      </w:r>
      <w:r>
        <w:t>类项目。</w:t>
      </w:r>
    </w:p>
    <w:p>
      <w:pPr>
        <w:pStyle w:val="79"/>
        <w:ind w:firstLine="480"/>
        <w:rPr>
          <w:rFonts w:cs="Times New Roman"/>
        </w:rPr>
      </w:pPr>
      <w:r>
        <w:rPr>
          <w:rFonts w:cs="Times New Roman"/>
        </w:rPr>
        <w:t>根据《环境影响评价技术导则土壤环境（试行）》（HJ964-2018），土壤环境影响评价工作等级判定</w:t>
      </w:r>
      <w:r>
        <w:rPr>
          <w:rFonts w:hint="eastAsia" w:cs="Times New Roman"/>
        </w:rPr>
        <w:t>表2.5-5。</w:t>
      </w:r>
    </w:p>
    <w:p>
      <w:pPr>
        <w:pStyle w:val="85"/>
        <w:rPr>
          <w:rFonts w:hAnsi="Times New Roman"/>
        </w:rPr>
      </w:pPr>
      <w:bookmarkStart w:id="41" w:name="_Ref26797701"/>
      <w:r>
        <w:rPr>
          <w:rFonts w:hAnsi="Times New Roman"/>
        </w:rPr>
        <w:br w:type="column"/>
      </w:r>
      <w:r>
        <w:rPr>
          <w:rFonts w:hAnsi="Times New Roman"/>
        </w:rPr>
        <w:t>表</w:t>
      </w:r>
      <w:bookmarkEnd w:id="41"/>
      <w:r>
        <w:rPr>
          <w:rFonts w:hint="eastAsia" w:hAnsi="Times New Roman"/>
        </w:rPr>
        <w:t>2.5-</w:t>
      </w:r>
      <w:r>
        <w:rPr>
          <w:rFonts w:hAnsi="Times New Roman"/>
        </w:rPr>
        <w:t>5  污染影响型评价工作等级划分表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853"/>
        <w:gridCol w:w="710"/>
        <w:gridCol w:w="708"/>
        <w:gridCol w:w="708"/>
        <w:gridCol w:w="710"/>
        <w:gridCol w:w="710"/>
        <w:gridCol w:w="707"/>
        <w:gridCol w:w="708"/>
        <w:gridCol w:w="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restart"/>
            <w:vAlign w:val="center"/>
          </w:tcPr>
          <w:p>
            <w:pPr>
              <w:pStyle w:val="89"/>
            </w:pPr>
            <w:r>
              <mc:AlternateContent>
                <mc:Choice Requires="wps">
                  <w:drawing>
                    <wp:anchor distT="0" distB="0" distL="114300" distR="114300" simplePos="0" relativeHeight="252314624" behindDoc="0" locked="0" layoutInCell="1" allowOverlap="1">
                      <wp:simplePos x="0" y="0"/>
                      <wp:positionH relativeFrom="column">
                        <wp:posOffset>324485</wp:posOffset>
                      </wp:positionH>
                      <wp:positionV relativeFrom="paragraph">
                        <wp:posOffset>6350</wp:posOffset>
                      </wp:positionV>
                      <wp:extent cx="704215" cy="608965"/>
                      <wp:effectExtent l="0" t="0" r="19685" b="19685"/>
                      <wp:wrapNone/>
                      <wp:docPr id="1004" name="直接连接符 7"/>
                      <wp:cNvGraphicFramePr/>
                      <a:graphic xmlns:a="http://schemas.openxmlformats.org/drawingml/2006/main">
                        <a:graphicData uri="http://schemas.microsoft.com/office/word/2010/wordprocessingShape">
                          <wps:wsp>
                            <wps:cNvCnPr/>
                            <wps:spPr>
                              <a:xfrm flipH="1" flipV="1">
                                <a:off x="0" y="0"/>
                                <a:ext cx="704215" cy="6089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7" o:spid="_x0000_s1026" o:spt="20" style="position:absolute;left:0pt;flip:x y;margin-left:25.55pt;margin-top:0.5pt;height:47.95pt;width:55.45pt;z-index:252314624;mso-width-relative:page;mso-height-relative:page;" filled="f" stroked="t" coordsize="21600,21600" o:gfxdata="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fQDZ9IAAAAHAQAADwAAAAAAAAABACAAAAAiAAAAZHJzL2Rv&#10;d25yZXYueG1sUEsBAhQAFAAAAAgAh07iQM5s9E7OAQAAZwMAAA4AAAAAAAAAAQAgAAAAIQEAAGRy&#10;cy9lMm9Eb2MueG1sUEsFBgAAAAAGAAYAWQEAAGEFAAAAAA==&#10;">
                      <v:fill on="f" focussize="0,0"/>
                      <v:stroke color="#000000 [3213]" joinstyle="round"/>
                      <v:imagedata o:title=""/>
                      <o:lock v:ext="edit" aspectratio="f"/>
                    </v:line>
                  </w:pict>
                </mc:Fallback>
              </mc:AlternateContent>
            </w:r>
            <w:r>
              <w:t>占地规模</w:t>
            </w:r>
          </w:p>
          <w:p>
            <w:pPr>
              <w:pStyle w:val="89"/>
              <w:jc w:val="both"/>
            </w:pPr>
            <w:r>
              <mc:AlternateContent>
                <mc:Choice Requires="wps">
                  <w:drawing>
                    <wp:anchor distT="0" distB="0" distL="114300" distR="114300" simplePos="0" relativeHeight="252315648" behindDoc="0" locked="0" layoutInCell="1" allowOverlap="1">
                      <wp:simplePos x="0" y="0"/>
                      <wp:positionH relativeFrom="column">
                        <wp:posOffset>-635</wp:posOffset>
                      </wp:positionH>
                      <wp:positionV relativeFrom="paragraph">
                        <wp:posOffset>95250</wp:posOffset>
                      </wp:positionV>
                      <wp:extent cx="1029335" cy="313055"/>
                      <wp:effectExtent l="0" t="0" r="18415" b="29845"/>
                      <wp:wrapNone/>
                      <wp:docPr id="1003" name="直接连接符 9"/>
                      <wp:cNvGraphicFramePr/>
                      <a:graphic xmlns:a="http://schemas.openxmlformats.org/drawingml/2006/main">
                        <a:graphicData uri="http://schemas.microsoft.com/office/word/2010/wordprocessingShape">
                          <wps:wsp>
                            <wps:cNvCnPr/>
                            <wps:spPr>
                              <a:xfrm flipH="1" flipV="1">
                                <a:off x="0" y="0"/>
                                <a:ext cx="1029335" cy="313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9" o:spid="_x0000_s1026" o:spt="20" style="position:absolute;left:0pt;flip:x y;margin-left:-0.05pt;margin-top:7.5pt;height:24.65pt;width:81.05pt;z-index:252315648;mso-width-relative:page;mso-height-relative:page;" filled="f" stroked="t" coordsize="21600,21600" o:gfxdata="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Nj04HTAAAABwEAAA8AAAAAAAAAAQAgAAAAIgAAAGRycy9k&#10;b3ducmV2LnhtbFBLAQIUABQAAAAIAIdO4kB+/yQHzgEAAGgDAAAOAAAAAAAAAAEAIAAAACIBAABk&#10;cnMvZTJvRG9jLnhtbFBLBQYAAAAABgAGAFkBAABiBQAAAAA=&#10;">
                      <v:fill on="f" focussize="0,0"/>
                      <v:stroke color="#000000 [3213]" joinstyle="round"/>
                      <v:imagedata o:title=""/>
                      <o:lock v:ext="edit" aspectratio="f"/>
                    </v:line>
                  </w:pict>
                </mc:Fallback>
              </mc:AlternateContent>
            </w:r>
            <w:r>
              <w:t>评价工作等级</w:t>
            </w:r>
          </w:p>
          <w:p>
            <w:pPr>
              <w:pStyle w:val="89"/>
              <w:jc w:val="both"/>
            </w:pPr>
            <w:r>
              <w:t>敏感程度</w:t>
            </w:r>
          </w:p>
        </w:tc>
        <w:tc>
          <w:tcPr>
            <w:tcW w:w="2271" w:type="dxa"/>
            <w:gridSpan w:val="3"/>
            <w:vAlign w:val="center"/>
          </w:tcPr>
          <w:p>
            <w:pPr>
              <w:pStyle w:val="89"/>
            </w:pPr>
            <w:r>
              <w:rPr>
                <w:rFonts w:hint="eastAsia" w:ascii="宋体" w:cs="宋体"/>
              </w:rPr>
              <w:t>Ⅰ</w:t>
            </w:r>
            <w:r>
              <w:t>类</w:t>
            </w:r>
          </w:p>
        </w:tc>
        <w:tc>
          <w:tcPr>
            <w:tcW w:w="2128" w:type="dxa"/>
            <w:gridSpan w:val="3"/>
            <w:vAlign w:val="center"/>
          </w:tcPr>
          <w:p>
            <w:pPr>
              <w:pStyle w:val="89"/>
            </w:pPr>
            <w:r>
              <w:rPr>
                <w:rFonts w:hint="eastAsia" w:ascii="宋体" w:cs="宋体"/>
              </w:rPr>
              <w:t>Ⅱ</w:t>
            </w:r>
          </w:p>
        </w:tc>
        <w:tc>
          <w:tcPr>
            <w:tcW w:w="2188" w:type="dxa"/>
            <w:gridSpan w:val="3"/>
            <w:vAlign w:val="center"/>
          </w:tcPr>
          <w:p>
            <w:pPr>
              <w:pStyle w:val="89"/>
            </w:pPr>
            <w:r>
              <w:rPr>
                <w:rFonts w:hint="eastAsia" w:ascii="宋体" w:cs="宋体"/>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continue"/>
            <w:vAlign w:val="center"/>
          </w:tcPr>
          <w:p>
            <w:pPr>
              <w:pStyle w:val="89"/>
            </w:pPr>
          </w:p>
        </w:tc>
        <w:tc>
          <w:tcPr>
            <w:tcW w:w="853" w:type="dxa"/>
            <w:vAlign w:val="center"/>
          </w:tcPr>
          <w:p>
            <w:pPr>
              <w:pStyle w:val="89"/>
            </w:pPr>
            <w:r>
              <w:t>大</w:t>
            </w:r>
          </w:p>
        </w:tc>
        <w:tc>
          <w:tcPr>
            <w:tcW w:w="710" w:type="dxa"/>
            <w:vAlign w:val="center"/>
          </w:tcPr>
          <w:p>
            <w:pPr>
              <w:pStyle w:val="89"/>
            </w:pPr>
            <w:r>
              <w:t>中</w:t>
            </w:r>
          </w:p>
        </w:tc>
        <w:tc>
          <w:tcPr>
            <w:tcW w:w="708" w:type="dxa"/>
            <w:vAlign w:val="center"/>
          </w:tcPr>
          <w:p>
            <w:pPr>
              <w:pStyle w:val="89"/>
            </w:pPr>
            <w:r>
              <w:t>小</w:t>
            </w:r>
          </w:p>
        </w:tc>
        <w:tc>
          <w:tcPr>
            <w:tcW w:w="708" w:type="dxa"/>
            <w:vAlign w:val="center"/>
          </w:tcPr>
          <w:p>
            <w:pPr>
              <w:pStyle w:val="89"/>
            </w:pPr>
            <w:r>
              <w:t>大</w:t>
            </w:r>
          </w:p>
        </w:tc>
        <w:tc>
          <w:tcPr>
            <w:tcW w:w="710" w:type="dxa"/>
            <w:vAlign w:val="center"/>
          </w:tcPr>
          <w:p>
            <w:pPr>
              <w:pStyle w:val="89"/>
            </w:pPr>
            <w:r>
              <w:t>中</w:t>
            </w:r>
          </w:p>
        </w:tc>
        <w:tc>
          <w:tcPr>
            <w:tcW w:w="710" w:type="dxa"/>
            <w:vAlign w:val="center"/>
          </w:tcPr>
          <w:p>
            <w:pPr>
              <w:pStyle w:val="89"/>
            </w:pPr>
            <w:r>
              <w:t>小</w:t>
            </w:r>
          </w:p>
        </w:tc>
        <w:tc>
          <w:tcPr>
            <w:tcW w:w="707" w:type="dxa"/>
            <w:vAlign w:val="center"/>
          </w:tcPr>
          <w:p>
            <w:pPr>
              <w:pStyle w:val="89"/>
            </w:pPr>
            <w:r>
              <w:t>大</w:t>
            </w:r>
          </w:p>
        </w:tc>
        <w:tc>
          <w:tcPr>
            <w:tcW w:w="708" w:type="dxa"/>
            <w:vAlign w:val="center"/>
          </w:tcPr>
          <w:p>
            <w:pPr>
              <w:pStyle w:val="89"/>
            </w:pPr>
            <w:r>
              <w:t>中</w:t>
            </w:r>
          </w:p>
        </w:tc>
        <w:tc>
          <w:tcPr>
            <w:tcW w:w="773" w:type="dxa"/>
            <w:vAlign w:val="center"/>
          </w:tcPr>
          <w:p>
            <w:pPr>
              <w:pStyle w:val="89"/>
            </w:pPr>
            <w: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pStyle w:val="89"/>
            </w:pPr>
            <w:r>
              <w:t>敏感</w:t>
            </w:r>
          </w:p>
        </w:tc>
        <w:tc>
          <w:tcPr>
            <w:tcW w:w="853" w:type="dxa"/>
            <w:vAlign w:val="center"/>
          </w:tcPr>
          <w:p>
            <w:pPr>
              <w:pStyle w:val="89"/>
            </w:pPr>
            <w:r>
              <w:t>一级</w:t>
            </w:r>
          </w:p>
        </w:tc>
        <w:tc>
          <w:tcPr>
            <w:tcW w:w="710" w:type="dxa"/>
            <w:vAlign w:val="center"/>
          </w:tcPr>
          <w:p>
            <w:pPr>
              <w:pStyle w:val="89"/>
            </w:pPr>
            <w:r>
              <w:t>一级</w:t>
            </w:r>
          </w:p>
        </w:tc>
        <w:tc>
          <w:tcPr>
            <w:tcW w:w="708" w:type="dxa"/>
            <w:vAlign w:val="center"/>
          </w:tcPr>
          <w:p>
            <w:pPr>
              <w:pStyle w:val="89"/>
            </w:pPr>
            <w:r>
              <w:t>一级</w:t>
            </w:r>
          </w:p>
        </w:tc>
        <w:tc>
          <w:tcPr>
            <w:tcW w:w="708" w:type="dxa"/>
            <w:vAlign w:val="center"/>
          </w:tcPr>
          <w:p>
            <w:pPr>
              <w:pStyle w:val="89"/>
            </w:pPr>
            <w:r>
              <w:t>二级</w:t>
            </w:r>
          </w:p>
        </w:tc>
        <w:tc>
          <w:tcPr>
            <w:tcW w:w="710" w:type="dxa"/>
            <w:vAlign w:val="center"/>
          </w:tcPr>
          <w:p>
            <w:pPr>
              <w:pStyle w:val="89"/>
            </w:pPr>
            <w:r>
              <w:t>二级</w:t>
            </w:r>
          </w:p>
        </w:tc>
        <w:tc>
          <w:tcPr>
            <w:tcW w:w="710" w:type="dxa"/>
            <w:vAlign w:val="center"/>
          </w:tcPr>
          <w:p>
            <w:pPr>
              <w:pStyle w:val="89"/>
            </w:pPr>
            <w:r>
              <w:t>二级</w:t>
            </w:r>
          </w:p>
        </w:tc>
        <w:tc>
          <w:tcPr>
            <w:tcW w:w="707" w:type="dxa"/>
            <w:vAlign w:val="center"/>
          </w:tcPr>
          <w:p>
            <w:pPr>
              <w:pStyle w:val="89"/>
            </w:pPr>
            <w:r>
              <w:t>三级</w:t>
            </w:r>
          </w:p>
        </w:tc>
        <w:tc>
          <w:tcPr>
            <w:tcW w:w="708" w:type="dxa"/>
            <w:vAlign w:val="center"/>
          </w:tcPr>
          <w:p>
            <w:pPr>
              <w:pStyle w:val="89"/>
            </w:pPr>
            <w:r>
              <w:t>三级</w:t>
            </w:r>
          </w:p>
        </w:tc>
        <w:tc>
          <w:tcPr>
            <w:tcW w:w="773" w:type="dxa"/>
            <w:vAlign w:val="center"/>
          </w:tcPr>
          <w:p>
            <w:pPr>
              <w:pStyle w:val="89"/>
            </w:pPr>
            <w: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pStyle w:val="89"/>
            </w:pPr>
            <w:r>
              <w:t>较敏感</w:t>
            </w:r>
          </w:p>
        </w:tc>
        <w:tc>
          <w:tcPr>
            <w:tcW w:w="853" w:type="dxa"/>
            <w:vAlign w:val="center"/>
          </w:tcPr>
          <w:p>
            <w:pPr>
              <w:pStyle w:val="89"/>
            </w:pPr>
            <w:r>
              <w:t>一级</w:t>
            </w:r>
          </w:p>
        </w:tc>
        <w:tc>
          <w:tcPr>
            <w:tcW w:w="710" w:type="dxa"/>
            <w:vAlign w:val="center"/>
          </w:tcPr>
          <w:p>
            <w:pPr>
              <w:pStyle w:val="89"/>
            </w:pPr>
            <w:r>
              <w:t>一级</w:t>
            </w:r>
          </w:p>
        </w:tc>
        <w:tc>
          <w:tcPr>
            <w:tcW w:w="708" w:type="dxa"/>
            <w:vAlign w:val="center"/>
          </w:tcPr>
          <w:p>
            <w:pPr>
              <w:pStyle w:val="89"/>
            </w:pPr>
            <w:r>
              <w:t>二级</w:t>
            </w:r>
          </w:p>
        </w:tc>
        <w:tc>
          <w:tcPr>
            <w:tcW w:w="708" w:type="dxa"/>
            <w:vAlign w:val="center"/>
          </w:tcPr>
          <w:p>
            <w:pPr>
              <w:pStyle w:val="89"/>
            </w:pPr>
            <w:r>
              <w:t>二级</w:t>
            </w:r>
          </w:p>
        </w:tc>
        <w:tc>
          <w:tcPr>
            <w:tcW w:w="710" w:type="dxa"/>
            <w:vAlign w:val="center"/>
          </w:tcPr>
          <w:p>
            <w:pPr>
              <w:pStyle w:val="89"/>
            </w:pPr>
            <w:r>
              <w:t>二级</w:t>
            </w:r>
          </w:p>
        </w:tc>
        <w:tc>
          <w:tcPr>
            <w:tcW w:w="710" w:type="dxa"/>
            <w:vAlign w:val="center"/>
          </w:tcPr>
          <w:p>
            <w:pPr>
              <w:pStyle w:val="89"/>
            </w:pPr>
            <w:r>
              <w:t>三级</w:t>
            </w:r>
          </w:p>
        </w:tc>
        <w:tc>
          <w:tcPr>
            <w:tcW w:w="707" w:type="dxa"/>
            <w:vAlign w:val="center"/>
          </w:tcPr>
          <w:p>
            <w:pPr>
              <w:pStyle w:val="89"/>
            </w:pPr>
            <w:r>
              <w:t>三级</w:t>
            </w:r>
          </w:p>
        </w:tc>
        <w:tc>
          <w:tcPr>
            <w:tcW w:w="708" w:type="dxa"/>
            <w:vAlign w:val="center"/>
          </w:tcPr>
          <w:p>
            <w:pPr>
              <w:pStyle w:val="89"/>
            </w:pPr>
            <w:r>
              <w:t>三级</w:t>
            </w:r>
          </w:p>
        </w:tc>
        <w:tc>
          <w:tcPr>
            <w:tcW w:w="773" w:type="dxa"/>
            <w:vAlign w:val="center"/>
          </w:tcPr>
          <w:p>
            <w:pPr>
              <w:pStyle w:val="89"/>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pStyle w:val="89"/>
            </w:pPr>
            <w:r>
              <w:t>不敏感</w:t>
            </w:r>
          </w:p>
        </w:tc>
        <w:tc>
          <w:tcPr>
            <w:tcW w:w="853" w:type="dxa"/>
            <w:vAlign w:val="center"/>
          </w:tcPr>
          <w:p>
            <w:pPr>
              <w:pStyle w:val="89"/>
            </w:pPr>
            <w:r>
              <w:t>一级</w:t>
            </w:r>
          </w:p>
        </w:tc>
        <w:tc>
          <w:tcPr>
            <w:tcW w:w="710" w:type="dxa"/>
            <w:vAlign w:val="center"/>
          </w:tcPr>
          <w:p>
            <w:pPr>
              <w:pStyle w:val="89"/>
            </w:pPr>
            <w:r>
              <w:t>二级</w:t>
            </w:r>
          </w:p>
        </w:tc>
        <w:tc>
          <w:tcPr>
            <w:tcW w:w="708" w:type="dxa"/>
            <w:vAlign w:val="center"/>
          </w:tcPr>
          <w:p>
            <w:pPr>
              <w:pStyle w:val="89"/>
            </w:pPr>
            <w:r>
              <w:t>二级</w:t>
            </w:r>
          </w:p>
        </w:tc>
        <w:tc>
          <w:tcPr>
            <w:tcW w:w="708" w:type="dxa"/>
            <w:vAlign w:val="center"/>
          </w:tcPr>
          <w:p>
            <w:pPr>
              <w:pStyle w:val="89"/>
            </w:pPr>
            <w:r>
              <w:t>二级</w:t>
            </w:r>
          </w:p>
        </w:tc>
        <w:tc>
          <w:tcPr>
            <w:tcW w:w="710" w:type="dxa"/>
            <w:vAlign w:val="center"/>
          </w:tcPr>
          <w:p>
            <w:pPr>
              <w:pStyle w:val="89"/>
            </w:pPr>
            <w:r>
              <w:t>三级</w:t>
            </w:r>
          </w:p>
        </w:tc>
        <w:tc>
          <w:tcPr>
            <w:tcW w:w="710" w:type="dxa"/>
            <w:vAlign w:val="center"/>
          </w:tcPr>
          <w:p>
            <w:pPr>
              <w:pStyle w:val="89"/>
            </w:pPr>
            <w:r>
              <w:t>三级</w:t>
            </w:r>
          </w:p>
        </w:tc>
        <w:tc>
          <w:tcPr>
            <w:tcW w:w="707" w:type="dxa"/>
            <w:vAlign w:val="center"/>
          </w:tcPr>
          <w:p>
            <w:pPr>
              <w:pStyle w:val="89"/>
            </w:pPr>
            <w:r>
              <w:t>三级</w:t>
            </w:r>
          </w:p>
        </w:tc>
        <w:tc>
          <w:tcPr>
            <w:tcW w:w="708" w:type="dxa"/>
            <w:vAlign w:val="center"/>
          </w:tcPr>
          <w:p>
            <w:pPr>
              <w:pStyle w:val="89"/>
            </w:pPr>
            <w:r>
              <w:t>-</w:t>
            </w:r>
          </w:p>
        </w:tc>
        <w:tc>
          <w:tcPr>
            <w:tcW w:w="773" w:type="dxa"/>
            <w:shd w:val="clear" w:color="auto" w:fill="auto"/>
            <w:vAlign w:val="center"/>
          </w:tcPr>
          <w:p>
            <w:pPr>
              <w:pStyle w:val="89"/>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76" w:type="dxa"/>
            <w:gridSpan w:val="10"/>
            <w:vAlign w:val="center"/>
          </w:tcPr>
          <w:p>
            <w:pPr>
              <w:pStyle w:val="89"/>
              <w:jc w:val="both"/>
            </w:pPr>
            <w:r>
              <w:t>注：“-”表示可不开展环境影响评价工作</w:t>
            </w:r>
          </w:p>
        </w:tc>
      </w:tr>
    </w:tbl>
    <w:p>
      <w:pPr>
        <w:pStyle w:val="79"/>
        <w:ind w:firstLine="480"/>
        <w:rPr>
          <w:rFonts w:cs="Times New Roman"/>
        </w:rPr>
      </w:pPr>
      <w:r>
        <w:rPr>
          <w:rFonts w:cs="Times New Roman"/>
        </w:rPr>
        <w:t>建设项目所在地周边的土壤环境敏感程度分为敏感、较敏感、不敏感，判别依据见</w:t>
      </w:r>
      <w:r>
        <w:rPr>
          <w:rFonts w:hint="eastAsia" w:cs="Times New Roman"/>
        </w:rPr>
        <w:t>表2.5-</w:t>
      </w:r>
      <w:r>
        <w:rPr>
          <w:rFonts w:cs="Times New Roman"/>
        </w:rPr>
        <w:t>6</w:t>
      </w:r>
      <w:r>
        <w:rPr>
          <w:rFonts w:hint="eastAsia" w:cs="Times New Roman"/>
        </w:rPr>
        <w:t>。</w:t>
      </w:r>
    </w:p>
    <w:p>
      <w:pPr>
        <w:pStyle w:val="85"/>
        <w:rPr>
          <w:rFonts w:hAnsi="Times New Roman"/>
        </w:rPr>
      </w:pPr>
      <w:bookmarkStart w:id="42" w:name="_Ref26797424"/>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bookmarkEnd w:id="42"/>
      <w:r>
        <w:rPr>
          <w:rFonts w:hAnsi="Times New Roman"/>
        </w:rPr>
        <w:t>6  污染影响型敏感程度分级表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6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4" w:type="dxa"/>
            <w:vAlign w:val="center"/>
          </w:tcPr>
          <w:p>
            <w:pPr>
              <w:pStyle w:val="40"/>
              <w:ind w:left="115" w:right="170"/>
            </w:pPr>
            <w:r>
              <w:t>敏感程度</w:t>
            </w:r>
          </w:p>
        </w:tc>
        <w:tc>
          <w:tcPr>
            <w:tcW w:w="6732" w:type="dxa"/>
            <w:vAlign w:val="center"/>
          </w:tcPr>
          <w:p>
            <w:pPr>
              <w:pStyle w:val="40"/>
              <w:ind w:left="115" w:right="170"/>
            </w:pPr>
            <w:r>
              <w:t>判别依据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4" w:type="dxa"/>
            <w:vAlign w:val="center"/>
          </w:tcPr>
          <w:p>
            <w:pPr>
              <w:pStyle w:val="40"/>
              <w:ind w:left="115" w:right="170"/>
            </w:pPr>
            <w:r>
              <w:t>敏感</w:t>
            </w:r>
          </w:p>
        </w:tc>
        <w:tc>
          <w:tcPr>
            <w:tcW w:w="6732" w:type="dxa"/>
            <w:vAlign w:val="center"/>
          </w:tcPr>
          <w:p>
            <w:pPr>
              <w:pStyle w:val="40"/>
              <w:ind w:left="115" w:right="170"/>
            </w:pPr>
            <w: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4" w:type="dxa"/>
            <w:vAlign w:val="center"/>
          </w:tcPr>
          <w:p>
            <w:pPr>
              <w:pStyle w:val="40"/>
              <w:ind w:left="115" w:right="170"/>
            </w:pPr>
            <w:r>
              <w:t>较敏感</w:t>
            </w:r>
          </w:p>
        </w:tc>
        <w:tc>
          <w:tcPr>
            <w:tcW w:w="6732" w:type="dxa"/>
            <w:vAlign w:val="center"/>
          </w:tcPr>
          <w:p>
            <w:pPr>
              <w:pStyle w:val="40"/>
              <w:ind w:left="115" w:right="170"/>
            </w:pPr>
            <w: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4" w:type="dxa"/>
            <w:vAlign w:val="center"/>
          </w:tcPr>
          <w:p>
            <w:pPr>
              <w:pStyle w:val="40"/>
              <w:ind w:left="115" w:right="170"/>
            </w:pPr>
            <w:r>
              <w:t>不敏感</w:t>
            </w:r>
          </w:p>
        </w:tc>
        <w:tc>
          <w:tcPr>
            <w:tcW w:w="6732" w:type="dxa"/>
            <w:vAlign w:val="center"/>
          </w:tcPr>
          <w:p>
            <w:pPr>
              <w:pStyle w:val="40"/>
              <w:ind w:left="115" w:right="170"/>
            </w:pPr>
            <w:r>
              <w:t>其他情况</w:t>
            </w:r>
          </w:p>
        </w:tc>
      </w:tr>
    </w:tbl>
    <w:p>
      <w:pPr>
        <w:ind w:firstLine="480"/>
        <w:rPr>
          <w:rFonts w:asciiTheme="minorEastAsia" w:hAnsiTheme="minorEastAsia" w:eastAsiaTheme="minorEastAsia"/>
        </w:rPr>
      </w:pPr>
      <w:r>
        <w:rPr>
          <w:rFonts w:hint="eastAsia" w:asciiTheme="minorEastAsia" w:hAnsiTheme="minorEastAsia" w:eastAsiaTheme="minorEastAsia"/>
        </w:rPr>
        <w:t>本项目</w:t>
      </w:r>
      <w:r>
        <w:rPr>
          <w:rFonts w:asciiTheme="minorEastAsia" w:hAnsiTheme="minorEastAsia" w:eastAsiaTheme="minorEastAsia"/>
        </w:rPr>
        <w:t>占地面积</w:t>
      </w:r>
      <w:r>
        <w:rPr>
          <w:rFonts w:hint="eastAsia" w:cstheme="minorBidi"/>
        </w:rPr>
        <w:t>27737.7</w:t>
      </w:r>
      <w:r>
        <w:rPr>
          <w:rStyle w:val="80"/>
        </w:rPr>
        <w:t>m</w:t>
      </w:r>
      <w:r>
        <w:rPr>
          <w:rStyle w:val="80"/>
          <w:vertAlign w:val="superscript"/>
        </w:rPr>
        <w:t>2</w:t>
      </w:r>
      <w:r>
        <w:rPr>
          <w:rStyle w:val="80"/>
          <w:rFonts w:hint="eastAsia"/>
        </w:rPr>
        <w:t>，</w:t>
      </w:r>
      <w:r>
        <w:rPr>
          <w:rFonts w:hint="eastAsia" w:asciiTheme="minorEastAsia" w:hAnsiTheme="minorEastAsia" w:eastAsiaTheme="minorEastAsia"/>
        </w:rPr>
        <w:t>占地</w:t>
      </w:r>
      <w:r>
        <w:rPr>
          <w:rFonts w:asciiTheme="minorEastAsia" w:hAnsiTheme="minorEastAsia" w:eastAsiaTheme="minorEastAsia"/>
        </w:rPr>
        <w:t>规模属于</w:t>
      </w:r>
      <w:r>
        <w:rPr>
          <w:rFonts w:hint="eastAsia" w:asciiTheme="minorEastAsia" w:hAnsiTheme="minorEastAsia" w:eastAsiaTheme="minorEastAsia"/>
        </w:rPr>
        <w:t>小</w:t>
      </w:r>
      <w:r>
        <w:rPr>
          <w:rFonts w:asciiTheme="minorEastAsia" w:hAnsiTheme="minorEastAsia" w:eastAsiaTheme="minorEastAsia"/>
        </w:rPr>
        <w:t>型，</w:t>
      </w:r>
      <w:r>
        <w:rPr>
          <w:rFonts w:hint="eastAsia" w:asciiTheme="minorEastAsia" w:hAnsiTheme="minorEastAsia" w:eastAsiaTheme="minorEastAsia"/>
        </w:rPr>
        <w:t>土壤敏感</w:t>
      </w:r>
      <w:r>
        <w:rPr>
          <w:rFonts w:asciiTheme="minorEastAsia" w:hAnsiTheme="minorEastAsia" w:eastAsiaTheme="minorEastAsia"/>
        </w:rPr>
        <w:t>成都为</w:t>
      </w:r>
      <w:r>
        <w:rPr>
          <w:rFonts w:hint="eastAsia" w:asciiTheme="minorEastAsia" w:hAnsiTheme="minorEastAsia" w:eastAsiaTheme="minorEastAsia"/>
        </w:rPr>
        <w:t>敏</w:t>
      </w:r>
      <w:r>
        <w:rPr>
          <w:rFonts w:asciiTheme="minorEastAsia" w:hAnsiTheme="minorEastAsia" w:eastAsiaTheme="minorEastAsia"/>
        </w:rPr>
        <w:t>感，</w:t>
      </w:r>
      <w:r>
        <w:rPr>
          <w:rStyle w:val="80"/>
          <w:rFonts w:hint="eastAsia"/>
        </w:rPr>
        <w:t>根据</w:t>
      </w:r>
      <w:r>
        <w:rPr>
          <w:rStyle w:val="80"/>
        </w:rPr>
        <w:t>表</w:t>
      </w:r>
      <w:r>
        <w:rPr>
          <w:rStyle w:val="80"/>
          <w:rFonts w:hint="eastAsia"/>
        </w:rPr>
        <w:t>2.</w:t>
      </w:r>
      <w:r>
        <w:rPr>
          <w:rStyle w:val="80"/>
        </w:rPr>
        <w:t>5</w:t>
      </w:r>
      <w:r>
        <w:rPr>
          <w:rStyle w:val="80"/>
          <w:rFonts w:hint="eastAsia"/>
        </w:rPr>
        <w:t>-6，</w:t>
      </w:r>
      <w:r>
        <w:rPr>
          <w:rStyle w:val="80"/>
        </w:rPr>
        <w:t>表</w:t>
      </w:r>
      <w:r>
        <w:rPr>
          <w:rStyle w:val="80"/>
          <w:rFonts w:hint="eastAsia"/>
        </w:rPr>
        <w:t>2.5-7</w:t>
      </w:r>
      <w:r>
        <w:rPr>
          <w:rStyle w:val="80"/>
        </w:rPr>
        <w:t>判定，项目土壤评价等级为</w:t>
      </w:r>
      <w:r>
        <w:rPr>
          <w:rStyle w:val="80"/>
          <w:rFonts w:hint="eastAsia"/>
        </w:rPr>
        <w:t>三</w:t>
      </w:r>
      <w:r>
        <w:rPr>
          <w:rStyle w:val="80"/>
        </w:rPr>
        <w:t>级。</w:t>
      </w:r>
    </w:p>
    <w:p>
      <w:pPr>
        <w:pStyle w:val="5"/>
      </w:pPr>
      <w:r>
        <w:t>环境风险</w:t>
      </w:r>
      <w:r>
        <w:rPr>
          <w:rFonts w:hint="eastAsia"/>
        </w:rPr>
        <w:t>评价</w:t>
      </w:r>
      <w:r>
        <w:t>等级</w:t>
      </w:r>
    </w:p>
    <w:p>
      <w:pPr>
        <w:ind w:firstLine="480"/>
      </w:pPr>
      <w:r>
        <w:rPr>
          <w:rFonts w:hint="eastAsia"/>
        </w:rPr>
        <w:t>根据《危险化学品重大危险源辨识》（GB 18218-2018），本项目涉及的主要危险化学品和重大危险源判定见表</w:t>
      </w:r>
      <w:r>
        <w:t>2.5</w:t>
      </w:r>
      <w:r>
        <w:rPr>
          <w:rFonts w:hint="eastAsia"/>
        </w:rPr>
        <w:t>-</w:t>
      </w:r>
      <w:r>
        <w:t>7</w:t>
      </w:r>
      <w:r>
        <w:rPr>
          <w:rFonts w:hint="eastAsia"/>
        </w:rPr>
        <w:t>。</w:t>
      </w:r>
    </w:p>
    <w:p>
      <w:pPr>
        <w:pStyle w:val="85"/>
        <w:rPr>
          <w:szCs w:val="21"/>
        </w:rPr>
      </w:pPr>
      <w:r>
        <w:rPr>
          <w:rFonts w:hint="eastAsia"/>
          <w:szCs w:val="21"/>
        </w:rPr>
        <w:t>表</w:t>
      </w:r>
      <w:r>
        <w:rPr>
          <w:szCs w:val="21"/>
        </w:rPr>
        <w:fldChar w:fldCharType="begin"/>
      </w:r>
      <w:r>
        <w:rPr>
          <w:rFonts w:hint="eastAsia"/>
          <w:szCs w:val="21"/>
        </w:rPr>
        <w:instrText xml:space="preserve">STYLEREF 2 \s</w:instrText>
      </w:r>
      <w:r>
        <w:rPr>
          <w:szCs w:val="21"/>
        </w:rPr>
        <w:fldChar w:fldCharType="separate"/>
      </w:r>
      <w:r>
        <w:rPr>
          <w:szCs w:val="21"/>
        </w:rPr>
        <w:t>2.5</w:t>
      </w:r>
      <w:r>
        <w:rPr>
          <w:szCs w:val="21"/>
        </w:rPr>
        <w:fldChar w:fldCharType="end"/>
      </w:r>
      <w:r>
        <w:rPr>
          <w:szCs w:val="21"/>
        </w:rPr>
        <w:noBreakHyphen/>
      </w:r>
      <w:r>
        <w:rPr>
          <w:szCs w:val="21"/>
        </w:rPr>
        <w:t xml:space="preserve">7 </w:t>
      </w:r>
      <w:r>
        <w:rPr>
          <w:rFonts w:hint="eastAsia"/>
          <w:szCs w:val="21"/>
        </w:rPr>
        <w:t>本项目危险</w:t>
      </w:r>
      <w:r>
        <w:rPr>
          <w:szCs w:val="21"/>
        </w:rPr>
        <w:t>化学品Q值计算</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244"/>
        <w:gridCol w:w="1106"/>
        <w:gridCol w:w="1091"/>
        <w:gridCol w:w="1419"/>
        <w:gridCol w:w="27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shd w:val="clear" w:color="auto" w:fill="auto"/>
            <w:vAlign w:val="center"/>
          </w:tcPr>
          <w:p>
            <w:pPr>
              <w:pStyle w:val="40"/>
            </w:pPr>
            <w:r>
              <w:rPr>
                <w:rFonts w:hint="eastAsia"/>
              </w:rPr>
              <w:t>装置</w:t>
            </w:r>
          </w:p>
        </w:tc>
        <w:tc>
          <w:tcPr>
            <w:tcW w:w="1244" w:type="dxa"/>
            <w:shd w:val="clear" w:color="auto" w:fill="auto"/>
            <w:vAlign w:val="center"/>
          </w:tcPr>
          <w:p>
            <w:pPr>
              <w:pStyle w:val="40"/>
            </w:pPr>
            <w:r>
              <w:rPr>
                <w:rFonts w:hint="eastAsia"/>
              </w:rPr>
              <w:t>危险</w:t>
            </w:r>
            <w:r>
              <w:t>化学品</w:t>
            </w:r>
          </w:p>
        </w:tc>
        <w:tc>
          <w:tcPr>
            <w:tcW w:w="1106" w:type="dxa"/>
            <w:shd w:val="clear" w:color="auto" w:fill="auto"/>
            <w:vAlign w:val="center"/>
          </w:tcPr>
          <w:p>
            <w:pPr>
              <w:pStyle w:val="40"/>
            </w:pPr>
            <w:r>
              <w:rPr>
                <w:rFonts w:hint="eastAsia"/>
              </w:rPr>
              <w:t>存储量</w:t>
            </w:r>
            <w:r>
              <w:t>（</w:t>
            </w:r>
            <w:r>
              <w:rPr>
                <w:rFonts w:hint="eastAsia"/>
              </w:rPr>
              <w:t>t</w:t>
            </w:r>
            <w:r>
              <w:t>）</w:t>
            </w:r>
          </w:p>
        </w:tc>
        <w:tc>
          <w:tcPr>
            <w:tcW w:w="1091" w:type="dxa"/>
            <w:shd w:val="clear" w:color="auto" w:fill="auto"/>
            <w:vAlign w:val="center"/>
          </w:tcPr>
          <w:p>
            <w:pPr>
              <w:pStyle w:val="40"/>
            </w:pPr>
            <w:r>
              <w:rPr>
                <w:rFonts w:hint="eastAsia"/>
              </w:rPr>
              <w:t>临界量</w:t>
            </w:r>
            <w:r>
              <w:t>（t）</w:t>
            </w:r>
          </w:p>
        </w:tc>
        <w:tc>
          <w:tcPr>
            <w:tcW w:w="1419" w:type="dxa"/>
            <w:vAlign w:val="center"/>
          </w:tcPr>
          <w:p>
            <w:pPr>
              <w:pStyle w:val="40"/>
            </w:pPr>
            <w:r>
              <w:rPr>
                <w:rFonts w:hint="eastAsia"/>
              </w:rPr>
              <w:t>Q</w:t>
            </w:r>
            <w:r>
              <w:t>值</w:t>
            </w:r>
          </w:p>
        </w:tc>
        <w:tc>
          <w:tcPr>
            <w:tcW w:w="2763" w:type="dxa"/>
            <w:shd w:val="clear" w:color="auto" w:fill="auto"/>
            <w:vAlign w:val="center"/>
          </w:tcPr>
          <w:p>
            <w:pPr>
              <w:pStyle w:val="40"/>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shd w:val="clear" w:color="auto" w:fill="auto"/>
            <w:vAlign w:val="center"/>
          </w:tcPr>
          <w:p>
            <w:pPr>
              <w:pStyle w:val="40"/>
            </w:pPr>
            <w:r>
              <w:rPr>
                <w:rFonts w:hint="eastAsia"/>
              </w:rPr>
              <w:t>沼气</w:t>
            </w:r>
          </w:p>
        </w:tc>
        <w:tc>
          <w:tcPr>
            <w:tcW w:w="1244" w:type="dxa"/>
            <w:shd w:val="clear" w:color="auto" w:fill="auto"/>
            <w:vAlign w:val="center"/>
          </w:tcPr>
          <w:p>
            <w:pPr>
              <w:pStyle w:val="40"/>
            </w:pPr>
            <w:r>
              <w:rPr>
                <w:rFonts w:hint="eastAsia"/>
              </w:rPr>
              <w:t>甲烷</w:t>
            </w:r>
          </w:p>
        </w:tc>
        <w:tc>
          <w:tcPr>
            <w:tcW w:w="1106" w:type="dxa"/>
            <w:shd w:val="clear" w:color="auto" w:fill="auto"/>
            <w:vAlign w:val="center"/>
          </w:tcPr>
          <w:p>
            <w:pPr>
              <w:pStyle w:val="40"/>
            </w:pPr>
            <w:r>
              <w:rPr>
                <w:rFonts w:hint="eastAsia"/>
              </w:rPr>
              <w:t>0.</w:t>
            </w:r>
            <w:r>
              <w:t>01</w:t>
            </w:r>
          </w:p>
        </w:tc>
        <w:tc>
          <w:tcPr>
            <w:tcW w:w="1091" w:type="dxa"/>
            <w:shd w:val="clear" w:color="auto" w:fill="auto"/>
            <w:vAlign w:val="center"/>
          </w:tcPr>
          <w:p>
            <w:pPr>
              <w:pStyle w:val="40"/>
            </w:pPr>
            <w:r>
              <w:rPr>
                <w:rFonts w:hint="eastAsia"/>
              </w:rPr>
              <w:t>10</w:t>
            </w:r>
          </w:p>
        </w:tc>
        <w:tc>
          <w:tcPr>
            <w:tcW w:w="1419" w:type="dxa"/>
            <w:vAlign w:val="center"/>
          </w:tcPr>
          <w:p>
            <w:pPr>
              <w:pStyle w:val="40"/>
            </w:pPr>
            <w:r>
              <w:rPr>
                <w:rFonts w:hint="eastAsia"/>
              </w:rPr>
              <w:t>0.0</w:t>
            </w:r>
            <w:r>
              <w:t>01</w:t>
            </w:r>
          </w:p>
        </w:tc>
        <w:tc>
          <w:tcPr>
            <w:tcW w:w="2763" w:type="dxa"/>
            <w:shd w:val="clear" w:color="auto" w:fill="auto"/>
            <w:vAlign w:val="center"/>
          </w:tcPr>
          <w:p>
            <w:pPr>
              <w:pStyle w:val="40"/>
            </w:pPr>
            <w:r>
              <w:rPr>
                <w:rFonts w:hint="eastAsia"/>
              </w:rPr>
              <w:t>沼气13.65</w:t>
            </w:r>
            <w:r>
              <w:t>m</w:t>
            </w:r>
            <w:r>
              <w:rPr>
                <w:vertAlign w:val="superscript"/>
              </w:rPr>
              <w:t>3</w:t>
            </w:r>
            <w:r>
              <w:t>/d，</w:t>
            </w:r>
            <w:r>
              <w:rPr>
                <w:rFonts w:hint="eastAsia"/>
              </w:rPr>
              <w:t>甲烷60%，</w:t>
            </w:r>
            <w:r>
              <w:t>密度1.221kg/m</w:t>
            </w:r>
            <w:r>
              <w:rPr>
                <w:vertAlign w:val="superscript"/>
              </w:rPr>
              <w:t>3</w:t>
            </w:r>
          </w:p>
        </w:tc>
      </w:tr>
    </w:tbl>
    <w:p>
      <w:pPr>
        <w:ind w:firstLine="480"/>
      </w:pPr>
      <w:r>
        <w:rPr>
          <w:rFonts w:hint="eastAsia"/>
        </w:rPr>
        <w:t>按照《建设项目环境风险评价技术导则》（</w:t>
      </w:r>
      <w:r>
        <w:t>HJ 169-2018</w:t>
      </w:r>
      <w:r>
        <w:rPr>
          <w:rFonts w:hint="eastAsia"/>
        </w:rPr>
        <w:t>）中评价工作等级划分，见</w:t>
      </w:r>
      <w:r>
        <w:fldChar w:fldCharType="begin"/>
      </w:r>
      <w:r>
        <w:rPr>
          <w:rFonts w:hint="eastAsia"/>
        </w:rPr>
        <w:instrText xml:space="preserve">REF _Ref27042217 \h</w:instrText>
      </w:r>
      <w:r>
        <w:instrText xml:space="preserve"> \* MERGEFORMAT </w:instrText>
      </w:r>
      <w:r>
        <w:fldChar w:fldCharType="separate"/>
      </w:r>
      <w:r>
        <w:rPr>
          <w:rFonts w:hint="eastAsia"/>
          <w:szCs w:val="21"/>
        </w:rPr>
        <w:t>表</w:t>
      </w:r>
      <w:r>
        <w:rPr>
          <w:szCs w:val="21"/>
        </w:rPr>
        <w:t>2.5</w:t>
      </w:r>
      <w:r>
        <w:rPr>
          <w:szCs w:val="21"/>
        </w:rPr>
        <w:noBreakHyphen/>
      </w:r>
      <w:r>
        <w:fldChar w:fldCharType="end"/>
      </w:r>
      <w:r>
        <w:t>8</w:t>
      </w:r>
      <w:r>
        <w:rPr>
          <w:rFonts w:hint="eastAsia"/>
        </w:rPr>
        <w:t>，确定本项目环境风险评价等级。</w:t>
      </w:r>
    </w:p>
    <w:p>
      <w:pPr>
        <w:pStyle w:val="85"/>
        <w:rPr>
          <w:szCs w:val="21"/>
        </w:rPr>
      </w:pPr>
      <w:bookmarkStart w:id="43" w:name="_Ref27042217"/>
      <w:r>
        <w:rPr>
          <w:rFonts w:hint="eastAsia"/>
          <w:szCs w:val="21"/>
        </w:rPr>
        <w:t>表</w:t>
      </w:r>
      <w:r>
        <w:rPr>
          <w:szCs w:val="21"/>
        </w:rPr>
        <w:fldChar w:fldCharType="begin"/>
      </w:r>
      <w:r>
        <w:rPr>
          <w:rFonts w:hint="eastAsia"/>
          <w:szCs w:val="21"/>
        </w:rPr>
        <w:instrText xml:space="preserve">STYLEREF 2 \s</w:instrText>
      </w:r>
      <w:r>
        <w:rPr>
          <w:szCs w:val="21"/>
        </w:rPr>
        <w:fldChar w:fldCharType="separate"/>
      </w:r>
      <w:r>
        <w:rPr>
          <w:szCs w:val="21"/>
        </w:rPr>
        <w:t>2.5</w:t>
      </w:r>
      <w:r>
        <w:rPr>
          <w:szCs w:val="21"/>
        </w:rPr>
        <w:fldChar w:fldCharType="end"/>
      </w:r>
      <w:r>
        <w:rPr>
          <w:szCs w:val="21"/>
        </w:rPr>
        <w:noBreakHyphen/>
      </w:r>
      <w:bookmarkEnd w:id="43"/>
      <w:r>
        <w:rPr>
          <w:szCs w:val="21"/>
        </w:rPr>
        <w:t xml:space="preserve">8  </w:t>
      </w:r>
      <w:r>
        <w:rPr>
          <w:rFonts w:hint="eastAsia"/>
          <w:szCs w:val="21"/>
        </w:rPr>
        <w:t>评价工作等级划分</w:t>
      </w:r>
    </w:p>
    <w:tbl>
      <w:tblPr>
        <w:tblStyle w:val="27"/>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1650"/>
        <w:gridCol w:w="1583"/>
        <w:gridCol w:w="1517"/>
        <w:gridCol w:w="15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85" w:type="dxa"/>
            <w:shd w:val="clear" w:color="auto" w:fill="auto"/>
            <w:vAlign w:val="center"/>
          </w:tcPr>
          <w:p>
            <w:pPr>
              <w:pStyle w:val="40"/>
            </w:pPr>
            <w:r>
              <w:t>环境风险潜势</w:t>
            </w:r>
          </w:p>
        </w:tc>
        <w:tc>
          <w:tcPr>
            <w:tcW w:w="1650" w:type="dxa"/>
            <w:shd w:val="clear" w:color="auto" w:fill="auto"/>
            <w:vAlign w:val="center"/>
          </w:tcPr>
          <w:p>
            <w:pPr>
              <w:pStyle w:val="40"/>
            </w:pPr>
            <w:r>
              <w:rPr>
                <w:rFonts w:hint="eastAsia" w:ascii="宋体" w:cs="宋体"/>
              </w:rPr>
              <w:t>Ⅳ</w:t>
            </w:r>
            <w:r>
              <w:t>、</w:t>
            </w:r>
            <w:r>
              <w:rPr>
                <w:rFonts w:hint="eastAsia" w:ascii="宋体" w:cs="宋体"/>
              </w:rPr>
              <w:t>Ⅳ</w:t>
            </w:r>
            <w:r>
              <w:rPr>
                <w:vertAlign w:val="superscript"/>
              </w:rPr>
              <w:t>+</w:t>
            </w:r>
          </w:p>
        </w:tc>
        <w:tc>
          <w:tcPr>
            <w:tcW w:w="1583" w:type="dxa"/>
            <w:shd w:val="clear" w:color="auto" w:fill="auto"/>
            <w:vAlign w:val="center"/>
          </w:tcPr>
          <w:p>
            <w:pPr>
              <w:pStyle w:val="40"/>
            </w:pPr>
            <w:r>
              <w:rPr>
                <w:rFonts w:hint="eastAsia" w:ascii="宋体" w:cs="宋体"/>
              </w:rPr>
              <w:t>Ⅲ</w:t>
            </w:r>
          </w:p>
        </w:tc>
        <w:tc>
          <w:tcPr>
            <w:tcW w:w="1517" w:type="dxa"/>
            <w:shd w:val="clear" w:color="auto" w:fill="auto"/>
            <w:vAlign w:val="center"/>
          </w:tcPr>
          <w:p>
            <w:pPr>
              <w:pStyle w:val="40"/>
            </w:pPr>
            <w:r>
              <w:rPr>
                <w:rFonts w:hint="eastAsia" w:ascii="宋体" w:cs="宋体"/>
              </w:rPr>
              <w:t>Ⅱ</w:t>
            </w:r>
          </w:p>
        </w:tc>
        <w:tc>
          <w:tcPr>
            <w:tcW w:w="1587" w:type="dxa"/>
            <w:shd w:val="clear" w:color="auto" w:fill="auto"/>
            <w:vAlign w:val="center"/>
          </w:tcPr>
          <w:p>
            <w:pPr>
              <w:pStyle w:val="40"/>
            </w:pPr>
            <w:r>
              <w:rPr>
                <w:rFonts w:hint="eastAsia" w:ascii="宋体" w:cs="宋体"/>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85" w:type="dxa"/>
            <w:shd w:val="clear" w:color="auto" w:fill="auto"/>
            <w:vAlign w:val="center"/>
          </w:tcPr>
          <w:p>
            <w:pPr>
              <w:pStyle w:val="40"/>
            </w:pPr>
            <w:r>
              <w:t>评价工作等级</w:t>
            </w:r>
          </w:p>
        </w:tc>
        <w:tc>
          <w:tcPr>
            <w:tcW w:w="1650" w:type="dxa"/>
            <w:shd w:val="clear" w:color="auto" w:fill="auto"/>
            <w:vAlign w:val="center"/>
          </w:tcPr>
          <w:p>
            <w:pPr>
              <w:pStyle w:val="40"/>
            </w:pPr>
            <w:r>
              <w:t>一级</w:t>
            </w:r>
          </w:p>
        </w:tc>
        <w:tc>
          <w:tcPr>
            <w:tcW w:w="1583" w:type="dxa"/>
            <w:shd w:val="clear" w:color="auto" w:fill="auto"/>
            <w:vAlign w:val="center"/>
          </w:tcPr>
          <w:p>
            <w:pPr>
              <w:pStyle w:val="40"/>
            </w:pPr>
            <w:r>
              <w:t>二级</w:t>
            </w:r>
          </w:p>
        </w:tc>
        <w:tc>
          <w:tcPr>
            <w:tcW w:w="1517" w:type="dxa"/>
            <w:shd w:val="clear" w:color="auto" w:fill="auto"/>
            <w:vAlign w:val="center"/>
          </w:tcPr>
          <w:p>
            <w:pPr>
              <w:pStyle w:val="40"/>
            </w:pPr>
            <w:r>
              <w:t>三级</w:t>
            </w:r>
          </w:p>
        </w:tc>
        <w:tc>
          <w:tcPr>
            <w:tcW w:w="1587" w:type="dxa"/>
            <w:shd w:val="clear" w:color="auto" w:fill="auto"/>
            <w:vAlign w:val="center"/>
          </w:tcPr>
          <w:p>
            <w:pPr>
              <w:pStyle w:val="40"/>
            </w:pPr>
            <w:r>
              <w:t>简单分析</w:t>
            </w:r>
            <w:r>
              <w:rPr>
                <w:rFonts w:hint="eastAsia"/>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2" w:type="dxa"/>
            <w:gridSpan w:val="5"/>
            <w:shd w:val="clear" w:color="auto" w:fill="auto"/>
            <w:vAlign w:val="center"/>
          </w:tcPr>
          <w:p>
            <w:pPr>
              <w:pStyle w:val="40"/>
              <w:jc w:val="left"/>
            </w:pPr>
            <w:r>
              <w:rPr>
                <w:rFonts w:hint="eastAsia"/>
              </w:rPr>
              <w:t>a 是相对于详细评价工作内容而言，在描述危险物质、环境影响途径、环境危害后果、风险防范措施等方面给出定性的说明。见导则附录A。</w:t>
            </w:r>
          </w:p>
        </w:tc>
      </w:tr>
    </w:tbl>
    <w:p>
      <w:pPr>
        <w:ind w:firstLine="480"/>
      </w:pPr>
      <w:r>
        <w:rPr>
          <w:rFonts w:hint="eastAsia"/>
        </w:rPr>
        <w:t>由表</w:t>
      </w:r>
      <w:r>
        <w:t>2.5-7</w:t>
      </w:r>
      <w:r>
        <w:rPr>
          <w:rFonts w:hint="eastAsia"/>
        </w:rPr>
        <w:t>，</w:t>
      </w:r>
      <w:r>
        <w:t>表</w:t>
      </w:r>
      <w:r>
        <w:rPr>
          <w:rFonts w:hint="eastAsia"/>
        </w:rPr>
        <w:t>2.5-</w:t>
      </w:r>
      <w:r>
        <w:t>8</w:t>
      </w:r>
      <w:r>
        <w:rPr>
          <w:rFonts w:hint="eastAsia"/>
        </w:rPr>
        <w:t>可知，本项目存在沼气风险物质，且Q</w:t>
      </w:r>
      <w:r>
        <w:t>值=</w:t>
      </w:r>
      <w:r>
        <w:rPr>
          <w:rFonts w:hint="eastAsia"/>
        </w:rPr>
        <w:t>q</w:t>
      </w:r>
      <w:r>
        <w:rPr>
          <w:rFonts w:hint="eastAsia"/>
          <w:vertAlign w:val="subscript"/>
        </w:rPr>
        <w:t>n</w:t>
      </w:r>
      <w:r>
        <w:rPr>
          <w:rFonts w:hint="eastAsia"/>
        </w:rPr>
        <w:t>/Q</w:t>
      </w:r>
      <w:r>
        <w:rPr>
          <w:rFonts w:hint="eastAsia"/>
          <w:vertAlign w:val="subscript"/>
        </w:rPr>
        <w:t>n</w:t>
      </w:r>
      <w:r>
        <w:rPr>
          <w:rFonts w:hint="eastAsia"/>
        </w:rPr>
        <w:t>&lt;1。因此按照《建设项目环境风险评价技术导则》（HJ169-2018）中所规定的判定原则，本项目Q＜1 ，该项目环境风险潜势为Ⅰ，因此本项目只进行简单分析。</w:t>
      </w:r>
    </w:p>
    <w:p>
      <w:pPr>
        <w:pStyle w:val="4"/>
      </w:pPr>
      <w:r>
        <w:rPr>
          <w:rFonts w:hint="eastAsia"/>
        </w:rPr>
        <w:t>评价范围</w:t>
      </w:r>
    </w:p>
    <w:p>
      <w:pPr>
        <w:ind w:firstLine="480"/>
      </w:pPr>
      <w:r>
        <w:t>根据导则中对不同评价级别的工作深度要求，结合工程建设特点及当地的自然和社会环境条件，确定本次环境评价范围如下：</w:t>
      </w:r>
    </w:p>
    <w:p>
      <w:pPr>
        <w:pStyle w:val="85"/>
        <w:rPr>
          <w:rFonts w:hAnsi="Times New Roman"/>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r>
        <w:rPr>
          <w:rFonts w:hAnsi="Times New Roman"/>
        </w:rPr>
        <w:t>9 评价工作级别</w:t>
      </w:r>
      <w:r>
        <w:rPr>
          <w:rFonts w:hint="eastAsia" w:hAnsi="Times New Roman"/>
        </w:rPr>
        <w:t>及评价</w:t>
      </w:r>
      <w:r>
        <w:rPr>
          <w:rFonts w:hAnsi="Times New Roman"/>
        </w:rPr>
        <w:t>范围表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62"/>
        <w:gridCol w:w="1296"/>
        <w:gridCol w:w="5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环境要素</w:t>
            </w:r>
          </w:p>
        </w:tc>
        <w:tc>
          <w:tcPr>
            <w:tcW w:w="1296" w:type="dxa"/>
            <w:vAlign w:val="center"/>
          </w:tcPr>
          <w:p>
            <w:pPr>
              <w:pStyle w:val="40"/>
            </w:pPr>
            <w:r>
              <w:t>评价等级</w:t>
            </w:r>
          </w:p>
        </w:tc>
        <w:tc>
          <w:tcPr>
            <w:tcW w:w="5618" w:type="dxa"/>
            <w:vAlign w:val="center"/>
          </w:tcPr>
          <w:p>
            <w:pPr>
              <w:pStyle w:val="40"/>
            </w:pPr>
            <w: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大气</w:t>
            </w:r>
          </w:p>
        </w:tc>
        <w:tc>
          <w:tcPr>
            <w:tcW w:w="1296" w:type="dxa"/>
            <w:vAlign w:val="center"/>
          </w:tcPr>
          <w:p>
            <w:pPr>
              <w:pStyle w:val="40"/>
            </w:pPr>
            <w:r>
              <w:t>二级</w:t>
            </w:r>
          </w:p>
        </w:tc>
        <w:tc>
          <w:tcPr>
            <w:tcW w:w="5618" w:type="dxa"/>
            <w:vAlign w:val="center"/>
          </w:tcPr>
          <w:p>
            <w:pPr>
              <w:pStyle w:val="40"/>
            </w:pPr>
            <w:r>
              <w:t>以厂界外延，边长为5km的矩形范围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地表水</w:t>
            </w:r>
          </w:p>
        </w:tc>
        <w:tc>
          <w:tcPr>
            <w:tcW w:w="1296" w:type="dxa"/>
            <w:vAlign w:val="center"/>
          </w:tcPr>
          <w:p>
            <w:pPr>
              <w:pStyle w:val="40"/>
            </w:pPr>
            <w:r>
              <w:t>三级</w:t>
            </w:r>
            <w:r>
              <w:rPr>
                <w:rFonts w:hint="eastAsia"/>
              </w:rPr>
              <w:t>B</w:t>
            </w:r>
          </w:p>
        </w:tc>
        <w:tc>
          <w:tcPr>
            <w:tcW w:w="5618" w:type="dxa"/>
            <w:vAlign w:val="center"/>
          </w:tcPr>
          <w:p>
            <w:pPr>
              <w:pStyle w:val="40"/>
            </w:pPr>
            <w:r>
              <w:t>仅对地表水环境影响作简要分析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地下水</w:t>
            </w:r>
          </w:p>
        </w:tc>
        <w:tc>
          <w:tcPr>
            <w:tcW w:w="1296" w:type="dxa"/>
            <w:vAlign w:val="center"/>
          </w:tcPr>
          <w:p>
            <w:pPr>
              <w:pStyle w:val="40"/>
              <w:rPr>
                <w:highlight w:val="yellow"/>
              </w:rPr>
            </w:pPr>
            <w:r>
              <w:t>三级</w:t>
            </w:r>
          </w:p>
        </w:tc>
        <w:tc>
          <w:tcPr>
            <w:tcW w:w="5618" w:type="dxa"/>
            <w:vAlign w:val="center"/>
          </w:tcPr>
          <w:p>
            <w:pPr>
              <w:pStyle w:val="40"/>
              <w:rPr>
                <w:highlight w:val="yellow"/>
              </w:rPr>
            </w:pPr>
            <w:r>
              <w:rPr>
                <w:rFonts w:hint="eastAsia"/>
              </w:rPr>
              <w:t>根据查表法，三级评价范围为以项目场区为中心≤6km</w:t>
            </w:r>
            <w:r>
              <w:rPr>
                <w:rFonts w:hint="eastAsia"/>
                <w:vertAlign w:val="superscript"/>
              </w:rPr>
              <w:t>2</w:t>
            </w:r>
            <w:r>
              <w:rPr>
                <w:rFonts w:hint="eastAsia"/>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噪声</w:t>
            </w:r>
          </w:p>
        </w:tc>
        <w:tc>
          <w:tcPr>
            <w:tcW w:w="1296" w:type="dxa"/>
            <w:vAlign w:val="center"/>
          </w:tcPr>
          <w:p>
            <w:pPr>
              <w:pStyle w:val="40"/>
            </w:pPr>
            <w:r>
              <w:t>二级</w:t>
            </w:r>
          </w:p>
        </w:tc>
        <w:tc>
          <w:tcPr>
            <w:tcW w:w="5618" w:type="dxa"/>
            <w:vAlign w:val="center"/>
          </w:tcPr>
          <w:p>
            <w:pPr>
              <w:pStyle w:val="40"/>
            </w:pPr>
            <w:r>
              <w:t>厂界外200m范围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风险</w:t>
            </w:r>
          </w:p>
        </w:tc>
        <w:tc>
          <w:tcPr>
            <w:tcW w:w="1296" w:type="dxa"/>
            <w:vAlign w:val="center"/>
          </w:tcPr>
          <w:p>
            <w:pPr>
              <w:pStyle w:val="40"/>
            </w:pPr>
            <w:r>
              <w:rPr>
                <w:rFonts w:hint="eastAsia"/>
              </w:rPr>
              <w:t>简单分析</w:t>
            </w:r>
          </w:p>
        </w:tc>
        <w:tc>
          <w:tcPr>
            <w:tcW w:w="5618" w:type="dxa"/>
            <w:vAlign w:val="center"/>
          </w:tcPr>
          <w:p>
            <w:pPr>
              <w:pStyle w:val="40"/>
            </w:pPr>
            <w:r>
              <w:t>仅对项目风险进行简单分析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生态</w:t>
            </w:r>
          </w:p>
        </w:tc>
        <w:tc>
          <w:tcPr>
            <w:tcW w:w="1296" w:type="dxa"/>
            <w:vAlign w:val="center"/>
          </w:tcPr>
          <w:p>
            <w:pPr>
              <w:pStyle w:val="40"/>
            </w:pPr>
            <w:r>
              <w:t>/</w:t>
            </w:r>
          </w:p>
        </w:tc>
        <w:tc>
          <w:tcPr>
            <w:tcW w:w="5618" w:type="dxa"/>
            <w:vAlign w:val="center"/>
          </w:tcPr>
          <w:p>
            <w:pPr>
              <w:pStyle w:val="40"/>
            </w:pPr>
            <w:r>
              <w:t>项目占地范围内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362" w:type="dxa"/>
            <w:vAlign w:val="center"/>
          </w:tcPr>
          <w:p>
            <w:pPr>
              <w:pStyle w:val="40"/>
            </w:pPr>
            <w:r>
              <w:t>土壤</w:t>
            </w:r>
          </w:p>
        </w:tc>
        <w:tc>
          <w:tcPr>
            <w:tcW w:w="1296" w:type="dxa"/>
            <w:vAlign w:val="center"/>
          </w:tcPr>
          <w:p>
            <w:pPr>
              <w:pStyle w:val="40"/>
            </w:pPr>
            <w:r>
              <w:rPr>
                <w:rFonts w:hint="eastAsia"/>
              </w:rPr>
              <w:t>三级</w:t>
            </w:r>
          </w:p>
        </w:tc>
        <w:tc>
          <w:tcPr>
            <w:tcW w:w="5618" w:type="dxa"/>
            <w:vAlign w:val="center"/>
          </w:tcPr>
          <w:p>
            <w:pPr>
              <w:pStyle w:val="40"/>
            </w:pPr>
            <w:r>
              <w:t>项目占地范围内</w:t>
            </w:r>
            <w:r>
              <w:rPr>
                <w:rFonts w:hint="eastAsia"/>
              </w:rPr>
              <w:t>，</w:t>
            </w:r>
            <w:r>
              <w:t>占地范围外</w:t>
            </w:r>
            <w:r>
              <w:rPr>
                <w:rFonts w:hint="eastAsia"/>
              </w:rPr>
              <w:t>50m。</w:t>
            </w:r>
          </w:p>
        </w:tc>
      </w:tr>
    </w:tbl>
    <w:p>
      <w:pPr>
        <w:pStyle w:val="3"/>
      </w:pPr>
      <w:bookmarkStart w:id="44" w:name="_Toc108422225"/>
      <w:bookmarkStart w:id="45" w:name="_Toc488102151"/>
      <w:r>
        <w:rPr>
          <w:rFonts w:hint="eastAsia"/>
        </w:rPr>
        <w:t>相关规划及环境功能区划</w:t>
      </w:r>
      <w:bookmarkEnd w:id="44"/>
      <w:bookmarkEnd w:id="45"/>
    </w:p>
    <w:p>
      <w:pPr>
        <w:pStyle w:val="4"/>
      </w:pPr>
      <w:r>
        <w:rPr>
          <w:rFonts w:hint="eastAsia"/>
        </w:rPr>
        <w:t>相关规划符合性</w:t>
      </w:r>
    </w:p>
    <w:p>
      <w:pPr>
        <w:ind w:firstLine="480"/>
      </w:pPr>
      <w:r>
        <w:t>本项目位于旬阳市</w:t>
      </w:r>
      <w:r>
        <w:rPr>
          <w:rFonts w:hint="eastAsia"/>
        </w:rPr>
        <w:t>关口</w:t>
      </w:r>
      <w:r>
        <w:t>镇</w:t>
      </w:r>
      <w:r>
        <w:rPr>
          <w:rFonts w:hint="eastAsia"/>
        </w:rPr>
        <w:t>关坪</w:t>
      </w:r>
      <w:r>
        <w:t>村，不在</w:t>
      </w:r>
      <w:r>
        <w:rPr>
          <w:rFonts w:hint="eastAsia"/>
        </w:rPr>
        <w:t>旬阳市</w:t>
      </w:r>
      <w:r>
        <w:t>城市总体规划范围内，其建设不违背当地城市建设总体规划要求。</w:t>
      </w:r>
    </w:p>
    <w:p>
      <w:pPr>
        <w:pStyle w:val="4"/>
      </w:pPr>
      <w:r>
        <w:rPr>
          <w:rFonts w:hint="eastAsia"/>
        </w:rPr>
        <w:t>环境功能区划</w:t>
      </w:r>
    </w:p>
    <w:p>
      <w:pPr>
        <w:pStyle w:val="5"/>
      </w:pPr>
      <w:r>
        <w:t>环境空气功能区划</w:t>
      </w:r>
    </w:p>
    <w:p>
      <w:pPr>
        <w:ind w:firstLine="480"/>
      </w:pPr>
      <w:r>
        <w:t>项目所在区域属于农村地区，根据《环境空气质量标准》（GB3095-2012）本项目区域环境空气功能区的分类应划分为二类区，执行《环境空气质量标准》（GB3095-2012）中的二级标准。</w:t>
      </w:r>
    </w:p>
    <w:p>
      <w:pPr>
        <w:pStyle w:val="5"/>
      </w:pPr>
      <w:r>
        <w:t>水环境功能区划</w:t>
      </w:r>
    </w:p>
    <w:p>
      <w:pPr>
        <w:ind w:firstLine="480"/>
      </w:pPr>
      <w:r>
        <w:t>项目区域涉及的主要地表水体为</w:t>
      </w:r>
      <w:r>
        <w:rPr>
          <w:rFonts w:hint="eastAsia"/>
        </w:rPr>
        <w:t>沈家</w:t>
      </w:r>
      <w:r>
        <w:t>河，根据</w:t>
      </w:r>
      <w:r>
        <w:rPr>
          <w:rFonts w:hint="eastAsia"/>
        </w:rPr>
        <w:t>陕西</w:t>
      </w:r>
      <w:r>
        <w:t>省地表水水环境功能区划，</w:t>
      </w:r>
      <w:r>
        <w:rPr>
          <w:rFonts w:hint="eastAsia"/>
        </w:rPr>
        <w:t>项目</w:t>
      </w:r>
      <w:r>
        <w:t>所在区域地表水水质目标</w:t>
      </w:r>
      <w:r>
        <w:rPr>
          <w:rFonts w:hint="eastAsia"/>
        </w:rPr>
        <w:t>为</w:t>
      </w:r>
      <w:r>
        <w:rPr>
          <w:rFonts w:hint="eastAsia" w:ascii="宋体" w:hAnsi="宋体" w:cs="宋体"/>
        </w:rPr>
        <w:t>Ⅱ</w:t>
      </w:r>
      <w:r>
        <w:rPr>
          <w:rFonts w:hint="eastAsia"/>
        </w:rPr>
        <w:t>类</w:t>
      </w:r>
      <w:r>
        <w:t>地表水执行《地表水环境质量标准》</w:t>
      </w:r>
      <w:r>
        <w:rPr>
          <w:rFonts w:hint="eastAsia"/>
        </w:rPr>
        <w:t>（</w:t>
      </w:r>
      <w:r>
        <w:t>GB3838-2002</w:t>
      </w:r>
      <w:r>
        <w:rPr>
          <w:rFonts w:hint="eastAsia"/>
        </w:rPr>
        <w:t>）</w:t>
      </w:r>
      <w:r>
        <w:t>中</w:t>
      </w:r>
      <w:r>
        <w:rPr>
          <w:rFonts w:hint="eastAsia" w:ascii="宋体" w:hAnsi="宋体" w:cs="宋体"/>
        </w:rPr>
        <w:t>Ⅱ</w:t>
      </w:r>
      <w:r>
        <w:t>类水质标准。</w:t>
      </w:r>
    </w:p>
    <w:p>
      <w:pPr>
        <w:ind w:firstLine="480"/>
      </w:pPr>
      <w:r>
        <w:t>根据《地下水质量标准》</w:t>
      </w:r>
      <w:r>
        <w:rPr>
          <w:rFonts w:hint="eastAsia"/>
        </w:rPr>
        <w:t>（</w:t>
      </w:r>
      <w:r>
        <w:t>GB/T14848-2017</w:t>
      </w:r>
      <w:r>
        <w:rPr>
          <w:rFonts w:hint="eastAsia"/>
        </w:rPr>
        <w:t>）</w:t>
      </w:r>
      <w:r>
        <w:t>的地下水分类要求，评价区的地下水质量定为</w:t>
      </w:r>
      <w:r>
        <w:rPr>
          <w:rFonts w:hAnsi="宋体"/>
        </w:rPr>
        <w:t>Ⅲ</w:t>
      </w:r>
      <w:r>
        <w:t>类，执行地下水</w:t>
      </w:r>
      <w:r>
        <w:rPr>
          <w:rFonts w:hAnsi="宋体"/>
        </w:rPr>
        <w:t>Ⅲ</w:t>
      </w:r>
      <w:r>
        <w:t>类质量标准。</w:t>
      </w:r>
    </w:p>
    <w:p>
      <w:pPr>
        <w:pStyle w:val="5"/>
      </w:pPr>
      <w:r>
        <w:t>声环境功能区划</w:t>
      </w:r>
    </w:p>
    <w:p>
      <w:pPr>
        <w:ind w:firstLine="480"/>
      </w:pPr>
      <w:r>
        <w:t>项目所在区域属于农村地区，</w:t>
      </w:r>
      <w:r>
        <w:rPr>
          <w:rFonts w:hint="eastAsia"/>
        </w:rPr>
        <w:t>项目区域发展生态旅游的农村地区，项目建成后从事生猪养殖，项目区声环境质量按2类区控制，</w:t>
      </w:r>
      <w:r>
        <w:t>执行《声环境质量标准》（GB3096-2008）中2类区标准</w:t>
      </w:r>
      <w:r>
        <w:rPr>
          <w:rFonts w:hint="eastAsia"/>
        </w:rPr>
        <w:t>（</w:t>
      </w:r>
      <w:r>
        <w:t>昼间60B</w:t>
      </w:r>
      <w:r>
        <w:rPr>
          <w:rFonts w:hint="eastAsia"/>
        </w:rPr>
        <w:t>（</w:t>
      </w:r>
      <w:r>
        <w:t>A</w:t>
      </w:r>
      <w:r>
        <w:rPr>
          <w:rFonts w:hint="eastAsia"/>
        </w:rPr>
        <w:t>），</w:t>
      </w:r>
      <w:r>
        <w:t>夜间50dB</w:t>
      </w:r>
      <w:r>
        <w:rPr>
          <w:rFonts w:hint="eastAsia"/>
        </w:rPr>
        <w:t>（</w:t>
      </w:r>
      <w:r>
        <w:t>A</w:t>
      </w:r>
      <w:r>
        <w:rPr>
          <w:rFonts w:hint="eastAsia"/>
        </w:rPr>
        <w:t>）</w:t>
      </w:r>
      <w:r>
        <w:t>。</w:t>
      </w:r>
    </w:p>
    <w:p>
      <w:pPr>
        <w:pStyle w:val="5"/>
      </w:pPr>
      <w:r>
        <w:t>生态功能区划</w:t>
      </w:r>
    </w:p>
    <w:p>
      <w:pPr>
        <w:ind w:firstLine="480"/>
      </w:pPr>
      <w:r>
        <w:t>根据</w:t>
      </w:r>
      <w:r>
        <w:rPr>
          <w:rFonts w:hint="eastAsia"/>
        </w:rPr>
        <w:t>陕西省</w:t>
      </w:r>
      <w:r>
        <w:t>生态功能区划，项目所在地旬阳市属于</w:t>
      </w:r>
      <w:r>
        <w:rPr>
          <w:rFonts w:hint="eastAsia"/>
        </w:rPr>
        <w:t>“四</w:t>
      </w:r>
      <w:r>
        <w:t>、</w:t>
      </w:r>
      <w:r>
        <w:rPr>
          <w:rFonts w:hint="eastAsia"/>
        </w:rPr>
        <w:t>秦</w:t>
      </w:r>
      <w:r>
        <w:t>巴山地落叶阔叶林、常绿阔叶混交林生态区</w:t>
      </w:r>
      <w:r>
        <w:rPr>
          <w:rFonts w:hint="eastAsia"/>
        </w:rPr>
        <w:t>”—“九</w:t>
      </w:r>
      <w:r>
        <w:t>汉江两岸丘陵盆地农业生态</w:t>
      </w:r>
      <w:r>
        <w:rPr>
          <w:rFonts w:hint="eastAsia"/>
        </w:rPr>
        <w:t>亚</w:t>
      </w:r>
      <w:r>
        <w:t>区</w:t>
      </w:r>
      <w:r>
        <w:rPr>
          <w:rFonts w:hint="eastAsia"/>
        </w:rPr>
        <w:t>”—</w:t>
      </w:r>
      <w:r>
        <w:rPr>
          <w:rFonts w:asciiTheme="minorEastAsia" w:hAnsiTheme="minorEastAsia" w:eastAsiaTheme="minorEastAsia"/>
        </w:rPr>
        <w:t>“</w:t>
      </w:r>
      <w:r>
        <w:t xml:space="preserve">31 </w:t>
      </w:r>
      <w:r>
        <w:rPr>
          <w:rFonts w:hint="eastAsia"/>
        </w:rPr>
        <w:t>汉江</w:t>
      </w:r>
      <w:r>
        <w:t>两岸低山丘陵土壤侵蚀控制区</w:t>
      </w:r>
      <w:r>
        <w:rPr>
          <w:rFonts w:ascii="宋体" w:hAnsi="宋体"/>
        </w:rPr>
        <w:t>”</w:t>
      </w:r>
      <w:r>
        <w:rPr>
          <w:rFonts w:hint="eastAsia" w:ascii="宋体" w:hAnsi="宋体"/>
        </w:rPr>
        <w:t>。</w:t>
      </w:r>
    </w:p>
    <w:p>
      <w:pPr>
        <w:pStyle w:val="3"/>
      </w:pPr>
      <w:bookmarkStart w:id="46" w:name="_Toc488102152"/>
      <w:bookmarkStart w:id="47" w:name="_Toc108422226"/>
      <w:r>
        <w:rPr>
          <w:rFonts w:hint="eastAsia"/>
        </w:rPr>
        <w:t>环境保护目标</w:t>
      </w:r>
      <w:bookmarkEnd w:id="46"/>
      <w:bookmarkEnd w:id="47"/>
    </w:p>
    <w:p>
      <w:pPr>
        <w:ind w:firstLine="480"/>
        <w:rPr>
          <w:szCs w:val="24"/>
        </w:rPr>
      </w:pPr>
      <w:r>
        <w:t>项目建于旬阳市</w:t>
      </w:r>
      <w:r>
        <w:rPr>
          <w:rFonts w:hint="eastAsia"/>
        </w:rPr>
        <w:t>关口</w:t>
      </w:r>
      <w:r>
        <w:t>镇</w:t>
      </w:r>
      <w:r>
        <w:rPr>
          <w:rFonts w:hint="eastAsia"/>
        </w:rPr>
        <w:t>关坪</w:t>
      </w:r>
      <w:r>
        <w:t>村，场界四周为耕地</w:t>
      </w:r>
      <w:r>
        <w:rPr>
          <w:rFonts w:hint="eastAsia"/>
        </w:rPr>
        <w:t>、</w:t>
      </w:r>
      <w:r>
        <w:t>林地</w:t>
      </w:r>
      <w:r>
        <w:rPr>
          <w:rFonts w:hint="eastAsia"/>
        </w:rPr>
        <w:t>及荒地</w:t>
      </w:r>
      <w:r>
        <w:t>。</w:t>
      </w:r>
      <w:r>
        <w:rPr>
          <w:szCs w:val="24"/>
        </w:rPr>
        <w:t>评价区内无自然保护区、风景名胜区、饮用水源保护区等敏感区，</w:t>
      </w:r>
      <w:r>
        <w:rPr>
          <w:rFonts w:hint="eastAsia"/>
          <w:szCs w:val="24"/>
        </w:rPr>
        <w:t>本项目设置500m卫生防护距离，厂界外500m范围内有1家住户，不属于</w:t>
      </w:r>
      <w:r>
        <w:rPr>
          <w:rFonts w:hint="eastAsia"/>
          <w:kern w:val="0"/>
        </w:rPr>
        <w:t>《畜禽养殖业污染防治技术规范》（</w:t>
      </w:r>
      <w:r>
        <w:rPr>
          <w:kern w:val="0"/>
        </w:rPr>
        <w:t>HJ/T81-2001</w:t>
      </w:r>
      <w:r>
        <w:rPr>
          <w:rFonts w:hint="eastAsia"/>
          <w:kern w:val="0"/>
        </w:rPr>
        <w:t>）中规定</w:t>
      </w:r>
      <w:r>
        <w:rPr>
          <w:kern w:val="0"/>
        </w:rPr>
        <w:t>的城镇居民区等人口集中</w:t>
      </w:r>
      <w:r>
        <w:rPr>
          <w:rFonts w:hint="eastAsia"/>
          <w:kern w:val="0"/>
        </w:rPr>
        <w:t>地区</w:t>
      </w:r>
      <w:r>
        <w:rPr>
          <w:rFonts w:hint="eastAsia"/>
          <w:szCs w:val="24"/>
        </w:rPr>
        <w:t>。根据</w:t>
      </w:r>
      <w:r>
        <w:rPr>
          <w:szCs w:val="24"/>
        </w:rPr>
        <w:t>项目周围现状和规划建设情况，并结合项目建设及使用功能的特点，确定本项目评价范围内有关环境保护敏感目标的情况见</w:t>
      </w:r>
      <w:r>
        <w:fldChar w:fldCharType="begin"/>
      </w:r>
      <w:r>
        <w:instrText xml:space="preserve"> REF _Ref27042413 \h  \* MERGEFORMAT </w:instrText>
      </w:r>
      <w:r>
        <w:fldChar w:fldCharType="separate"/>
      </w:r>
      <w:r>
        <w:t>表2.7</w:t>
      </w:r>
      <w:r>
        <w:noBreakHyphen/>
      </w:r>
      <w:r>
        <w:t>1</w:t>
      </w:r>
      <w:r>
        <w:fldChar w:fldCharType="end"/>
      </w:r>
      <w:r>
        <w:rPr>
          <w:szCs w:val="24"/>
        </w:rPr>
        <w:t>所示，评价范围及敏感点见图2.7-1。</w:t>
      </w:r>
    </w:p>
    <w:p>
      <w:pPr>
        <w:spacing w:line="240" w:lineRule="auto"/>
        <w:ind w:firstLine="0" w:firstLineChars="0"/>
        <w:jc w:val="center"/>
        <w:rPr>
          <w:b/>
          <w:sz w:val="21"/>
          <w:szCs w:val="24"/>
        </w:rPr>
      </w:pPr>
      <w:bookmarkStart w:id="48" w:name="_Ref27042413"/>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2.7</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48"/>
      <w:r>
        <w:rPr>
          <w:b/>
          <w:sz w:val="21"/>
          <w:szCs w:val="24"/>
        </w:rPr>
        <w:t>项目环境空气保护目标</w:t>
      </w:r>
    </w:p>
    <w:tbl>
      <w:tblPr>
        <w:tblStyle w:val="27"/>
        <w:tblW w:w="8276"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53"/>
        <w:gridCol w:w="1067"/>
        <w:gridCol w:w="1206"/>
        <w:gridCol w:w="1100"/>
        <w:gridCol w:w="9"/>
        <w:gridCol w:w="711"/>
        <w:gridCol w:w="658"/>
        <w:gridCol w:w="426"/>
        <w:gridCol w:w="1594"/>
        <w:gridCol w:w="42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restart"/>
            <w:vAlign w:val="center"/>
          </w:tcPr>
          <w:p>
            <w:pPr>
              <w:adjustRightInd/>
              <w:snapToGrid/>
              <w:spacing w:line="240" w:lineRule="auto"/>
              <w:ind w:firstLine="0" w:firstLineChars="0"/>
              <w:jc w:val="center"/>
              <w:rPr>
                <w:sz w:val="21"/>
                <w:szCs w:val="21"/>
              </w:rPr>
            </w:pPr>
            <w:r>
              <w:rPr>
                <w:sz w:val="21"/>
                <w:szCs w:val="21"/>
              </w:rPr>
              <w:t>序号</w:t>
            </w:r>
          </w:p>
        </w:tc>
        <w:tc>
          <w:tcPr>
            <w:tcW w:w="653" w:type="dxa"/>
            <w:vMerge w:val="restart"/>
            <w:vAlign w:val="center"/>
          </w:tcPr>
          <w:p>
            <w:pPr>
              <w:adjustRightInd/>
              <w:snapToGrid/>
              <w:spacing w:line="240" w:lineRule="auto"/>
              <w:ind w:firstLine="0" w:firstLineChars="0"/>
              <w:jc w:val="center"/>
              <w:rPr>
                <w:sz w:val="21"/>
                <w:szCs w:val="21"/>
              </w:rPr>
            </w:pPr>
            <w:r>
              <w:rPr>
                <w:sz w:val="21"/>
                <w:szCs w:val="21"/>
              </w:rPr>
              <w:t>环境要素</w:t>
            </w:r>
          </w:p>
        </w:tc>
        <w:tc>
          <w:tcPr>
            <w:tcW w:w="1067" w:type="dxa"/>
            <w:vMerge w:val="restart"/>
            <w:vAlign w:val="center"/>
          </w:tcPr>
          <w:p>
            <w:pPr>
              <w:adjustRightInd/>
              <w:snapToGrid/>
              <w:spacing w:line="240" w:lineRule="auto"/>
              <w:ind w:firstLine="0" w:firstLineChars="0"/>
              <w:jc w:val="center"/>
              <w:rPr>
                <w:sz w:val="21"/>
                <w:szCs w:val="21"/>
              </w:rPr>
            </w:pPr>
            <w:r>
              <w:rPr>
                <w:sz w:val="21"/>
                <w:szCs w:val="21"/>
              </w:rPr>
              <w:t>保护目标名称</w:t>
            </w:r>
          </w:p>
        </w:tc>
        <w:tc>
          <w:tcPr>
            <w:tcW w:w="2315" w:type="dxa"/>
            <w:gridSpan w:val="3"/>
            <w:vAlign w:val="center"/>
          </w:tcPr>
          <w:p>
            <w:pPr>
              <w:adjustRightInd/>
              <w:snapToGrid/>
              <w:spacing w:line="240" w:lineRule="auto"/>
              <w:ind w:firstLine="0" w:firstLineChars="0"/>
              <w:jc w:val="center"/>
              <w:rPr>
                <w:sz w:val="21"/>
                <w:szCs w:val="21"/>
              </w:rPr>
            </w:pPr>
            <w:r>
              <w:rPr>
                <w:sz w:val="21"/>
                <w:szCs w:val="21"/>
              </w:rPr>
              <w:t>地理位置</w:t>
            </w:r>
          </w:p>
        </w:tc>
        <w:tc>
          <w:tcPr>
            <w:tcW w:w="711" w:type="dxa"/>
            <w:vMerge w:val="restart"/>
            <w:vAlign w:val="center"/>
          </w:tcPr>
          <w:p>
            <w:pPr>
              <w:adjustRightInd/>
              <w:snapToGrid/>
              <w:spacing w:line="240" w:lineRule="auto"/>
              <w:ind w:firstLine="0" w:firstLineChars="0"/>
              <w:jc w:val="center"/>
              <w:rPr>
                <w:sz w:val="21"/>
                <w:szCs w:val="21"/>
              </w:rPr>
            </w:pPr>
            <w:r>
              <w:rPr>
                <w:sz w:val="21"/>
                <w:szCs w:val="21"/>
              </w:rPr>
              <w:t>相对厂址方位</w:t>
            </w:r>
          </w:p>
        </w:tc>
        <w:tc>
          <w:tcPr>
            <w:tcW w:w="658" w:type="dxa"/>
            <w:vMerge w:val="restart"/>
            <w:vAlign w:val="center"/>
          </w:tcPr>
          <w:p>
            <w:pPr>
              <w:adjustRightInd/>
              <w:snapToGrid/>
              <w:spacing w:line="240" w:lineRule="auto"/>
              <w:ind w:firstLine="0" w:firstLineChars="0"/>
              <w:jc w:val="center"/>
              <w:rPr>
                <w:sz w:val="21"/>
                <w:szCs w:val="21"/>
              </w:rPr>
            </w:pPr>
            <w:r>
              <w:rPr>
                <w:sz w:val="21"/>
                <w:szCs w:val="21"/>
              </w:rPr>
              <w:t>相对厂界距离/m</w:t>
            </w:r>
          </w:p>
        </w:tc>
        <w:tc>
          <w:tcPr>
            <w:tcW w:w="426" w:type="dxa"/>
            <w:vMerge w:val="restart"/>
            <w:vAlign w:val="center"/>
          </w:tcPr>
          <w:p>
            <w:pPr>
              <w:adjustRightInd/>
              <w:snapToGrid/>
              <w:spacing w:line="240" w:lineRule="auto"/>
              <w:ind w:firstLine="0" w:firstLineChars="0"/>
              <w:jc w:val="center"/>
              <w:rPr>
                <w:sz w:val="21"/>
                <w:szCs w:val="21"/>
              </w:rPr>
            </w:pPr>
            <w:r>
              <w:rPr>
                <w:sz w:val="21"/>
                <w:szCs w:val="21"/>
              </w:rPr>
              <w:t>保护对象</w:t>
            </w:r>
          </w:p>
        </w:tc>
        <w:tc>
          <w:tcPr>
            <w:tcW w:w="1594" w:type="dxa"/>
            <w:vMerge w:val="restart"/>
            <w:vAlign w:val="center"/>
          </w:tcPr>
          <w:p>
            <w:pPr>
              <w:adjustRightInd/>
              <w:snapToGrid/>
              <w:spacing w:line="240" w:lineRule="auto"/>
              <w:ind w:firstLine="0" w:firstLineChars="0"/>
              <w:jc w:val="center"/>
              <w:rPr>
                <w:sz w:val="21"/>
                <w:szCs w:val="21"/>
              </w:rPr>
            </w:pPr>
            <w:r>
              <w:rPr>
                <w:sz w:val="21"/>
                <w:szCs w:val="21"/>
              </w:rPr>
              <w:t>保护内容规模</w:t>
            </w:r>
          </w:p>
        </w:tc>
        <w:tc>
          <w:tcPr>
            <w:tcW w:w="426" w:type="dxa"/>
            <w:vMerge w:val="restart"/>
            <w:vAlign w:val="center"/>
          </w:tcPr>
          <w:p>
            <w:pPr>
              <w:adjustRightInd/>
              <w:snapToGrid/>
              <w:spacing w:line="240" w:lineRule="auto"/>
              <w:ind w:firstLine="0" w:firstLineChars="0"/>
              <w:jc w:val="center"/>
              <w:rPr>
                <w:sz w:val="21"/>
                <w:szCs w:val="21"/>
              </w:rPr>
            </w:pPr>
            <w:r>
              <w:rPr>
                <w:sz w:val="21"/>
                <w:szCs w:val="21"/>
              </w:rPr>
              <w:t>功能区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426" w:type="dxa"/>
            <w:vMerge w:val="continue"/>
            <w:vAlign w:val="center"/>
          </w:tcPr>
          <w:p>
            <w:pPr>
              <w:adjustRightInd/>
              <w:snapToGrid/>
              <w:spacing w:line="240" w:lineRule="auto"/>
              <w:ind w:firstLine="0" w:firstLineChars="0"/>
              <w:jc w:val="center"/>
              <w:rPr>
                <w:sz w:val="21"/>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Merge w:val="continue"/>
            <w:vAlign w:val="center"/>
          </w:tcPr>
          <w:p>
            <w:pPr>
              <w:adjustRightInd/>
              <w:snapToGrid/>
              <w:spacing w:line="240" w:lineRule="auto"/>
              <w:ind w:firstLine="0" w:firstLineChars="0"/>
              <w:jc w:val="center"/>
              <w:rPr>
                <w:sz w:val="21"/>
                <w:szCs w:val="21"/>
              </w:rPr>
            </w:pPr>
          </w:p>
        </w:tc>
        <w:tc>
          <w:tcPr>
            <w:tcW w:w="1206" w:type="dxa"/>
            <w:vAlign w:val="center"/>
          </w:tcPr>
          <w:p>
            <w:pPr>
              <w:adjustRightInd/>
              <w:snapToGrid/>
              <w:spacing w:line="240" w:lineRule="auto"/>
              <w:ind w:firstLine="0" w:firstLineChars="0"/>
              <w:jc w:val="center"/>
              <w:rPr>
                <w:sz w:val="21"/>
                <w:szCs w:val="21"/>
              </w:rPr>
            </w:pPr>
            <w:r>
              <w:rPr>
                <w:sz w:val="21"/>
                <w:szCs w:val="21"/>
              </w:rPr>
              <w:t>经度</w:t>
            </w:r>
          </w:p>
          <w:p>
            <w:pPr>
              <w:adjustRightInd/>
              <w:snapToGrid/>
              <w:spacing w:line="240" w:lineRule="auto"/>
              <w:ind w:firstLine="0" w:firstLineChars="0"/>
              <w:jc w:val="center"/>
              <w:rPr>
                <w:sz w:val="21"/>
                <w:szCs w:val="21"/>
              </w:rPr>
            </w:pPr>
            <w:r>
              <w:rPr>
                <w:sz w:val="21"/>
                <w:szCs w:val="21"/>
              </w:rPr>
              <w:t>（°）</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纬度</w:t>
            </w:r>
          </w:p>
          <w:p>
            <w:pPr>
              <w:adjustRightInd/>
              <w:snapToGrid/>
              <w:spacing w:line="240" w:lineRule="auto"/>
              <w:ind w:firstLine="0" w:firstLineChars="0"/>
              <w:jc w:val="center"/>
              <w:rPr>
                <w:sz w:val="21"/>
                <w:szCs w:val="21"/>
              </w:rPr>
            </w:pPr>
            <w:r>
              <w:rPr>
                <w:sz w:val="21"/>
                <w:szCs w:val="21"/>
              </w:rPr>
              <w:t>（°）</w:t>
            </w:r>
          </w:p>
        </w:tc>
        <w:tc>
          <w:tcPr>
            <w:tcW w:w="711" w:type="dxa"/>
            <w:vMerge w:val="continue"/>
            <w:vAlign w:val="center"/>
          </w:tcPr>
          <w:p>
            <w:pPr>
              <w:adjustRightInd/>
              <w:snapToGrid/>
              <w:spacing w:line="240" w:lineRule="auto"/>
              <w:ind w:firstLine="0" w:firstLineChars="0"/>
              <w:jc w:val="center"/>
              <w:rPr>
                <w:sz w:val="21"/>
                <w:szCs w:val="21"/>
              </w:rPr>
            </w:pPr>
          </w:p>
        </w:tc>
        <w:tc>
          <w:tcPr>
            <w:tcW w:w="658" w:type="dxa"/>
            <w:vMerge w:val="continue"/>
            <w:vAlign w:val="center"/>
          </w:tcPr>
          <w:p>
            <w:pPr>
              <w:adjustRightInd/>
              <w:snapToGrid/>
              <w:spacing w:line="240" w:lineRule="auto"/>
              <w:ind w:firstLine="0" w:firstLineChars="0"/>
              <w:jc w:val="center"/>
              <w:rPr>
                <w:sz w:val="21"/>
                <w:szCs w:val="21"/>
              </w:rPr>
            </w:pP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vMerge w:val="continue"/>
            <w:vAlign w:val="center"/>
          </w:tcPr>
          <w:p>
            <w:pPr>
              <w:adjustRightInd/>
              <w:snapToGrid/>
              <w:spacing w:line="240" w:lineRule="auto"/>
              <w:ind w:firstLine="0" w:firstLineChars="0"/>
              <w:jc w:val="center"/>
              <w:rPr>
                <w:sz w:val="21"/>
                <w:szCs w:val="21"/>
              </w:rPr>
            </w:pP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426" w:type="dxa"/>
            <w:vAlign w:val="center"/>
          </w:tcPr>
          <w:p>
            <w:pPr>
              <w:pStyle w:val="45"/>
              <w:numPr>
                <w:ilvl w:val="0"/>
                <w:numId w:val="10"/>
              </w:numPr>
              <w:adjustRightInd/>
              <w:snapToGrid/>
              <w:rPr>
                <w:szCs w:val="21"/>
              </w:rPr>
            </w:pPr>
          </w:p>
        </w:tc>
        <w:tc>
          <w:tcPr>
            <w:tcW w:w="653" w:type="dxa"/>
            <w:vMerge w:val="restart"/>
            <w:vAlign w:val="center"/>
          </w:tcPr>
          <w:p>
            <w:pPr>
              <w:adjustRightInd/>
              <w:snapToGrid/>
              <w:spacing w:line="240" w:lineRule="auto"/>
              <w:ind w:firstLine="0" w:firstLineChars="0"/>
              <w:jc w:val="center"/>
              <w:rPr>
                <w:sz w:val="21"/>
                <w:szCs w:val="21"/>
              </w:rPr>
            </w:pPr>
            <w:r>
              <w:rPr>
                <w:sz w:val="21"/>
                <w:szCs w:val="21"/>
              </w:rPr>
              <w:t>环境空气</w:t>
            </w:r>
          </w:p>
        </w:tc>
        <w:tc>
          <w:tcPr>
            <w:tcW w:w="1067" w:type="dxa"/>
            <w:vAlign w:val="center"/>
          </w:tcPr>
          <w:p>
            <w:pPr>
              <w:adjustRightInd/>
              <w:snapToGrid/>
              <w:spacing w:line="240" w:lineRule="auto"/>
              <w:ind w:firstLine="0" w:firstLineChars="0"/>
              <w:jc w:val="center"/>
              <w:rPr>
                <w:sz w:val="21"/>
                <w:szCs w:val="21"/>
              </w:rPr>
            </w:pPr>
            <w:r>
              <w:rPr>
                <w:rFonts w:hint="eastAsia"/>
                <w:sz w:val="21"/>
                <w:szCs w:val="21"/>
              </w:rPr>
              <w:t>1家住户</w:t>
            </w:r>
          </w:p>
        </w:tc>
        <w:tc>
          <w:tcPr>
            <w:tcW w:w="1206" w:type="dxa"/>
            <w:vAlign w:val="center"/>
          </w:tcPr>
          <w:p>
            <w:pPr>
              <w:adjustRightInd/>
              <w:snapToGrid/>
              <w:spacing w:line="240" w:lineRule="auto"/>
              <w:ind w:firstLine="0" w:firstLineChars="0"/>
              <w:jc w:val="center"/>
              <w:rPr>
                <w:sz w:val="21"/>
                <w:szCs w:val="21"/>
              </w:rPr>
            </w:pPr>
            <w:r>
              <w:rPr>
                <w:sz w:val="21"/>
                <w:szCs w:val="21"/>
              </w:rPr>
              <w:t xml:space="preserve">109.611990 </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32.937752</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NW</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350</w:t>
            </w:r>
          </w:p>
        </w:tc>
        <w:tc>
          <w:tcPr>
            <w:tcW w:w="426" w:type="dxa"/>
            <w:vMerge w:val="restart"/>
            <w:vAlign w:val="center"/>
          </w:tcPr>
          <w:p>
            <w:pPr>
              <w:ind w:firstLine="0" w:firstLineChars="0"/>
              <w:jc w:val="center"/>
              <w:rPr>
                <w:sz w:val="21"/>
                <w:szCs w:val="21"/>
              </w:rPr>
            </w:pPr>
            <w:r>
              <w:rPr>
                <w:sz w:val="21"/>
                <w:szCs w:val="21"/>
              </w:rPr>
              <w:t>居住区</w:t>
            </w:r>
          </w:p>
        </w:tc>
        <w:tc>
          <w:tcPr>
            <w:tcW w:w="1594" w:type="dxa"/>
            <w:vAlign w:val="center"/>
          </w:tcPr>
          <w:p>
            <w:pPr>
              <w:adjustRightInd/>
              <w:snapToGrid/>
              <w:spacing w:line="240" w:lineRule="auto"/>
              <w:ind w:firstLine="0" w:firstLineChars="0"/>
              <w:jc w:val="center"/>
              <w:rPr>
                <w:sz w:val="21"/>
                <w:szCs w:val="21"/>
              </w:rPr>
            </w:pPr>
            <w:r>
              <w:rPr>
                <w:rFonts w:hint="eastAsia"/>
                <w:sz w:val="21"/>
                <w:szCs w:val="21"/>
              </w:rPr>
              <w:t>1户/</w:t>
            </w:r>
            <w:r>
              <w:rPr>
                <w:sz w:val="21"/>
                <w:szCs w:val="21"/>
              </w:rPr>
              <w:t>/约4人</w:t>
            </w:r>
          </w:p>
        </w:tc>
        <w:tc>
          <w:tcPr>
            <w:tcW w:w="426" w:type="dxa"/>
            <w:vMerge w:val="restart"/>
            <w:vAlign w:val="center"/>
          </w:tcPr>
          <w:p>
            <w:pPr>
              <w:adjustRightInd/>
              <w:snapToGrid/>
              <w:spacing w:line="240" w:lineRule="auto"/>
              <w:ind w:firstLine="0" w:firstLineChars="0"/>
              <w:jc w:val="center"/>
              <w:rPr>
                <w:sz w:val="21"/>
                <w:szCs w:val="21"/>
              </w:rPr>
            </w:pPr>
            <w:r>
              <w:rPr>
                <w:rFonts w:hAnsi="宋体"/>
                <w:kern w:val="28"/>
                <w:sz w:val="21"/>
                <w:szCs w:val="21"/>
              </w:rPr>
              <w:t>二类区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王家岭</w:t>
            </w:r>
          </w:p>
        </w:tc>
        <w:tc>
          <w:tcPr>
            <w:tcW w:w="1206" w:type="dxa"/>
          </w:tcPr>
          <w:p>
            <w:pPr>
              <w:adjustRightInd/>
              <w:snapToGrid/>
              <w:spacing w:line="240" w:lineRule="auto"/>
              <w:ind w:firstLine="0" w:firstLineChars="0"/>
              <w:jc w:val="center"/>
              <w:rPr>
                <w:sz w:val="21"/>
                <w:szCs w:val="21"/>
              </w:rPr>
            </w:pPr>
            <w:r>
              <w:rPr>
                <w:sz w:val="21"/>
                <w:szCs w:val="21"/>
              </w:rPr>
              <w:t>109.6195</w:t>
            </w:r>
            <w:r>
              <w:rPr>
                <w:rFonts w:hint="eastAsia"/>
                <w:sz w:val="21"/>
                <w:szCs w:val="21"/>
              </w:rPr>
              <w:t>2</w:t>
            </w:r>
          </w:p>
        </w:tc>
        <w:tc>
          <w:tcPr>
            <w:tcW w:w="1109" w:type="dxa"/>
            <w:gridSpan w:val="2"/>
          </w:tcPr>
          <w:p>
            <w:pPr>
              <w:adjustRightInd/>
              <w:snapToGrid/>
              <w:spacing w:line="240" w:lineRule="auto"/>
              <w:ind w:firstLine="0" w:firstLineChars="0"/>
              <w:jc w:val="center"/>
              <w:rPr>
                <w:sz w:val="21"/>
                <w:szCs w:val="21"/>
              </w:rPr>
            </w:pPr>
            <w:r>
              <w:rPr>
                <w:sz w:val="21"/>
                <w:szCs w:val="21"/>
              </w:rPr>
              <w:t>32.9154</w:t>
            </w:r>
            <w:r>
              <w:rPr>
                <w:rFonts w:hint="eastAsia"/>
                <w:sz w:val="21"/>
                <w:szCs w:val="21"/>
              </w:rPr>
              <w:t>1</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SE</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2200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vAlign w:val="center"/>
          </w:tcPr>
          <w:p>
            <w:pPr>
              <w:adjustRightInd/>
              <w:snapToGrid/>
              <w:spacing w:line="240" w:lineRule="auto"/>
              <w:ind w:firstLine="0" w:firstLineChars="0"/>
              <w:jc w:val="center"/>
              <w:rPr>
                <w:sz w:val="21"/>
                <w:szCs w:val="21"/>
              </w:rPr>
            </w:pPr>
            <w:r>
              <w:rPr>
                <w:rFonts w:hint="eastAsia"/>
                <w:sz w:val="21"/>
                <w:szCs w:val="21"/>
              </w:rPr>
              <w:t>16</w:t>
            </w:r>
            <w:r>
              <w:rPr>
                <w:sz w:val="21"/>
                <w:szCs w:val="21"/>
              </w:rPr>
              <w:t>户/约</w:t>
            </w:r>
            <w:r>
              <w:rPr>
                <w:rFonts w:hint="eastAsia"/>
                <w:sz w:val="21"/>
                <w:szCs w:val="21"/>
              </w:rPr>
              <w:t>64</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关坪村</w:t>
            </w:r>
          </w:p>
        </w:tc>
        <w:tc>
          <w:tcPr>
            <w:tcW w:w="1206" w:type="dxa"/>
            <w:vAlign w:val="center"/>
          </w:tcPr>
          <w:p>
            <w:pPr>
              <w:adjustRightInd/>
              <w:snapToGrid/>
              <w:spacing w:line="240" w:lineRule="auto"/>
              <w:ind w:firstLine="0" w:firstLineChars="0"/>
              <w:jc w:val="center"/>
              <w:rPr>
                <w:sz w:val="21"/>
                <w:szCs w:val="21"/>
              </w:rPr>
            </w:pPr>
            <w:r>
              <w:rPr>
                <w:sz w:val="21"/>
                <w:szCs w:val="21"/>
              </w:rPr>
              <w:t>109.62305</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32.92275</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SE</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1600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vAlign w:val="center"/>
          </w:tcPr>
          <w:p>
            <w:pPr>
              <w:adjustRightInd/>
              <w:snapToGrid/>
              <w:spacing w:line="240" w:lineRule="auto"/>
              <w:ind w:firstLine="0" w:firstLineChars="0"/>
              <w:jc w:val="center"/>
              <w:rPr>
                <w:sz w:val="21"/>
                <w:szCs w:val="21"/>
              </w:rPr>
            </w:pPr>
            <w:r>
              <w:rPr>
                <w:sz w:val="21"/>
                <w:szCs w:val="21"/>
              </w:rPr>
              <w:t>8户/约</w:t>
            </w:r>
            <w:r>
              <w:rPr>
                <w:rFonts w:hint="eastAsia"/>
                <w:sz w:val="21"/>
                <w:szCs w:val="21"/>
              </w:rPr>
              <w:t>32</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田家后岭</w:t>
            </w:r>
          </w:p>
        </w:tc>
        <w:tc>
          <w:tcPr>
            <w:tcW w:w="1206" w:type="dxa"/>
            <w:vAlign w:val="center"/>
          </w:tcPr>
          <w:p>
            <w:pPr>
              <w:adjustRightInd/>
              <w:snapToGrid/>
              <w:spacing w:line="240" w:lineRule="auto"/>
              <w:ind w:firstLine="0" w:firstLineChars="0"/>
              <w:jc w:val="center"/>
              <w:rPr>
                <w:sz w:val="21"/>
                <w:szCs w:val="21"/>
              </w:rPr>
            </w:pPr>
            <w:r>
              <w:rPr>
                <w:sz w:val="21"/>
                <w:szCs w:val="21"/>
              </w:rPr>
              <w:t>109.6283</w:t>
            </w:r>
            <w:r>
              <w:rPr>
                <w:rFonts w:hint="eastAsia"/>
                <w:sz w:val="21"/>
                <w:szCs w:val="21"/>
              </w:rPr>
              <w:t>8</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32.92780</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SE</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1480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vAlign w:val="center"/>
          </w:tcPr>
          <w:p>
            <w:pPr>
              <w:adjustRightInd/>
              <w:snapToGrid/>
              <w:spacing w:line="240" w:lineRule="auto"/>
              <w:ind w:firstLine="0" w:firstLineChars="0"/>
              <w:jc w:val="center"/>
              <w:rPr>
                <w:sz w:val="21"/>
                <w:szCs w:val="21"/>
              </w:rPr>
            </w:pPr>
            <w:r>
              <w:rPr>
                <w:rFonts w:hint="eastAsia"/>
                <w:sz w:val="21"/>
                <w:szCs w:val="21"/>
              </w:rPr>
              <w:t>40</w:t>
            </w:r>
            <w:r>
              <w:rPr>
                <w:sz w:val="21"/>
                <w:szCs w:val="21"/>
              </w:rPr>
              <w:t>户/约</w:t>
            </w:r>
            <w:r>
              <w:rPr>
                <w:rFonts w:hint="eastAsia"/>
                <w:sz w:val="21"/>
                <w:szCs w:val="21"/>
              </w:rPr>
              <w:t>160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油坊河</w:t>
            </w:r>
          </w:p>
        </w:tc>
        <w:tc>
          <w:tcPr>
            <w:tcW w:w="1206" w:type="dxa"/>
            <w:vAlign w:val="center"/>
          </w:tcPr>
          <w:p>
            <w:pPr>
              <w:adjustRightInd/>
              <w:snapToGrid/>
              <w:spacing w:line="240" w:lineRule="auto"/>
              <w:ind w:firstLine="0" w:firstLineChars="0"/>
              <w:jc w:val="center"/>
              <w:rPr>
                <w:sz w:val="21"/>
                <w:szCs w:val="21"/>
              </w:rPr>
            </w:pPr>
            <w:r>
              <w:rPr>
                <w:sz w:val="21"/>
                <w:szCs w:val="21"/>
              </w:rPr>
              <w:t>109.63481</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32.93788</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E</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1930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vAlign w:val="center"/>
          </w:tcPr>
          <w:p>
            <w:pPr>
              <w:adjustRightInd/>
              <w:snapToGrid/>
              <w:spacing w:line="240" w:lineRule="auto"/>
              <w:ind w:firstLine="0" w:firstLineChars="0"/>
              <w:jc w:val="center"/>
              <w:rPr>
                <w:sz w:val="21"/>
                <w:szCs w:val="21"/>
              </w:rPr>
            </w:pPr>
            <w:r>
              <w:rPr>
                <w:rFonts w:hint="eastAsia"/>
                <w:sz w:val="21"/>
                <w:szCs w:val="21"/>
              </w:rPr>
              <w:t>20</w:t>
            </w:r>
            <w:r>
              <w:rPr>
                <w:sz w:val="21"/>
                <w:szCs w:val="21"/>
              </w:rPr>
              <w:t>户/约</w:t>
            </w:r>
            <w:r>
              <w:rPr>
                <w:rFonts w:hint="eastAsia"/>
                <w:sz w:val="21"/>
                <w:szCs w:val="21"/>
              </w:rPr>
              <w:t>80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椿树岭</w:t>
            </w:r>
          </w:p>
        </w:tc>
        <w:tc>
          <w:tcPr>
            <w:tcW w:w="1206" w:type="dxa"/>
            <w:vAlign w:val="center"/>
          </w:tcPr>
          <w:p>
            <w:pPr>
              <w:adjustRightInd/>
              <w:snapToGrid/>
              <w:spacing w:line="240" w:lineRule="auto"/>
              <w:ind w:firstLine="0" w:firstLineChars="0"/>
              <w:jc w:val="center"/>
              <w:rPr>
                <w:sz w:val="21"/>
                <w:szCs w:val="21"/>
              </w:rPr>
            </w:pPr>
            <w:r>
              <w:rPr>
                <w:sz w:val="21"/>
                <w:szCs w:val="21"/>
              </w:rPr>
              <w:t>109.6391</w:t>
            </w:r>
            <w:r>
              <w:rPr>
                <w:rFonts w:hint="eastAsia"/>
                <w:sz w:val="21"/>
                <w:szCs w:val="21"/>
              </w:rPr>
              <w:t>0</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32.9492</w:t>
            </w:r>
            <w:r>
              <w:rPr>
                <w:rFonts w:hint="eastAsia"/>
                <w:sz w:val="21"/>
                <w:szCs w:val="21"/>
              </w:rPr>
              <w:t>5</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NE</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2670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tcPr>
          <w:p>
            <w:pPr>
              <w:adjustRightInd/>
              <w:snapToGrid/>
              <w:spacing w:line="240" w:lineRule="auto"/>
              <w:ind w:firstLine="0" w:firstLineChars="0"/>
              <w:jc w:val="center"/>
              <w:rPr>
                <w:sz w:val="21"/>
                <w:szCs w:val="21"/>
              </w:rPr>
            </w:pPr>
            <w:r>
              <w:rPr>
                <w:rFonts w:hint="eastAsia"/>
                <w:sz w:val="21"/>
                <w:szCs w:val="21"/>
              </w:rPr>
              <w:t>10</w:t>
            </w:r>
            <w:r>
              <w:rPr>
                <w:sz w:val="21"/>
                <w:szCs w:val="21"/>
              </w:rPr>
              <w:t>户/约</w:t>
            </w:r>
            <w:r>
              <w:rPr>
                <w:rFonts w:hint="eastAsia"/>
                <w:sz w:val="21"/>
                <w:szCs w:val="21"/>
              </w:rPr>
              <w:t>40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潘家坡</w:t>
            </w:r>
          </w:p>
        </w:tc>
        <w:tc>
          <w:tcPr>
            <w:tcW w:w="1206" w:type="dxa"/>
            <w:vAlign w:val="center"/>
          </w:tcPr>
          <w:p>
            <w:pPr>
              <w:adjustRightInd/>
              <w:snapToGrid/>
              <w:spacing w:line="240" w:lineRule="auto"/>
              <w:ind w:firstLine="0" w:firstLineChars="0"/>
              <w:jc w:val="center"/>
              <w:rPr>
                <w:sz w:val="21"/>
                <w:szCs w:val="21"/>
              </w:rPr>
            </w:pPr>
            <w:r>
              <w:rPr>
                <w:sz w:val="21"/>
                <w:szCs w:val="21"/>
              </w:rPr>
              <w:t>109.6190</w:t>
            </w:r>
            <w:r>
              <w:rPr>
                <w:rFonts w:hint="eastAsia"/>
                <w:sz w:val="21"/>
                <w:szCs w:val="21"/>
              </w:rPr>
              <w:t>2</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32.93759</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E</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550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tcPr>
          <w:p>
            <w:pPr>
              <w:adjustRightInd/>
              <w:snapToGrid/>
              <w:spacing w:line="240" w:lineRule="auto"/>
              <w:ind w:firstLine="0" w:firstLineChars="0"/>
              <w:jc w:val="center"/>
              <w:rPr>
                <w:sz w:val="21"/>
                <w:szCs w:val="21"/>
              </w:rPr>
            </w:pPr>
            <w:r>
              <w:rPr>
                <w:rFonts w:hint="eastAsia"/>
                <w:sz w:val="21"/>
                <w:szCs w:val="21"/>
              </w:rPr>
              <w:t>50</w:t>
            </w:r>
            <w:r>
              <w:rPr>
                <w:sz w:val="21"/>
                <w:szCs w:val="21"/>
              </w:rPr>
              <w:t>户/约</w:t>
            </w:r>
            <w:r>
              <w:rPr>
                <w:rFonts w:hint="eastAsia"/>
                <w:sz w:val="21"/>
                <w:szCs w:val="21"/>
              </w:rPr>
              <w:t>200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田家前岭</w:t>
            </w:r>
          </w:p>
        </w:tc>
        <w:tc>
          <w:tcPr>
            <w:tcW w:w="1206" w:type="dxa"/>
            <w:vAlign w:val="center"/>
          </w:tcPr>
          <w:p>
            <w:pPr>
              <w:adjustRightInd/>
              <w:snapToGrid/>
              <w:spacing w:line="240" w:lineRule="auto"/>
              <w:ind w:firstLine="0" w:firstLineChars="0"/>
              <w:jc w:val="center"/>
              <w:rPr>
                <w:sz w:val="21"/>
                <w:szCs w:val="21"/>
              </w:rPr>
            </w:pPr>
            <w:r>
              <w:rPr>
                <w:sz w:val="21"/>
                <w:szCs w:val="21"/>
              </w:rPr>
              <w:t>109.61293</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32.93233</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S</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570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tcPr>
          <w:p>
            <w:pPr>
              <w:adjustRightInd/>
              <w:snapToGrid/>
              <w:spacing w:line="240" w:lineRule="auto"/>
              <w:ind w:firstLine="0" w:firstLineChars="0"/>
              <w:jc w:val="center"/>
              <w:rPr>
                <w:sz w:val="21"/>
                <w:szCs w:val="21"/>
              </w:rPr>
            </w:pPr>
            <w:r>
              <w:rPr>
                <w:rFonts w:hint="eastAsia"/>
                <w:sz w:val="21"/>
                <w:szCs w:val="21"/>
              </w:rPr>
              <w:t>80</w:t>
            </w:r>
            <w:r>
              <w:rPr>
                <w:sz w:val="21"/>
                <w:szCs w:val="21"/>
              </w:rPr>
              <w:t>户/约</w:t>
            </w:r>
            <w:r>
              <w:rPr>
                <w:rFonts w:hint="eastAsia"/>
                <w:sz w:val="21"/>
                <w:szCs w:val="21"/>
              </w:rPr>
              <w:t>320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关口镇中心学校</w:t>
            </w:r>
          </w:p>
        </w:tc>
        <w:tc>
          <w:tcPr>
            <w:tcW w:w="1206" w:type="dxa"/>
            <w:vAlign w:val="center"/>
          </w:tcPr>
          <w:p>
            <w:pPr>
              <w:adjustRightInd/>
              <w:snapToGrid/>
              <w:spacing w:line="240" w:lineRule="auto"/>
              <w:ind w:firstLine="0" w:firstLineChars="0"/>
              <w:jc w:val="center"/>
              <w:rPr>
                <w:sz w:val="21"/>
                <w:szCs w:val="21"/>
              </w:rPr>
            </w:pPr>
            <w:r>
              <w:rPr>
                <w:sz w:val="21"/>
                <w:szCs w:val="21"/>
              </w:rPr>
              <w:t>109.61335</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32.92967</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S</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720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vAlign w:val="center"/>
          </w:tcPr>
          <w:p>
            <w:pPr>
              <w:adjustRightInd/>
              <w:snapToGrid/>
              <w:spacing w:line="240" w:lineRule="auto"/>
              <w:ind w:firstLine="0" w:firstLineChars="0"/>
              <w:jc w:val="center"/>
              <w:rPr>
                <w:sz w:val="21"/>
                <w:szCs w:val="21"/>
              </w:rPr>
            </w:pPr>
            <w:r>
              <w:rPr>
                <w:rFonts w:hint="eastAsia"/>
                <w:sz w:val="21"/>
                <w:szCs w:val="21"/>
              </w:rPr>
              <w:t>师生共150人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胡家庄</w:t>
            </w:r>
          </w:p>
        </w:tc>
        <w:tc>
          <w:tcPr>
            <w:tcW w:w="1206" w:type="dxa"/>
            <w:vAlign w:val="center"/>
          </w:tcPr>
          <w:p>
            <w:pPr>
              <w:adjustRightInd/>
              <w:snapToGrid/>
              <w:spacing w:line="240" w:lineRule="auto"/>
              <w:ind w:firstLine="0" w:firstLineChars="0"/>
              <w:jc w:val="center"/>
              <w:rPr>
                <w:sz w:val="21"/>
                <w:szCs w:val="21"/>
              </w:rPr>
            </w:pPr>
            <w:r>
              <w:rPr>
                <w:sz w:val="21"/>
                <w:szCs w:val="21"/>
              </w:rPr>
              <w:t>109.60254</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32.94523</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NW</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1400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tcPr>
          <w:p>
            <w:pPr>
              <w:adjustRightInd/>
              <w:snapToGrid/>
              <w:spacing w:line="240" w:lineRule="auto"/>
              <w:ind w:firstLine="0" w:firstLineChars="0"/>
              <w:jc w:val="center"/>
              <w:rPr>
                <w:sz w:val="21"/>
                <w:szCs w:val="21"/>
              </w:rPr>
            </w:pPr>
            <w:r>
              <w:rPr>
                <w:rFonts w:hint="eastAsia"/>
                <w:sz w:val="21"/>
                <w:szCs w:val="21"/>
              </w:rPr>
              <w:t>20</w:t>
            </w:r>
            <w:r>
              <w:rPr>
                <w:sz w:val="21"/>
                <w:szCs w:val="21"/>
              </w:rPr>
              <w:t>户/约</w:t>
            </w:r>
            <w:r>
              <w:rPr>
                <w:rFonts w:hint="eastAsia"/>
                <w:sz w:val="21"/>
                <w:szCs w:val="21"/>
              </w:rPr>
              <w:t>80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沈家槽</w:t>
            </w:r>
          </w:p>
        </w:tc>
        <w:tc>
          <w:tcPr>
            <w:tcW w:w="1206" w:type="dxa"/>
            <w:vAlign w:val="center"/>
          </w:tcPr>
          <w:p>
            <w:pPr>
              <w:adjustRightInd/>
              <w:snapToGrid/>
              <w:spacing w:line="240" w:lineRule="auto"/>
              <w:ind w:firstLine="0" w:firstLineChars="0"/>
              <w:jc w:val="center"/>
              <w:rPr>
                <w:sz w:val="21"/>
                <w:szCs w:val="21"/>
              </w:rPr>
            </w:pPr>
            <w:r>
              <w:rPr>
                <w:sz w:val="21"/>
                <w:szCs w:val="21"/>
              </w:rPr>
              <w:t>109.60889</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32.95711</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2190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tcPr>
          <w:p>
            <w:pPr>
              <w:adjustRightInd/>
              <w:snapToGrid/>
              <w:spacing w:line="240" w:lineRule="auto"/>
              <w:ind w:firstLine="0" w:firstLineChars="0"/>
              <w:jc w:val="center"/>
              <w:rPr>
                <w:sz w:val="21"/>
                <w:szCs w:val="21"/>
              </w:rPr>
            </w:pPr>
            <w:r>
              <w:rPr>
                <w:rFonts w:hint="eastAsia"/>
                <w:sz w:val="21"/>
                <w:szCs w:val="21"/>
              </w:rPr>
              <w:t>15</w:t>
            </w:r>
            <w:r>
              <w:rPr>
                <w:sz w:val="21"/>
                <w:szCs w:val="21"/>
              </w:rPr>
              <w:t>户/约</w:t>
            </w:r>
            <w:r>
              <w:rPr>
                <w:rFonts w:hint="eastAsia"/>
                <w:sz w:val="21"/>
                <w:szCs w:val="21"/>
              </w:rPr>
              <w:t>60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1067" w:type="dxa"/>
            <w:vAlign w:val="center"/>
          </w:tcPr>
          <w:p>
            <w:pPr>
              <w:adjustRightInd/>
              <w:snapToGrid/>
              <w:spacing w:line="240" w:lineRule="auto"/>
              <w:ind w:firstLine="0" w:firstLineChars="0"/>
              <w:jc w:val="center"/>
              <w:rPr>
                <w:sz w:val="21"/>
                <w:szCs w:val="21"/>
              </w:rPr>
            </w:pPr>
            <w:r>
              <w:rPr>
                <w:sz w:val="21"/>
                <w:szCs w:val="21"/>
              </w:rPr>
              <w:t>薛家庄村</w:t>
            </w:r>
          </w:p>
        </w:tc>
        <w:tc>
          <w:tcPr>
            <w:tcW w:w="1206" w:type="dxa"/>
            <w:vAlign w:val="center"/>
          </w:tcPr>
          <w:p>
            <w:pPr>
              <w:adjustRightInd/>
              <w:snapToGrid/>
              <w:spacing w:line="240" w:lineRule="auto"/>
              <w:ind w:firstLine="0" w:firstLineChars="0"/>
              <w:jc w:val="center"/>
              <w:rPr>
                <w:sz w:val="21"/>
                <w:szCs w:val="21"/>
              </w:rPr>
            </w:pPr>
            <w:r>
              <w:rPr>
                <w:sz w:val="21"/>
                <w:szCs w:val="21"/>
              </w:rPr>
              <w:t>109.6118</w:t>
            </w:r>
            <w:r>
              <w:rPr>
                <w:rFonts w:hint="eastAsia"/>
                <w:sz w:val="21"/>
                <w:szCs w:val="21"/>
              </w:rPr>
              <w:t>1</w:t>
            </w:r>
          </w:p>
        </w:tc>
        <w:tc>
          <w:tcPr>
            <w:tcW w:w="1109" w:type="dxa"/>
            <w:gridSpan w:val="2"/>
            <w:vAlign w:val="center"/>
          </w:tcPr>
          <w:p>
            <w:pPr>
              <w:adjustRightInd/>
              <w:snapToGrid/>
              <w:spacing w:line="240" w:lineRule="auto"/>
              <w:ind w:firstLine="0" w:firstLineChars="0"/>
              <w:jc w:val="center"/>
              <w:rPr>
                <w:sz w:val="21"/>
                <w:szCs w:val="21"/>
              </w:rPr>
            </w:pPr>
            <w:r>
              <w:rPr>
                <w:sz w:val="21"/>
                <w:szCs w:val="21"/>
              </w:rPr>
              <w:t>32.95711</w:t>
            </w:r>
          </w:p>
        </w:tc>
        <w:tc>
          <w:tcPr>
            <w:tcW w:w="711"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658" w:type="dxa"/>
            <w:vAlign w:val="center"/>
          </w:tcPr>
          <w:p>
            <w:pPr>
              <w:adjustRightInd/>
              <w:snapToGrid/>
              <w:spacing w:line="240" w:lineRule="auto"/>
              <w:ind w:firstLine="0" w:firstLineChars="0"/>
              <w:jc w:val="center"/>
              <w:rPr>
                <w:sz w:val="21"/>
                <w:szCs w:val="21"/>
              </w:rPr>
            </w:pPr>
            <w:r>
              <w:rPr>
                <w:rFonts w:hint="eastAsia"/>
                <w:sz w:val="21"/>
                <w:szCs w:val="21"/>
              </w:rPr>
              <w:t>2200</w:t>
            </w:r>
          </w:p>
        </w:tc>
        <w:tc>
          <w:tcPr>
            <w:tcW w:w="426" w:type="dxa"/>
            <w:vMerge w:val="continue"/>
            <w:vAlign w:val="center"/>
          </w:tcPr>
          <w:p>
            <w:pPr>
              <w:adjustRightInd/>
              <w:snapToGrid/>
              <w:spacing w:line="240" w:lineRule="auto"/>
              <w:ind w:firstLine="0" w:firstLineChars="0"/>
              <w:jc w:val="center"/>
              <w:rPr>
                <w:sz w:val="21"/>
                <w:szCs w:val="21"/>
              </w:rPr>
            </w:pPr>
          </w:p>
        </w:tc>
        <w:tc>
          <w:tcPr>
            <w:tcW w:w="1594" w:type="dxa"/>
          </w:tcPr>
          <w:p>
            <w:pPr>
              <w:adjustRightInd/>
              <w:snapToGrid/>
              <w:spacing w:line="240" w:lineRule="auto"/>
              <w:ind w:firstLine="0" w:firstLineChars="0"/>
              <w:jc w:val="center"/>
              <w:rPr>
                <w:sz w:val="21"/>
                <w:szCs w:val="21"/>
              </w:rPr>
            </w:pPr>
            <w:r>
              <w:rPr>
                <w:rFonts w:hint="eastAsia"/>
                <w:sz w:val="21"/>
                <w:szCs w:val="21"/>
              </w:rPr>
              <w:t>10</w:t>
            </w:r>
            <w:r>
              <w:rPr>
                <w:sz w:val="21"/>
                <w:szCs w:val="21"/>
              </w:rPr>
              <w:t>户/约</w:t>
            </w:r>
            <w:r>
              <w:rPr>
                <w:rFonts w:hint="eastAsia"/>
                <w:sz w:val="21"/>
                <w:szCs w:val="21"/>
              </w:rPr>
              <w:t>40</w:t>
            </w:r>
            <w:r>
              <w:rPr>
                <w:sz w:val="21"/>
                <w:szCs w:val="21"/>
              </w:rPr>
              <w:t>人</w:t>
            </w:r>
          </w:p>
        </w:tc>
        <w:tc>
          <w:tcPr>
            <w:tcW w:w="426"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426" w:type="dxa"/>
            <w:vMerge w:val="restart"/>
            <w:vAlign w:val="center"/>
          </w:tcPr>
          <w:p>
            <w:pPr>
              <w:pStyle w:val="45"/>
              <w:numPr>
                <w:ilvl w:val="0"/>
                <w:numId w:val="10"/>
              </w:numPr>
              <w:adjustRightInd/>
              <w:snapToGrid/>
              <w:rPr>
                <w:rFonts w:ascii="Times New Roman" w:hAnsi="Times New Roman"/>
                <w:szCs w:val="21"/>
              </w:rPr>
            </w:pPr>
          </w:p>
        </w:tc>
        <w:tc>
          <w:tcPr>
            <w:tcW w:w="653" w:type="dxa"/>
            <w:vMerge w:val="restart"/>
            <w:vAlign w:val="center"/>
          </w:tcPr>
          <w:p>
            <w:pPr>
              <w:adjustRightInd/>
              <w:snapToGrid/>
              <w:spacing w:line="240" w:lineRule="auto"/>
              <w:ind w:firstLine="0" w:firstLineChars="0"/>
              <w:jc w:val="center"/>
              <w:rPr>
                <w:sz w:val="21"/>
                <w:szCs w:val="21"/>
              </w:rPr>
            </w:pPr>
            <w:r>
              <w:rPr>
                <w:sz w:val="21"/>
                <w:szCs w:val="21"/>
              </w:rPr>
              <w:t>地</w:t>
            </w:r>
            <w:r>
              <w:rPr>
                <w:rFonts w:hint="eastAsia"/>
                <w:sz w:val="21"/>
                <w:szCs w:val="21"/>
              </w:rPr>
              <w:t>表</w:t>
            </w:r>
            <w:r>
              <w:rPr>
                <w:sz w:val="21"/>
                <w:szCs w:val="21"/>
              </w:rPr>
              <w:t>水</w:t>
            </w:r>
          </w:p>
        </w:tc>
        <w:tc>
          <w:tcPr>
            <w:tcW w:w="3373" w:type="dxa"/>
            <w:gridSpan w:val="3"/>
            <w:vAlign w:val="center"/>
          </w:tcPr>
          <w:p>
            <w:pPr>
              <w:adjustRightInd/>
              <w:snapToGrid/>
              <w:spacing w:line="240" w:lineRule="auto"/>
              <w:ind w:firstLine="0" w:firstLineChars="0"/>
              <w:jc w:val="center"/>
              <w:rPr>
                <w:sz w:val="21"/>
                <w:szCs w:val="21"/>
              </w:rPr>
            </w:pPr>
            <w:r>
              <w:rPr>
                <w:rFonts w:hint="eastAsia"/>
                <w:sz w:val="21"/>
                <w:szCs w:val="21"/>
              </w:rPr>
              <w:t>沈家河</w:t>
            </w:r>
            <w:r>
              <w:rPr>
                <w:sz w:val="21"/>
                <w:szCs w:val="21"/>
              </w:rPr>
              <w:t xml:space="preserve"> </w:t>
            </w:r>
          </w:p>
        </w:tc>
        <w:tc>
          <w:tcPr>
            <w:tcW w:w="720" w:type="dxa"/>
            <w:gridSpan w:val="2"/>
            <w:vAlign w:val="center"/>
          </w:tcPr>
          <w:p>
            <w:pPr>
              <w:adjustRightInd/>
              <w:snapToGrid/>
              <w:spacing w:line="240" w:lineRule="auto"/>
              <w:ind w:firstLine="0" w:firstLineChars="0"/>
              <w:jc w:val="center"/>
              <w:rPr>
                <w:sz w:val="21"/>
                <w:szCs w:val="21"/>
              </w:rPr>
            </w:pPr>
            <w:r>
              <w:rPr>
                <w:sz w:val="21"/>
                <w:szCs w:val="21"/>
              </w:rPr>
              <w:t>SW</w:t>
            </w:r>
          </w:p>
        </w:tc>
        <w:tc>
          <w:tcPr>
            <w:tcW w:w="658" w:type="dxa"/>
            <w:vAlign w:val="center"/>
          </w:tcPr>
          <w:p>
            <w:pPr>
              <w:adjustRightInd/>
              <w:snapToGrid/>
              <w:spacing w:line="240" w:lineRule="auto"/>
              <w:ind w:firstLine="0" w:firstLineChars="0"/>
              <w:jc w:val="center"/>
              <w:rPr>
                <w:sz w:val="21"/>
                <w:szCs w:val="21"/>
              </w:rPr>
            </w:pPr>
            <w:r>
              <w:rPr>
                <w:sz w:val="21"/>
                <w:szCs w:val="21"/>
              </w:rPr>
              <w:t>570</w:t>
            </w:r>
          </w:p>
        </w:tc>
        <w:tc>
          <w:tcPr>
            <w:tcW w:w="2020" w:type="dxa"/>
            <w:gridSpan w:val="2"/>
            <w:vAlign w:val="center"/>
          </w:tcPr>
          <w:p>
            <w:pPr>
              <w:adjustRightInd/>
              <w:snapToGrid/>
              <w:spacing w:line="240" w:lineRule="auto"/>
              <w:ind w:firstLine="0" w:firstLineChars="0"/>
              <w:jc w:val="center"/>
              <w:rPr>
                <w:sz w:val="21"/>
                <w:szCs w:val="21"/>
              </w:rPr>
            </w:pPr>
            <w:r>
              <w:rPr>
                <w:rFonts w:hAnsi="宋体"/>
                <w:kern w:val="28"/>
                <w:sz w:val="21"/>
                <w:szCs w:val="21"/>
              </w:rPr>
              <w:t>/</w:t>
            </w:r>
          </w:p>
        </w:tc>
        <w:tc>
          <w:tcPr>
            <w:tcW w:w="426" w:type="dxa"/>
            <w:vMerge w:val="restart"/>
            <w:vAlign w:val="center"/>
          </w:tcPr>
          <w:p>
            <w:pPr>
              <w:adjustRightInd/>
              <w:snapToGrid/>
              <w:spacing w:line="240" w:lineRule="auto"/>
              <w:ind w:firstLine="0" w:firstLineChars="0"/>
              <w:jc w:val="center"/>
              <w:rPr>
                <w:sz w:val="21"/>
                <w:szCs w:val="21"/>
              </w:rPr>
            </w:pPr>
            <w:r>
              <w:rPr>
                <w:rFonts w:hint="eastAsia" w:hAnsi="宋体"/>
                <w:kern w:val="28"/>
                <w:sz w:val="21"/>
                <w:szCs w:val="21"/>
              </w:rPr>
              <w:t>II</w:t>
            </w:r>
            <w:r>
              <w:rPr>
                <w:kern w:val="28"/>
                <w:sz w:val="21"/>
                <w:szCs w:val="21"/>
              </w:rPr>
              <w:t>类</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426" w:type="dxa"/>
            <w:vMerge w:val="continue"/>
            <w:vAlign w:val="center"/>
          </w:tcPr>
          <w:p>
            <w:pPr>
              <w:pStyle w:val="45"/>
              <w:numPr>
                <w:ilvl w:val="0"/>
                <w:numId w:val="10"/>
              </w:numPr>
              <w:adjustRightInd/>
              <w:snapToGrid/>
              <w:rPr>
                <w:rFonts w:ascii="Times New Roman" w:hAnsi="Times New Roman"/>
                <w:szCs w:val="21"/>
              </w:rPr>
            </w:pPr>
          </w:p>
        </w:tc>
        <w:tc>
          <w:tcPr>
            <w:tcW w:w="653" w:type="dxa"/>
            <w:vMerge w:val="continue"/>
            <w:vAlign w:val="center"/>
          </w:tcPr>
          <w:p>
            <w:pPr>
              <w:adjustRightInd/>
              <w:snapToGrid/>
              <w:spacing w:line="240" w:lineRule="auto"/>
              <w:ind w:firstLine="0" w:firstLineChars="0"/>
              <w:jc w:val="center"/>
              <w:rPr>
                <w:sz w:val="21"/>
                <w:szCs w:val="21"/>
              </w:rPr>
            </w:pPr>
          </w:p>
        </w:tc>
        <w:tc>
          <w:tcPr>
            <w:tcW w:w="3373" w:type="dxa"/>
            <w:gridSpan w:val="3"/>
            <w:vAlign w:val="center"/>
          </w:tcPr>
          <w:p>
            <w:pPr>
              <w:adjustRightInd/>
              <w:snapToGrid/>
              <w:spacing w:line="240" w:lineRule="auto"/>
              <w:ind w:firstLine="0" w:firstLineChars="0"/>
              <w:jc w:val="center"/>
              <w:rPr>
                <w:sz w:val="21"/>
                <w:szCs w:val="21"/>
              </w:rPr>
            </w:pPr>
            <w:r>
              <w:rPr>
                <w:rFonts w:hint="eastAsia"/>
                <w:sz w:val="21"/>
                <w:szCs w:val="21"/>
              </w:rPr>
              <w:t xml:space="preserve">汉江 </w:t>
            </w:r>
          </w:p>
        </w:tc>
        <w:tc>
          <w:tcPr>
            <w:tcW w:w="720" w:type="dxa"/>
            <w:gridSpan w:val="2"/>
            <w:vAlign w:val="center"/>
          </w:tcPr>
          <w:p>
            <w:pPr>
              <w:adjustRightInd/>
              <w:snapToGrid/>
              <w:spacing w:line="240" w:lineRule="auto"/>
              <w:ind w:firstLine="0" w:firstLineChars="0"/>
              <w:jc w:val="center"/>
              <w:rPr>
                <w:sz w:val="21"/>
                <w:szCs w:val="21"/>
              </w:rPr>
            </w:pPr>
            <w:r>
              <w:rPr>
                <w:sz w:val="21"/>
                <w:szCs w:val="21"/>
              </w:rPr>
              <w:t>S</w:t>
            </w:r>
          </w:p>
        </w:tc>
        <w:tc>
          <w:tcPr>
            <w:tcW w:w="658" w:type="dxa"/>
            <w:vAlign w:val="center"/>
          </w:tcPr>
          <w:p>
            <w:pPr>
              <w:adjustRightInd/>
              <w:snapToGrid/>
              <w:spacing w:line="240" w:lineRule="auto"/>
              <w:ind w:firstLine="0" w:firstLineChars="0"/>
              <w:jc w:val="center"/>
              <w:rPr>
                <w:sz w:val="21"/>
                <w:szCs w:val="21"/>
              </w:rPr>
            </w:pPr>
            <w:r>
              <w:rPr>
                <w:sz w:val="21"/>
                <w:szCs w:val="21"/>
              </w:rPr>
              <w:t>3500</w:t>
            </w:r>
          </w:p>
        </w:tc>
        <w:tc>
          <w:tcPr>
            <w:tcW w:w="2020" w:type="dxa"/>
            <w:gridSpan w:val="2"/>
            <w:vAlign w:val="center"/>
          </w:tcPr>
          <w:p>
            <w:pPr>
              <w:adjustRightInd/>
              <w:snapToGrid/>
              <w:spacing w:line="240" w:lineRule="auto"/>
              <w:ind w:firstLine="0" w:firstLineChars="0"/>
              <w:jc w:val="center"/>
              <w:rPr>
                <w:sz w:val="21"/>
                <w:szCs w:val="21"/>
                <w:highlight w:val="yellow"/>
              </w:rPr>
            </w:pPr>
            <w:r>
              <w:rPr>
                <w:rFonts w:hAnsi="宋体"/>
                <w:kern w:val="28"/>
                <w:sz w:val="21"/>
                <w:szCs w:val="21"/>
              </w:rPr>
              <w:t>/</w:t>
            </w:r>
          </w:p>
        </w:tc>
        <w:tc>
          <w:tcPr>
            <w:tcW w:w="426" w:type="dxa"/>
            <w:vMerge w:val="continue"/>
            <w:vAlign w:val="center"/>
          </w:tcPr>
          <w:p>
            <w:pPr>
              <w:adjustRightInd/>
              <w:snapToGrid/>
              <w:spacing w:line="240" w:lineRule="auto"/>
              <w:ind w:firstLine="0" w:firstLineChars="0"/>
              <w:jc w:val="center"/>
              <w:rPr>
                <w:rFonts w:hAnsi="宋体"/>
                <w:kern w:val="28"/>
                <w:sz w:val="21"/>
                <w:szCs w:val="21"/>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Align w:val="center"/>
          </w:tcPr>
          <w:p>
            <w:pPr>
              <w:adjustRightInd/>
              <w:snapToGrid/>
              <w:spacing w:line="240" w:lineRule="auto"/>
              <w:ind w:firstLine="0" w:firstLineChars="0"/>
              <w:jc w:val="center"/>
              <w:rPr>
                <w:sz w:val="21"/>
                <w:szCs w:val="21"/>
              </w:rPr>
            </w:pPr>
            <w:r>
              <w:rPr>
                <w:rFonts w:hint="eastAsia"/>
                <w:sz w:val="21"/>
                <w:szCs w:val="21"/>
              </w:rPr>
              <w:t>地下水</w:t>
            </w:r>
          </w:p>
        </w:tc>
        <w:tc>
          <w:tcPr>
            <w:tcW w:w="6771" w:type="dxa"/>
            <w:gridSpan w:val="8"/>
            <w:vAlign w:val="center"/>
          </w:tcPr>
          <w:p>
            <w:pPr>
              <w:adjustRightInd/>
              <w:snapToGrid/>
              <w:spacing w:line="240" w:lineRule="auto"/>
              <w:ind w:firstLine="0" w:firstLineChars="0"/>
              <w:jc w:val="center"/>
              <w:rPr>
                <w:rFonts w:hAnsi="宋体"/>
                <w:kern w:val="28"/>
                <w:sz w:val="21"/>
                <w:szCs w:val="21"/>
              </w:rPr>
            </w:pPr>
            <w:r>
              <w:rPr>
                <w:rFonts w:hint="eastAsia" w:hAnsi="宋体"/>
                <w:kern w:val="28"/>
                <w:sz w:val="21"/>
                <w:szCs w:val="21"/>
              </w:rPr>
              <w:t>项目</w:t>
            </w:r>
            <w:r>
              <w:rPr>
                <w:rFonts w:hAnsi="宋体"/>
                <w:kern w:val="28"/>
                <w:sz w:val="21"/>
                <w:szCs w:val="21"/>
              </w:rPr>
              <w:t>场地及下游地下室潜水层</w:t>
            </w:r>
          </w:p>
        </w:tc>
        <w:tc>
          <w:tcPr>
            <w:tcW w:w="426" w:type="dxa"/>
            <w:vAlign w:val="center"/>
          </w:tcPr>
          <w:p>
            <w:pPr>
              <w:adjustRightInd/>
              <w:snapToGrid/>
              <w:spacing w:line="240" w:lineRule="auto"/>
              <w:ind w:firstLine="0" w:firstLineChars="0"/>
              <w:jc w:val="center"/>
              <w:rPr>
                <w:rFonts w:hAnsi="宋体"/>
                <w:kern w:val="28"/>
                <w:sz w:val="21"/>
                <w:szCs w:val="21"/>
              </w:rPr>
            </w:pPr>
            <w:r>
              <w:rPr>
                <w:rFonts w:hint="eastAsia" w:hAnsi="宋体"/>
                <w:kern w:val="28"/>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Align w:val="center"/>
          </w:tcPr>
          <w:p>
            <w:pPr>
              <w:adjustRightInd/>
              <w:snapToGrid/>
              <w:spacing w:line="240" w:lineRule="auto"/>
              <w:ind w:firstLine="0" w:firstLineChars="0"/>
              <w:jc w:val="center"/>
              <w:rPr>
                <w:sz w:val="21"/>
                <w:szCs w:val="21"/>
              </w:rPr>
            </w:pPr>
            <w:r>
              <w:rPr>
                <w:sz w:val="21"/>
                <w:szCs w:val="21"/>
              </w:rPr>
              <w:t>土壤</w:t>
            </w:r>
          </w:p>
        </w:tc>
        <w:tc>
          <w:tcPr>
            <w:tcW w:w="6771" w:type="dxa"/>
            <w:gridSpan w:val="8"/>
            <w:vAlign w:val="center"/>
          </w:tcPr>
          <w:p>
            <w:pPr>
              <w:adjustRightInd/>
              <w:snapToGrid/>
              <w:spacing w:line="240" w:lineRule="auto"/>
              <w:ind w:firstLine="0" w:firstLineChars="0"/>
              <w:jc w:val="center"/>
              <w:rPr>
                <w:sz w:val="21"/>
                <w:szCs w:val="21"/>
              </w:rPr>
            </w:pPr>
            <w:r>
              <w:rPr>
                <w:sz w:val="21"/>
                <w:szCs w:val="21"/>
              </w:rPr>
              <w:t>项目占地范围内及占地范围外50m范围内</w:t>
            </w:r>
          </w:p>
        </w:tc>
        <w:tc>
          <w:tcPr>
            <w:tcW w:w="426" w:type="dxa"/>
            <w:vAlign w:val="center"/>
          </w:tcPr>
          <w:p>
            <w:pPr>
              <w:adjustRightInd/>
              <w:snapToGrid/>
              <w:spacing w:line="240" w:lineRule="auto"/>
              <w:ind w:firstLine="0" w:firstLineChars="0"/>
              <w:jc w:val="center"/>
              <w:rPr>
                <w:kern w:val="28"/>
                <w:sz w:val="21"/>
                <w:szCs w:val="21"/>
              </w:rPr>
            </w:pPr>
            <w:r>
              <w:rPr>
                <w:rFonts w:hint="eastAsia"/>
                <w:kern w:val="28"/>
                <w:sz w:val="21"/>
                <w:szCs w:val="21"/>
              </w:rPr>
              <w:t>农用地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Align w:val="center"/>
          </w:tcPr>
          <w:p>
            <w:pPr>
              <w:pStyle w:val="45"/>
              <w:numPr>
                <w:ilvl w:val="0"/>
                <w:numId w:val="10"/>
              </w:numPr>
              <w:adjustRightInd/>
              <w:snapToGrid/>
              <w:rPr>
                <w:rFonts w:ascii="Times New Roman" w:hAnsi="Times New Roman"/>
                <w:szCs w:val="21"/>
              </w:rPr>
            </w:pPr>
          </w:p>
        </w:tc>
        <w:tc>
          <w:tcPr>
            <w:tcW w:w="653" w:type="dxa"/>
            <w:vAlign w:val="center"/>
          </w:tcPr>
          <w:p>
            <w:pPr>
              <w:adjustRightInd/>
              <w:snapToGrid/>
              <w:spacing w:line="240" w:lineRule="auto"/>
              <w:ind w:firstLine="0" w:firstLineChars="0"/>
              <w:jc w:val="center"/>
              <w:rPr>
                <w:sz w:val="21"/>
                <w:szCs w:val="21"/>
              </w:rPr>
            </w:pPr>
            <w:r>
              <w:rPr>
                <w:sz w:val="21"/>
                <w:szCs w:val="21"/>
              </w:rPr>
              <w:t>生态</w:t>
            </w:r>
          </w:p>
        </w:tc>
        <w:tc>
          <w:tcPr>
            <w:tcW w:w="6771" w:type="dxa"/>
            <w:gridSpan w:val="8"/>
            <w:vAlign w:val="center"/>
          </w:tcPr>
          <w:p>
            <w:pPr>
              <w:adjustRightInd/>
              <w:snapToGrid/>
              <w:spacing w:line="240" w:lineRule="auto"/>
              <w:ind w:firstLine="0" w:firstLineChars="0"/>
              <w:jc w:val="center"/>
              <w:rPr>
                <w:sz w:val="21"/>
                <w:szCs w:val="21"/>
              </w:rPr>
            </w:pPr>
            <w:r>
              <w:rPr>
                <w:sz w:val="21"/>
                <w:szCs w:val="21"/>
              </w:rPr>
              <w:t>评价范围内植被、土地、动植物</w:t>
            </w:r>
          </w:p>
        </w:tc>
        <w:tc>
          <w:tcPr>
            <w:tcW w:w="426" w:type="dxa"/>
            <w:vAlign w:val="center"/>
          </w:tcPr>
          <w:p>
            <w:pPr>
              <w:adjustRightInd/>
              <w:snapToGrid/>
              <w:spacing w:line="240" w:lineRule="auto"/>
              <w:ind w:firstLine="0" w:firstLineChars="0"/>
              <w:jc w:val="center"/>
              <w:rPr>
                <w:kern w:val="28"/>
                <w:sz w:val="21"/>
                <w:szCs w:val="21"/>
              </w:rPr>
            </w:pPr>
            <w:r>
              <w:rPr>
                <w:kern w:val="28"/>
                <w:sz w:val="21"/>
                <w:szCs w:val="21"/>
              </w:rPr>
              <w:t>/</w:t>
            </w:r>
          </w:p>
        </w:tc>
      </w:tr>
    </w:tbl>
    <w:p>
      <w:pPr>
        <w:ind w:firstLine="0" w:firstLineChars="0"/>
        <w:sectPr>
          <w:headerReference r:id="rId21" w:type="default"/>
          <w:headerReference r:id="rId22" w:type="even"/>
          <w:type w:val="oddPage"/>
          <w:pgSz w:w="11906" w:h="16838"/>
          <w:pgMar w:top="1440" w:right="1800" w:bottom="1440" w:left="1800" w:header="992" w:footer="992" w:gutter="0"/>
          <w:pgNumType w:fmt="numberInDash"/>
          <w:cols w:space="425" w:num="1"/>
          <w:docGrid w:type="lines" w:linePitch="326" w:charSpace="0"/>
        </w:sectPr>
      </w:pPr>
    </w:p>
    <w:p>
      <w:pPr>
        <w:pStyle w:val="2"/>
      </w:pPr>
      <w:bookmarkStart w:id="49" w:name="_Toc108422227"/>
      <w:r>
        <w:rPr>
          <w:rFonts w:hint="eastAsia"/>
        </w:rPr>
        <w:t>建设</w:t>
      </w:r>
      <w:r>
        <w:t>项目</w:t>
      </w:r>
      <w:r>
        <w:rPr>
          <w:rFonts w:hint="eastAsia"/>
        </w:rPr>
        <w:t>工程分析</w:t>
      </w:r>
      <w:bookmarkEnd w:id="49"/>
    </w:p>
    <w:p>
      <w:pPr>
        <w:pStyle w:val="3"/>
      </w:pPr>
      <w:bookmarkStart w:id="50" w:name="_Toc108422228"/>
      <w:bookmarkStart w:id="51" w:name="_Toc488102154"/>
      <w:r>
        <w:t>项目概况</w:t>
      </w:r>
      <w:bookmarkEnd w:id="50"/>
      <w:bookmarkEnd w:id="51"/>
    </w:p>
    <w:p>
      <w:pPr>
        <w:pStyle w:val="4"/>
      </w:pPr>
      <w:r>
        <w:t>项目基本情况</w:t>
      </w:r>
    </w:p>
    <w:p>
      <w:pPr>
        <w:ind w:firstLine="480"/>
      </w:pPr>
      <w:r>
        <w:t>（1）项目名称：</w:t>
      </w:r>
      <w:r>
        <w:rPr>
          <w:rFonts w:hint="eastAsia"/>
        </w:rPr>
        <w:t>陕西绿森园牧业有限公司种养殖项目</w:t>
      </w:r>
      <w:r>
        <w:t>；</w:t>
      </w:r>
    </w:p>
    <w:p>
      <w:pPr>
        <w:ind w:firstLine="480"/>
      </w:pPr>
      <w:r>
        <w:t>（2）建设地点：旬阳市</w:t>
      </w:r>
      <w:r>
        <w:rPr>
          <w:rFonts w:hint="eastAsia"/>
        </w:rPr>
        <w:t>关口</w:t>
      </w:r>
      <w:r>
        <w:t>镇</w:t>
      </w:r>
      <w:r>
        <w:rPr>
          <w:rFonts w:hint="eastAsia"/>
        </w:rPr>
        <w:t>关坪</w:t>
      </w:r>
      <w:r>
        <w:t>村</w:t>
      </w:r>
      <w:r>
        <w:rPr>
          <w:rFonts w:hint="eastAsia"/>
        </w:rPr>
        <w:t>（场地</w:t>
      </w:r>
      <w:r>
        <w:t>中心</w:t>
      </w:r>
      <w:r>
        <w:rPr>
          <w:rFonts w:hint="eastAsia"/>
        </w:rPr>
        <w:t>坐标</w:t>
      </w:r>
      <w:r>
        <w:t>：</w:t>
      </w:r>
      <w:r>
        <w:rPr>
          <w:rFonts w:hint="eastAsia"/>
        </w:rPr>
        <w:t>经度</w:t>
      </w:r>
      <w:r>
        <w:t>109°36'51.45"</w:t>
      </w:r>
      <w:r>
        <w:rPr>
          <w:rFonts w:hint="eastAsia"/>
        </w:rPr>
        <w:t>，</w:t>
      </w:r>
      <w:r>
        <w:t>纬</w:t>
      </w:r>
      <w:r>
        <w:rPr>
          <w:rFonts w:hint="eastAsia"/>
        </w:rPr>
        <w:t>度</w:t>
      </w:r>
      <w:r>
        <w:t>32°56'18.8</w:t>
      </w:r>
      <w:r>
        <w:rPr>
          <w:rFonts w:hint="eastAsia"/>
        </w:rPr>
        <w:t>6</w:t>
      </w:r>
      <w:r>
        <w:t>"</w:t>
      </w:r>
      <w:r>
        <w:rPr>
          <w:rFonts w:hint="eastAsia"/>
        </w:rPr>
        <w:t>），</w:t>
      </w:r>
      <w:r>
        <w:t>地理位置图见图</w:t>
      </w:r>
      <w:r>
        <w:rPr>
          <w:rFonts w:hint="eastAsia"/>
        </w:rPr>
        <w:t>3.1-1</w:t>
      </w:r>
      <w:r>
        <w:t>；</w:t>
      </w:r>
    </w:p>
    <w:p>
      <w:pPr>
        <w:ind w:firstLine="480"/>
      </w:pPr>
      <w:r>
        <w:t>（3）建设单位：</w:t>
      </w:r>
      <w:r>
        <w:rPr>
          <w:rFonts w:hint="eastAsia"/>
        </w:rPr>
        <w:t>陕西绿森园牧业有限公司</w:t>
      </w:r>
      <w:r>
        <w:t>；</w:t>
      </w:r>
    </w:p>
    <w:p>
      <w:pPr>
        <w:ind w:firstLine="480"/>
      </w:pPr>
      <w:r>
        <w:t>（4）建设性质：</w:t>
      </w:r>
      <w:r>
        <w:rPr>
          <w:rFonts w:hint="eastAsia"/>
        </w:rPr>
        <w:t>新建</w:t>
      </w:r>
      <w:r>
        <w:t>；</w:t>
      </w:r>
    </w:p>
    <w:p>
      <w:pPr>
        <w:ind w:firstLine="480"/>
      </w:pPr>
      <w:r>
        <w:t>（5）建设规模：</w:t>
      </w:r>
      <w:r>
        <w:rPr>
          <w:kern w:val="0"/>
          <w:szCs w:val="24"/>
          <w:lang w:val="zh-CN"/>
        </w:rPr>
        <w:t>种植200亩魔芋、150亩特色林果；建设年存栏5000头标准化生猪养殖场一个，</w:t>
      </w:r>
      <w:r>
        <w:rPr>
          <w:rFonts w:hint="eastAsia"/>
          <w:kern w:val="0"/>
          <w:szCs w:val="24"/>
          <w:lang w:val="zh-CN"/>
        </w:rPr>
        <w:t>包括</w:t>
      </w:r>
      <w:r>
        <w:rPr>
          <w:kern w:val="0"/>
          <w:szCs w:val="24"/>
          <w:lang w:val="zh-CN"/>
        </w:rPr>
        <w:t>圈舍、饲料加工、库房、消毒室等；修建</w:t>
      </w:r>
      <w:r>
        <w:rPr>
          <w:rFonts w:hint="eastAsia"/>
          <w:kern w:val="0"/>
          <w:szCs w:val="24"/>
          <w:lang w:val="zh-CN"/>
        </w:rPr>
        <w:t>污水处理</w:t>
      </w:r>
      <w:r>
        <w:rPr>
          <w:kern w:val="0"/>
          <w:szCs w:val="24"/>
          <w:lang w:val="zh-CN"/>
        </w:rPr>
        <w:t>设施，铺设园区道路及建设相关配套基础设施等</w:t>
      </w:r>
      <w:r>
        <w:t>；</w:t>
      </w:r>
    </w:p>
    <w:p>
      <w:pPr>
        <w:ind w:firstLine="480"/>
      </w:pPr>
      <w:r>
        <w:t>（6）行业类别：A0313畜牧业类猪的饲养；</w:t>
      </w:r>
    </w:p>
    <w:p>
      <w:pPr>
        <w:ind w:firstLine="480"/>
      </w:pPr>
      <w:r>
        <w:t>（7）占地面积：项目占地面积为</w:t>
      </w:r>
      <w:r>
        <w:rPr>
          <w:rFonts w:hint="eastAsia"/>
        </w:rPr>
        <w:t>27737.7</w:t>
      </w:r>
      <w:r>
        <w:t>m</w:t>
      </w:r>
      <w:r>
        <w:rPr>
          <w:vertAlign w:val="superscript"/>
        </w:rPr>
        <w:t>2</w:t>
      </w:r>
      <w:r>
        <w:t>（</w:t>
      </w:r>
      <w:r>
        <w:rPr>
          <w:rFonts w:hint="eastAsia"/>
        </w:rPr>
        <w:t>41.6065</w:t>
      </w:r>
      <w:r>
        <w:t>亩）；</w:t>
      </w:r>
    </w:p>
    <w:p>
      <w:pPr>
        <w:ind w:firstLine="480"/>
      </w:pPr>
      <w:r>
        <w:t>（8）项目投资：本项目总投资</w:t>
      </w:r>
      <w:r>
        <w:rPr>
          <w:rFonts w:hint="eastAsia"/>
        </w:rPr>
        <w:t>2985</w:t>
      </w:r>
      <w:r>
        <w:t>万元；</w:t>
      </w:r>
    </w:p>
    <w:p>
      <w:pPr>
        <w:ind w:firstLine="480"/>
      </w:pPr>
      <w:r>
        <w:t>（9）劳动定员：本项目定员总数为</w:t>
      </w:r>
      <w:r>
        <w:rPr>
          <w:rFonts w:hint="eastAsia"/>
        </w:rPr>
        <w:t>50</w:t>
      </w:r>
      <w:r>
        <w:t>人；</w:t>
      </w:r>
    </w:p>
    <w:p>
      <w:pPr>
        <w:ind w:firstLine="480"/>
      </w:pPr>
      <w:r>
        <w:t>（10）工作制度：全年工作365天，三班制，每班8小时。</w:t>
      </w:r>
    </w:p>
    <w:p>
      <w:pPr>
        <w:pStyle w:val="4"/>
      </w:pPr>
      <w:r>
        <w:rPr>
          <w:rFonts w:hint="eastAsia"/>
        </w:rPr>
        <w:t>主要</w:t>
      </w:r>
      <w:r>
        <w:t>建设内容</w:t>
      </w:r>
      <w:r>
        <w:rPr>
          <w:rFonts w:hint="eastAsia"/>
        </w:rPr>
        <w:t>及规模</w:t>
      </w:r>
    </w:p>
    <w:p>
      <w:pPr>
        <w:ind w:firstLine="480"/>
      </w:pPr>
      <w:r>
        <w:t>本项目占地面积</w:t>
      </w:r>
      <w:r>
        <w:rPr>
          <w:rFonts w:hint="eastAsia"/>
        </w:rPr>
        <w:t>27737.7</w:t>
      </w:r>
      <w:r>
        <w:t>m</w:t>
      </w:r>
      <w:r>
        <w:rPr>
          <w:vertAlign w:val="superscript"/>
        </w:rPr>
        <w:t>2</w:t>
      </w:r>
      <w:r>
        <w:t>（</w:t>
      </w:r>
      <w:r>
        <w:rPr>
          <w:rFonts w:hint="eastAsia"/>
        </w:rPr>
        <w:t>41.6065</w:t>
      </w:r>
      <w:r>
        <w:t>亩），建设内容主要包括</w:t>
      </w:r>
      <w:r>
        <w:rPr>
          <w:rFonts w:hint="eastAsia"/>
        </w:rPr>
        <w:t>圈舍12000</w:t>
      </w:r>
      <w:r>
        <w:t>m</w:t>
      </w:r>
      <w:r>
        <w:rPr>
          <w:vertAlign w:val="superscript"/>
        </w:rPr>
        <w:t>2</w:t>
      </w:r>
      <w:r>
        <w:t>，</w:t>
      </w:r>
      <w:r>
        <w:rPr>
          <w:rFonts w:hint="eastAsia"/>
        </w:rPr>
        <w:t>办公面积360</w:t>
      </w:r>
      <w:r>
        <w:t>m</w:t>
      </w:r>
      <w:r>
        <w:rPr>
          <w:vertAlign w:val="superscript"/>
        </w:rPr>
        <w:t>2</w:t>
      </w:r>
      <w:r>
        <w:rPr>
          <w:rFonts w:hint="eastAsia"/>
        </w:rPr>
        <w:t>，宿舍面积240</w:t>
      </w:r>
      <w:r>
        <w:t>m</w:t>
      </w:r>
      <w:r>
        <w:rPr>
          <w:vertAlign w:val="superscript"/>
        </w:rPr>
        <w:t>2</w:t>
      </w:r>
      <w:r>
        <w:rPr>
          <w:rFonts w:hint="eastAsia"/>
        </w:rPr>
        <w:t>，绿化面积1200</w:t>
      </w:r>
      <w:r>
        <w:t>m</w:t>
      </w:r>
      <w:r>
        <w:rPr>
          <w:vertAlign w:val="superscript"/>
        </w:rPr>
        <w:t>2</w:t>
      </w:r>
      <w:r>
        <w:t>，配套建设办公生活区及污</w:t>
      </w:r>
      <w:r>
        <w:rPr>
          <w:rFonts w:hint="eastAsia"/>
        </w:rPr>
        <w:t>染</w:t>
      </w:r>
      <w:r>
        <w:t>治理区等，本项目工程建设内容见表3.1-1。</w:t>
      </w:r>
    </w:p>
    <w:p>
      <w:pPr>
        <w:pStyle w:val="41"/>
        <w:rPr>
          <w:rFonts w:hAnsi="宋体" w:eastAsia="宋体"/>
        </w:rPr>
      </w:pPr>
      <w:r>
        <w:rPr>
          <w:rFonts w:hint="eastAsia"/>
        </w:rPr>
        <w:t xml:space="preserve">表 </w:t>
      </w:r>
      <w:r>
        <w:fldChar w:fldCharType="begin"/>
      </w:r>
      <w:r>
        <w:rPr>
          <w:rFonts w:hint="eastAsia"/>
        </w:rPr>
        <w:instrText xml:space="preserve">STYLEREF 2 \s</w:instrText>
      </w:r>
      <w:r>
        <w:fldChar w:fldCharType="separate"/>
      </w:r>
      <w:r>
        <w:t>3.1</w:t>
      </w:r>
      <w:r>
        <w:fldChar w:fldCharType="end"/>
      </w:r>
      <w:r>
        <w:noBreakHyphen/>
      </w:r>
      <w:r>
        <w:fldChar w:fldCharType="begin"/>
      </w:r>
      <w:r>
        <w:rPr>
          <w:rFonts w:hint="eastAsia"/>
        </w:rPr>
        <w:instrText xml:space="preserve">SEQ 表 \* ARABIC \s 2</w:instrText>
      </w:r>
      <w:r>
        <w:fldChar w:fldCharType="separate"/>
      </w:r>
      <w:r>
        <w:t>1</w:t>
      </w:r>
      <w:r>
        <w:fldChar w:fldCharType="end"/>
      </w:r>
      <w:r>
        <w:rPr>
          <w:rFonts w:hAnsi="宋体" w:eastAsia="宋体"/>
        </w:rPr>
        <w:t>主要工程内容一览表</w:t>
      </w:r>
    </w:p>
    <w:tbl>
      <w:tblPr>
        <w:tblStyle w:val="27"/>
        <w:tblW w:w="851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663"/>
        <w:gridCol w:w="107"/>
        <w:gridCol w:w="320"/>
        <w:gridCol w:w="499"/>
        <w:gridCol w:w="5011"/>
        <w:gridCol w:w="10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426" w:type="dxa"/>
            <w:vAlign w:val="center"/>
          </w:tcPr>
          <w:p>
            <w:pPr>
              <w:pStyle w:val="40"/>
            </w:pPr>
            <w:r>
              <w:rPr>
                <w:rFonts w:hAnsi="宋体"/>
              </w:rPr>
              <w:t>序号</w:t>
            </w:r>
          </w:p>
        </w:tc>
        <w:tc>
          <w:tcPr>
            <w:tcW w:w="2015" w:type="dxa"/>
            <w:gridSpan w:val="5"/>
            <w:vAlign w:val="center"/>
          </w:tcPr>
          <w:p>
            <w:pPr>
              <w:pStyle w:val="40"/>
            </w:pPr>
            <w:r>
              <w:rPr>
                <w:rFonts w:hAnsi="宋体"/>
              </w:rPr>
              <w:t>工程内容</w:t>
            </w:r>
          </w:p>
        </w:tc>
        <w:tc>
          <w:tcPr>
            <w:tcW w:w="5011" w:type="dxa"/>
            <w:vAlign w:val="center"/>
          </w:tcPr>
          <w:p>
            <w:pPr>
              <w:pStyle w:val="40"/>
            </w:pPr>
            <w:r>
              <w:rPr>
                <w:rFonts w:hAnsi="宋体"/>
              </w:rPr>
              <w:t>建设规模</w:t>
            </w:r>
          </w:p>
        </w:tc>
        <w:tc>
          <w:tcPr>
            <w:tcW w:w="1065" w:type="dxa"/>
            <w:vAlign w:val="center"/>
          </w:tcPr>
          <w:p>
            <w:pPr>
              <w:pStyle w:val="40"/>
              <w:rPr>
                <w:rFonts w:hAnsi="宋体"/>
              </w:rPr>
            </w:pPr>
            <w:r>
              <w:rPr>
                <w:rFonts w:hint="eastAsia" w:hAnsi="宋体"/>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restart"/>
            <w:vAlign w:val="center"/>
          </w:tcPr>
          <w:p>
            <w:pPr>
              <w:pStyle w:val="40"/>
            </w:pPr>
            <w:r>
              <w:rPr>
                <w:rFonts w:hAnsi="宋体"/>
              </w:rPr>
              <w:t>主体</w:t>
            </w:r>
          </w:p>
          <w:p>
            <w:pPr>
              <w:pStyle w:val="40"/>
            </w:pPr>
            <w:r>
              <w:rPr>
                <w:rFonts w:hAnsi="宋体"/>
              </w:rPr>
              <w:t>工程</w:t>
            </w:r>
          </w:p>
        </w:tc>
        <w:tc>
          <w:tcPr>
            <w:tcW w:w="1589" w:type="dxa"/>
            <w:gridSpan w:val="4"/>
            <w:vAlign w:val="center"/>
          </w:tcPr>
          <w:p>
            <w:pPr>
              <w:pStyle w:val="40"/>
            </w:pPr>
            <w:r>
              <w:rPr>
                <w:rFonts w:hAnsi="宋体"/>
              </w:rPr>
              <w:t>配怀舍</w:t>
            </w:r>
          </w:p>
        </w:tc>
        <w:tc>
          <w:tcPr>
            <w:tcW w:w="5011" w:type="dxa"/>
            <w:vAlign w:val="center"/>
          </w:tcPr>
          <w:p>
            <w:pPr>
              <w:pStyle w:val="40"/>
            </w:pPr>
            <w:r>
              <w:rPr>
                <w:rFonts w:hint="eastAsia" w:hAnsi="宋体"/>
              </w:rPr>
              <w:t>共建设</w:t>
            </w:r>
            <w:r>
              <w:rPr>
                <w:rFonts w:hAnsi="宋体"/>
              </w:rPr>
              <w:t>配怀舍</w:t>
            </w:r>
            <w:r>
              <w:rPr>
                <w:rFonts w:hint="eastAsia" w:hAnsi="宋体"/>
              </w:rPr>
              <w:t>4座，总建筑</w:t>
            </w:r>
            <w:r>
              <w:rPr>
                <w:rFonts w:hAnsi="宋体"/>
              </w:rPr>
              <w:t>面积</w:t>
            </w:r>
            <w:r>
              <w:rPr>
                <w:rFonts w:hint="eastAsia" w:hAnsi="宋体"/>
              </w:rPr>
              <w:t>1260</w:t>
            </w:r>
            <w:r>
              <w:rPr>
                <w:rFonts w:hAnsi="宋体"/>
              </w:rPr>
              <w:t>m</w:t>
            </w:r>
            <w:r>
              <w:rPr>
                <w:rFonts w:hAnsi="宋体"/>
                <w:vertAlign w:val="superscript"/>
              </w:rPr>
              <w:t>2</w:t>
            </w:r>
            <w:r>
              <w:rPr>
                <w:rFonts w:hAnsi="宋体"/>
              </w:rPr>
              <w:t>，钢混结构，用于公猪母猪的配种及母猪怀孕期饲养</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pPr>
            <w:r>
              <w:rPr>
                <w:rFonts w:hAnsi="宋体"/>
              </w:rPr>
              <w:t>分娩舍</w:t>
            </w:r>
          </w:p>
        </w:tc>
        <w:tc>
          <w:tcPr>
            <w:tcW w:w="5011" w:type="dxa"/>
            <w:vAlign w:val="center"/>
          </w:tcPr>
          <w:p>
            <w:pPr>
              <w:pStyle w:val="40"/>
            </w:pPr>
            <w:r>
              <w:rPr>
                <w:rFonts w:hint="eastAsia" w:hAnsi="宋体"/>
              </w:rPr>
              <w:t>共建设</w:t>
            </w:r>
            <w:r>
              <w:rPr>
                <w:rFonts w:hAnsi="宋体"/>
              </w:rPr>
              <w:t>分娩舍</w:t>
            </w:r>
            <w:r>
              <w:rPr>
                <w:rFonts w:hint="eastAsia" w:hAnsi="宋体"/>
              </w:rPr>
              <w:t>3座，</w:t>
            </w:r>
            <w:r>
              <w:rPr>
                <w:rFonts w:hint="eastAsia"/>
              </w:rPr>
              <w:t>总建筑</w:t>
            </w:r>
            <w:r>
              <w:t>面积</w:t>
            </w:r>
            <w:r>
              <w:rPr>
                <w:rFonts w:hint="eastAsia"/>
              </w:rPr>
              <w:t>1000</w:t>
            </w:r>
            <w:r>
              <w:t>m</w:t>
            </w:r>
            <w:r>
              <w:rPr>
                <w:vertAlign w:val="superscript"/>
              </w:rPr>
              <w:t>2</w:t>
            </w:r>
            <w:r>
              <w:t>，</w:t>
            </w:r>
            <w:r>
              <w:rPr>
                <w:rFonts w:hAnsi="宋体"/>
              </w:rPr>
              <w:t>钢混结构，用于母猪分娩及猪仔哺乳</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rPr>
                <w:rFonts w:hAnsi="宋体"/>
              </w:rPr>
            </w:pPr>
            <w:r>
              <w:rPr>
                <w:rFonts w:hint="eastAsia" w:hAnsi="宋体"/>
              </w:rPr>
              <w:t>种猪舍</w:t>
            </w:r>
          </w:p>
        </w:tc>
        <w:tc>
          <w:tcPr>
            <w:tcW w:w="5011" w:type="dxa"/>
            <w:vAlign w:val="center"/>
          </w:tcPr>
          <w:p>
            <w:pPr>
              <w:pStyle w:val="40"/>
              <w:rPr>
                <w:rFonts w:hAnsi="宋体"/>
              </w:rPr>
            </w:pPr>
            <w:r>
              <w:rPr>
                <w:rFonts w:hint="eastAsia" w:hAnsi="宋体"/>
              </w:rPr>
              <w:t>建设种猪舍3座，</w:t>
            </w:r>
            <w:r>
              <w:rPr>
                <w:rFonts w:hint="eastAsia"/>
              </w:rPr>
              <w:t>总建筑</w:t>
            </w:r>
            <w:r>
              <w:t>面积</w:t>
            </w:r>
            <w:r>
              <w:rPr>
                <w:rFonts w:hint="eastAsia"/>
              </w:rPr>
              <w:t>340</w:t>
            </w:r>
            <w:r>
              <w:t>m</w:t>
            </w:r>
            <w:r>
              <w:rPr>
                <w:vertAlign w:val="superscript"/>
              </w:rPr>
              <w:t>2</w:t>
            </w:r>
            <w:r>
              <w:t>，</w:t>
            </w:r>
            <w:r>
              <w:rPr>
                <w:rFonts w:hint="eastAsia"/>
              </w:rPr>
              <w:t>1个公猪舍，2个母猪舍，</w:t>
            </w:r>
            <w:r>
              <w:rPr>
                <w:rFonts w:hAnsi="宋体"/>
              </w:rPr>
              <w:t>钢混结构</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770" w:type="dxa"/>
            <w:gridSpan w:val="2"/>
            <w:vMerge w:val="restart"/>
            <w:vAlign w:val="center"/>
          </w:tcPr>
          <w:p>
            <w:pPr>
              <w:pStyle w:val="40"/>
            </w:pPr>
            <w:r>
              <w:t>育肥舍</w:t>
            </w:r>
          </w:p>
        </w:tc>
        <w:tc>
          <w:tcPr>
            <w:tcW w:w="819" w:type="dxa"/>
            <w:gridSpan w:val="2"/>
            <w:vAlign w:val="center"/>
          </w:tcPr>
          <w:p>
            <w:pPr>
              <w:pStyle w:val="40"/>
            </w:pPr>
            <w:r>
              <w:t>育肥舍</w:t>
            </w:r>
            <w:r>
              <w:rPr>
                <w:rFonts w:hint="eastAsia"/>
              </w:rPr>
              <w:t>1</w:t>
            </w:r>
            <w:r>
              <w:t>#</w:t>
            </w:r>
          </w:p>
        </w:tc>
        <w:tc>
          <w:tcPr>
            <w:tcW w:w="5011" w:type="dxa"/>
            <w:vAlign w:val="center"/>
          </w:tcPr>
          <w:p>
            <w:pPr>
              <w:pStyle w:val="40"/>
            </w:pPr>
            <w:r>
              <w:rPr>
                <w:rFonts w:hint="eastAsia"/>
              </w:rPr>
              <w:t>总</w:t>
            </w:r>
            <w:r>
              <w:rPr>
                <w:rFonts w:hAnsi="宋体"/>
              </w:rPr>
              <w:t>建筑面积</w:t>
            </w:r>
            <w:r>
              <w:rPr>
                <w:rFonts w:hint="eastAsia"/>
              </w:rPr>
              <w:t>2500</w:t>
            </w:r>
            <w:r>
              <w:t>m</w:t>
            </w:r>
            <w:r>
              <w:rPr>
                <w:vertAlign w:val="superscript"/>
              </w:rPr>
              <w:t>2</w:t>
            </w:r>
            <w:r>
              <w:rPr>
                <w:rFonts w:hAnsi="宋体"/>
              </w:rPr>
              <w:t>，钢混结构，用于猪仔</w:t>
            </w:r>
            <w:r>
              <w:rPr>
                <w:rFonts w:hint="eastAsia" w:hAnsi="宋体"/>
              </w:rPr>
              <w:t>育肥</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770" w:type="dxa"/>
            <w:gridSpan w:val="2"/>
            <w:vMerge w:val="continue"/>
            <w:vAlign w:val="center"/>
          </w:tcPr>
          <w:p>
            <w:pPr>
              <w:pStyle w:val="40"/>
            </w:pPr>
          </w:p>
        </w:tc>
        <w:tc>
          <w:tcPr>
            <w:tcW w:w="819" w:type="dxa"/>
            <w:gridSpan w:val="2"/>
            <w:vAlign w:val="center"/>
          </w:tcPr>
          <w:p>
            <w:pPr>
              <w:pStyle w:val="40"/>
            </w:pPr>
            <w:r>
              <w:t>育肥舍</w:t>
            </w:r>
            <w:r>
              <w:rPr>
                <w:rFonts w:hint="eastAsia"/>
              </w:rPr>
              <w:t>2</w:t>
            </w:r>
            <w:r>
              <w:t>#</w:t>
            </w:r>
          </w:p>
        </w:tc>
        <w:tc>
          <w:tcPr>
            <w:tcW w:w="5011" w:type="dxa"/>
            <w:vAlign w:val="center"/>
          </w:tcPr>
          <w:p>
            <w:pPr>
              <w:pStyle w:val="40"/>
            </w:pPr>
            <w:r>
              <w:rPr>
                <w:rFonts w:hint="eastAsia"/>
              </w:rPr>
              <w:t>总</w:t>
            </w:r>
            <w:r>
              <w:rPr>
                <w:rFonts w:hAnsi="宋体"/>
              </w:rPr>
              <w:t>建筑面积</w:t>
            </w:r>
            <w:r>
              <w:rPr>
                <w:rFonts w:hint="eastAsia"/>
              </w:rPr>
              <w:t>2500</w:t>
            </w:r>
            <w:r>
              <w:t>m</w:t>
            </w:r>
            <w:r>
              <w:rPr>
                <w:vertAlign w:val="superscript"/>
              </w:rPr>
              <w:t>2</w:t>
            </w:r>
            <w:r>
              <w:rPr>
                <w:rFonts w:hAnsi="宋体"/>
              </w:rPr>
              <w:t>，钢混结构，用于猪仔</w:t>
            </w:r>
            <w:r>
              <w:rPr>
                <w:rFonts w:hint="eastAsia" w:hAnsi="宋体"/>
              </w:rPr>
              <w:t>育肥</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770" w:type="dxa"/>
            <w:gridSpan w:val="2"/>
            <w:vMerge w:val="continue"/>
            <w:vAlign w:val="center"/>
          </w:tcPr>
          <w:p>
            <w:pPr>
              <w:pStyle w:val="40"/>
            </w:pPr>
          </w:p>
        </w:tc>
        <w:tc>
          <w:tcPr>
            <w:tcW w:w="819" w:type="dxa"/>
            <w:gridSpan w:val="2"/>
            <w:vAlign w:val="center"/>
          </w:tcPr>
          <w:p>
            <w:pPr>
              <w:pStyle w:val="40"/>
            </w:pPr>
            <w:r>
              <w:rPr>
                <w:rFonts w:hAnsi="宋体"/>
              </w:rPr>
              <w:t>育肥</w:t>
            </w:r>
            <w:r>
              <w:rPr>
                <w:rFonts w:hint="eastAsia" w:hAnsi="宋体"/>
              </w:rPr>
              <w:t>场3</w:t>
            </w:r>
            <w:r>
              <w:rPr>
                <w:rFonts w:hAnsi="宋体"/>
              </w:rPr>
              <w:t>#</w:t>
            </w:r>
          </w:p>
        </w:tc>
        <w:tc>
          <w:tcPr>
            <w:tcW w:w="5011" w:type="dxa"/>
            <w:vAlign w:val="center"/>
          </w:tcPr>
          <w:p>
            <w:pPr>
              <w:pStyle w:val="40"/>
            </w:pPr>
            <w:r>
              <w:rPr>
                <w:rFonts w:hint="eastAsia"/>
              </w:rPr>
              <w:t>总</w:t>
            </w:r>
            <w:r>
              <w:rPr>
                <w:rFonts w:hAnsi="宋体"/>
              </w:rPr>
              <w:t>建筑面积</w:t>
            </w:r>
            <w:r>
              <w:rPr>
                <w:rFonts w:hint="eastAsia"/>
              </w:rPr>
              <w:t>2500</w:t>
            </w:r>
            <w:r>
              <w:t>m</w:t>
            </w:r>
            <w:r>
              <w:rPr>
                <w:vertAlign w:val="superscript"/>
              </w:rPr>
              <w:t>2</w:t>
            </w:r>
            <w:r>
              <w:rPr>
                <w:rFonts w:hAnsi="宋体"/>
              </w:rPr>
              <w:t>，钢混结构，用于猪仔育肥</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770" w:type="dxa"/>
            <w:gridSpan w:val="2"/>
            <w:vMerge w:val="continue"/>
            <w:vAlign w:val="center"/>
          </w:tcPr>
          <w:p>
            <w:pPr>
              <w:pStyle w:val="40"/>
              <w:rPr>
                <w:rFonts w:hAnsi="宋体"/>
              </w:rPr>
            </w:pPr>
          </w:p>
        </w:tc>
        <w:tc>
          <w:tcPr>
            <w:tcW w:w="819" w:type="dxa"/>
            <w:gridSpan w:val="2"/>
            <w:vAlign w:val="center"/>
          </w:tcPr>
          <w:p>
            <w:pPr>
              <w:pStyle w:val="40"/>
              <w:rPr>
                <w:rFonts w:hAnsi="宋体"/>
              </w:rPr>
            </w:pPr>
            <w:r>
              <w:rPr>
                <w:rFonts w:hAnsi="宋体"/>
              </w:rPr>
              <w:t>育肥</w:t>
            </w:r>
            <w:r>
              <w:rPr>
                <w:rFonts w:hint="eastAsia" w:hAnsi="宋体"/>
              </w:rPr>
              <w:t>舍4</w:t>
            </w:r>
            <w:r>
              <w:rPr>
                <w:rFonts w:hAnsi="宋体"/>
              </w:rPr>
              <w:t>#</w:t>
            </w:r>
          </w:p>
        </w:tc>
        <w:tc>
          <w:tcPr>
            <w:tcW w:w="5011" w:type="dxa"/>
            <w:vAlign w:val="center"/>
          </w:tcPr>
          <w:p>
            <w:pPr>
              <w:pStyle w:val="40"/>
            </w:pPr>
            <w:r>
              <w:rPr>
                <w:rFonts w:hint="eastAsia"/>
              </w:rPr>
              <w:t>总</w:t>
            </w:r>
            <w:r>
              <w:rPr>
                <w:rFonts w:hAnsi="宋体"/>
              </w:rPr>
              <w:t>建筑面积</w:t>
            </w:r>
            <w:r>
              <w:rPr>
                <w:rFonts w:hint="eastAsia"/>
              </w:rPr>
              <w:t>500</w:t>
            </w:r>
            <w:r>
              <w:t>m</w:t>
            </w:r>
            <w:r>
              <w:rPr>
                <w:vertAlign w:val="superscript"/>
              </w:rPr>
              <w:t>2</w:t>
            </w:r>
            <w:r>
              <w:rPr>
                <w:rFonts w:hAnsi="宋体"/>
              </w:rPr>
              <w:t>，钢混结构，用于猪仔育肥</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rPr>
                <w:rFonts w:hAnsi="宋体"/>
              </w:rPr>
            </w:pPr>
            <w:r>
              <w:rPr>
                <w:rFonts w:hint="eastAsia" w:hAnsi="宋体"/>
              </w:rPr>
              <w:t>保育</w:t>
            </w:r>
            <w:r>
              <w:rPr>
                <w:rFonts w:hAnsi="宋体"/>
              </w:rPr>
              <w:t>舍</w:t>
            </w:r>
          </w:p>
        </w:tc>
        <w:tc>
          <w:tcPr>
            <w:tcW w:w="5011" w:type="dxa"/>
            <w:vAlign w:val="center"/>
          </w:tcPr>
          <w:p>
            <w:pPr>
              <w:pStyle w:val="40"/>
            </w:pPr>
            <w:r>
              <w:rPr>
                <w:rFonts w:hint="eastAsia" w:hAnsi="宋体"/>
              </w:rPr>
              <w:t>共设置保育舍2座，</w:t>
            </w:r>
            <w:r>
              <w:rPr>
                <w:rFonts w:hAnsi="宋体"/>
              </w:rPr>
              <w:t>建筑面积</w:t>
            </w:r>
            <w:r>
              <w:rPr>
                <w:rFonts w:hint="eastAsia" w:hAnsi="宋体"/>
              </w:rPr>
              <w:t>1200</w:t>
            </w:r>
            <w:r>
              <w:rPr>
                <w:rFonts w:hAnsi="宋体"/>
              </w:rPr>
              <w:t>m</w:t>
            </w:r>
            <w:r>
              <w:rPr>
                <w:rFonts w:hAnsi="宋体"/>
                <w:vertAlign w:val="superscript"/>
              </w:rPr>
              <w:t>2</w:t>
            </w:r>
            <w:r>
              <w:rPr>
                <w:rFonts w:hAnsi="宋体"/>
              </w:rPr>
              <w:t>，钢混结构，用于</w:t>
            </w:r>
            <w:r>
              <w:rPr>
                <w:rFonts w:hint="eastAsia" w:hAnsi="宋体"/>
              </w:rPr>
              <w:t>保</w:t>
            </w:r>
            <w:r>
              <w:rPr>
                <w:rFonts w:hAnsi="宋体"/>
              </w:rPr>
              <w:t>育猪仔</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rPr>
                <w:rFonts w:hAnsi="宋体"/>
              </w:rPr>
            </w:pPr>
            <w:r>
              <w:rPr>
                <w:rFonts w:hint="eastAsia"/>
              </w:rPr>
              <w:t>隔离</w:t>
            </w:r>
            <w:r>
              <w:t>舍</w:t>
            </w:r>
          </w:p>
        </w:tc>
        <w:tc>
          <w:tcPr>
            <w:tcW w:w="5011" w:type="dxa"/>
            <w:vAlign w:val="center"/>
          </w:tcPr>
          <w:p>
            <w:pPr>
              <w:pStyle w:val="40"/>
            </w:pPr>
            <w:r>
              <w:rPr>
                <w:rFonts w:hint="eastAsia" w:hAnsi="宋体"/>
              </w:rPr>
              <w:t>总建筑</w:t>
            </w:r>
            <w:r>
              <w:rPr>
                <w:rFonts w:hAnsi="宋体"/>
              </w:rPr>
              <w:t>面积2</w:t>
            </w:r>
            <w:r>
              <w:rPr>
                <w:rFonts w:hint="eastAsia" w:hAnsi="宋体"/>
              </w:rPr>
              <w:t>00</w:t>
            </w:r>
            <w:r>
              <w:rPr>
                <w:rFonts w:hAnsi="宋体"/>
              </w:rPr>
              <w:t>m</w:t>
            </w:r>
            <w:r>
              <w:rPr>
                <w:rFonts w:hAnsi="宋体"/>
                <w:vertAlign w:val="superscript"/>
              </w:rPr>
              <w:t>2</w:t>
            </w:r>
            <w:r>
              <w:rPr>
                <w:rFonts w:hAnsi="宋体"/>
              </w:rPr>
              <w:t>，</w:t>
            </w:r>
            <w:r>
              <w:t>主要用于病猪的隔离观察和喂养，定期</w:t>
            </w:r>
            <w:r>
              <w:rPr>
                <w:rFonts w:hint="eastAsia"/>
              </w:rPr>
              <w:t>进行</w:t>
            </w:r>
            <w:r>
              <w:t>消毒杀菌，并采取防疫防传染措施</w:t>
            </w:r>
          </w:p>
        </w:tc>
        <w:tc>
          <w:tcPr>
            <w:tcW w:w="1065" w:type="dxa"/>
            <w:vAlign w:val="center"/>
          </w:tcPr>
          <w:p>
            <w:pPr>
              <w:pStyle w:val="40"/>
              <w:rPr>
                <w:rFonts w:hAnsi="宋体"/>
              </w:rPr>
            </w:pPr>
            <w:r>
              <w:rPr>
                <w:rFonts w:hint="eastAsia" w:hAnsi="宋体"/>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pPr>
            <w:r>
              <w:rPr>
                <w:rFonts w:hint="eastAsia"/>
              </w:rPr>
              <w:t>出猪房</w:t>
            </w:r>
          </w:p>
        </w:tc>
        <w:tc>
          <w:tcPr>
            <w:tcW w:w="5011" w:type="dxa"/>
            <w:vAlign w:val="center"/>
          </w:tcPr>
          <w:p>
            <w:pPr>
              <w:pStyle w:val="40"/>
              <w:rPr>
                <w:rFonts w:hAnsi="宋体"/>
              </w:rPr>
            </w:pPr>
            <w:r>
              <w:rPr>
                <w:rFonts w:hint="eastAsia"/>
              </w:rPr>
              <w:t>建筑</w:t>
            </w:r>
            <w:r>
              <w:t>面积</w:t>
            </w:r>
            <w:r>
              <w:rPr>
                <w:rFonts w:hint="eastAsia"/>
              </w:rPr>
              <w:t>100</w:t>
            </w:r>
            <w:r>
              <w:t>m</w:t>
            </w:r>
            <w:r>
              <w:rPr>
                <w:vertAlign w:val="superscript"/>
              </w:rPr>
              <w:t>2</w:t>
            </w:r>
            <w:r>
              <w:t>，钢混结构</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restart"/>
            <w:vAlign w:val="center"/>
          </w:tcPr>
          <w:p>
            <w:pPr>
              <w:pStyle w:val="40"/>
              <w:rPr>
                <w:rFonts w:hAnsi="宋体"/>
              </w:rPr>
            </w:pPr>
            <w:r>
              <w:rPr>
                <w:rFonts w:hint="eastAsia" w:hAnsi="宋体"/>
              </w:rPr>
              <w:t>辅助工程</w:t>
            </w:r>
          </w:p>
        </w:tc>
        <w:tc>
          <w:tcPr>
            <w:tcW w:w="1589" w:type="dxa"/>
            <w:gridSpan w:val="4"/>
            <w:vAlign w:val="center"/>
          </w:tcPr>
          <w:p>
            <w:pPr>
              <w:pStyle w:val="40"/>
            </w:pPr>
            <w:r>
              <w:rPr>
                <w:rFonts w:hint="eastAsia"/>
              </w:rPr>
              <w:t>诊疗室</w:t>
            </w:r>
          </w:p>
        </w:tc>
        <w:tc>
          <w:tcPr>
            <w:tcW w:w="5011" w:type="dxa"/>
            <w:vAlign w:val="center"/>
          </w:tcPr>
          <w:p>
            <w:pPr>
              <w:pStyle w:val="40"/>
            </w:pPr>
            <w:r>
              <w:rPr>
                <w:rFonts w:hint="eastAsia"/>
              </w:rPr>
              <w:t>建筑面积为50m</w:t>
            </w:r>
            <w:r>
              <w:rPr>
                <w:rFonts w:hint="eastAsia"/>
                <w:vertAlign w:val="superscript"/>
              </w:rPr>
              <w:t>2</w:t>
            </w:r>
            <w:r>
              <w:rPr>
                <w:rFonts w:hint="eastAsia"/>
              </w:rPr>
              <w:t>，用于患病猪病情诊断与治疗、</w:t>
            </w:r>
            <w:r>
              <w:rPr>
                <w:rFonts w:hint="eastAsia" w:hAnsi="宋体"/>
              </w:rPr>
              <w:t>储存防疫药品等</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Align w:val="center"/>
          </w:tcPr>
          <w:p>
            <w:pPr>
              <w:pStyle w:val="40"/>
              <w:rPr>
                <w:szCs w:val="21"/>
              </w:rPr>
            </w:pPr>
            <w:r>
              <w:rPr>
                <w:szCs w:val="21"/>
              </w:rPr>
              <w:t>消毒间</w:t>
            </w:r>
          </w:p>
        </w:tc>
        <w:tc>
          <w:tcPr>
            <w:tcW w:w="5011" w:type="dxa"/>
            <w:vAlign w:val="center"/>
          </w:tcPr>
          <w:p>
            <w:pPr>
              <w:pStyle w:val="40"/>
              <w:rPr>
                <w:szCs w:val="21"/>
              </w:rPr>
            </w:pPr>
            <w:r>
              <w:rPr>
                <w:rFonts w:hint="eastAsia" w:hAnsi="宋体"/>
              </w:rPr>
              <w:t>共建设</w:t>
            </w:r>
            <w:r>
              <w:rPr>
                <w:szCs w:val="21"/>
              </w:rPr>
              <w:t>消毒间</w:t>
            </w:r>
            <w:r>
              <w:rPr>
                <w:rFonts w:hint="eastAsia" w:hAnsi="宋体"/>
              </w:rPr>
              <w:t>2座，总</w:t>
            </w:r>
            <w:r>
              <w:rPr>
                <w:szCs w:val="21"/>
              </w:rPr>
              <w:t>建筑面积</w:t>
            </w:r>
            <w:r>
              <w:rPr>
                <w:rFonts w:hint="eastAsia"/>
                <w:szCs w:val="21"/>
              </w:rPr>
              <w:t>200m</w:t>
            </w:r>
            <w:r>
              <w:rPr>
                <w:rFonts w:hint="eastAsia"/>
                <w:szCs w:val="21"/>
                <w:vertAlign w:val="superscript"/>
              </w:rPr>
              <w:t>2</w:t>
            </w:r>
            <w:r>
              <w:rPr>
                <w:szCs w:val="21"/>
              </w:rPr>
              <w:t>，用于进出猪舍人员淋浴消毒</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Align w:val="center"/>
          </w:tcPr>
          <w:p>
            <w:pPr>
              <w:pStyle w:val="40"/>
              <w:rPr>
                <w:szCs w:val="21"/>
              </w:rPr>
            </w:pPr>
            <w:r>
              <w:rPr>
                <w:rFonts w:hint="eastAsia"/>
                <w:szCs w:val="21"/>
              </w:rPr>
              <w:t>淋浴间</w:t>
            </w:r>
          </w:p>
        </w:tc>
        <w:tc>
          <w:tcPr>
            <w:tcW w:w="5011" w:type="dxa"/>
            <w:vAlign w:val="center"/>
          </w:tcPr>
          <w:p>
            <w:pPr>
              <w:pStyle w:val="40"/>
              <w:rPr>
                <w:rFonts w:hAnsi="宋体"/>
              </w:rPr>
            </w:pPr>
            <w:r>
              <w:rPr>
                <w:szCs w:val="21"/>
              </w:rPr>
              <w:t>建筑面积</w:t>
            </w:r>
            <w:r>
              <w:rPr>
                <w:rFonts w:hint="eastAsia"/>
                <w:szCs w:val="21"/>
              </w:rPr>
              <w:t>40m</w:t>
            </w:r>
            <w:r>
              <w:rPr>
                <w:rFonts w:hint="eastAsia"/>
                <w:szCs w:val="21"/>
                <w:vertAlign w:val="superscript"/>
              </w:rPr>
              <w:t>2</w:t>
            </w:r>
            <w:r>
              <w:rPr>
                <w:szCs w:val="21"/>
              </w:rPr>
              <w:t>，</w:t>
            </w:r>
            <w:r>
              <w:rPr>
                <w:rFonts w:hint="eastAsia"/>
                <w:szCs w:val="21"/>
              </w:rPr>
              <w:t>2间，</w:t>
            </w:r>
            <w:r>
              <w:rPr>
                <w:szCs w:val="21"/>
              </w:rPr>
              <w:t>用于进出猪舍人员淋浴消毒</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Merge w:val="restart"/>
            <w:vAlign w:val="center"/>
          </w:tcPr>
          <w:p>
            <w:pPr>
              <w:pStyle w:val="40"/>
              <w:rPr>
                <w:szCs w:val="21"/>
              </w:rPr>
            </w:pPr>
            <w:r>
              <w:rPr>
                <w:rFonts w:hAnsi="宋体"/>
              </w:rPr>
              <w:t>集粪池</w:t>
            </w:r>
          </w:p>
        </w:tc>
        <w:tc>
          <w:tcPr>
            <w:tcW w:w="5011" w:type="dxa"/>
            <w:vMerge w:val="restart"/>
            <w:vAlign w:val="center"/>
          </w:tcPr>
          <w:p>
            <w:pPr>
              <w:pStyle w:val="40"/>
              <w:rPr>
                <w:szCs w:val="21"/>
              </w:rPr>
            </w:pPr>
            <w:r>
              <w:t>1</w:t>
            </w:r>
            <w:r>
              <w:rPr>
                <w:rFonts w:hint="eastAsia" w:hAnsi="宋体"/>
              </w:rPr>
              <w:t>座</w:t>
            </w:r>
            <w:r>
              <w:rPr>
                <w:rFonts w:hAnsi="宋体"/>
              </w:rPr>
              <w:t>，</w:t>
            </w:r>
            <w:r>
              <w:rPr>
                <w:rFonts w:hint="eastAsia" w:hAnsi="宋体"/>
              </w:rPr>
              <w:t>3</w:t>
            </w:r>
            <w:r>
              <w:rPr>
                <w:rFonts w:hAnsi="宋体"/>
              </w:rPr>
              <w:t>m×3m×2m，用于猪</w:t>
            </w:r>
            <w:r>
              <w:rPr>
                <w:rFonts w:hint="eastAsia" w:hAnsi="宋体"/>
              </w:rPr>
              <w:t>粪收集，并进行猪粪</w:t>
            </w:r>
            <w:r>
              <w:rPr>
                <w:rFonts w:hAnsi="宋体"/>
              </w:rPr>
              <w:t>的固液分离</w:t>
            </w:r>
          </w:p>
        </w:tc>
        <w:tc>
          <w:tcPr>
            <w:tcW w:w="1065" w:type="dxa"/>
            <w:vMerge w:val="restart"/>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Merge w:val="continue"/>
            <w:vAlign w:val="center"/>
          </w:tcPr>
          <w:p>
            <w:pPr>
              <w:pStyle w:val="40"/>
            </w:pPr>
          </w:p>
        </w:tc>
        <w:tc>
          <w:tcPr>
            <w:tcW w:w="5011" w:type="dxa"/>
            <w:vMerge w:val="continue"/>
            <w:vAlign w:val="center"/>
          </w:tcPr>
          <w:p>
            <w:pPr>
              <w:pStyle w:val="40"/>
            </w:pPr>
          </w:p>
        </w:tc>
        <w:tc>
          <w:tcPr>
            <w:tcW w:w="1065" w:type="dxa"/>
            <w:vMerge w:val="continue"/>
            <w:vAlign w:val="center"/>
          </w:tcPr>
          <w:p>
            <w:pPr>
              <w:pStyle w:val="40"/>
              <w:rPr>
                <w:rFonts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Align w:val="center"/>
          </w:tcPr>
          <w:p>
            <w:pPr>
              <w:pStyle w:val="40"/>
              <w:rPr>
                <w:szCs w:val="21"/>
              </w:rPr>
            </w:pPr>
            <w:r>
              <w:rPr>
                <w:rFonts w:hint="eastAsia"/>
                <w:szCs w:val="21"/>
              </w:rPr>
              <w:t>停车场</w:t>
            </w:r>
          </w:p>
        </w:tc>
        <w:tc>
          <w:tcPr>
            <w:tcW w:w="5011" w:type="dxa"/>
            <w:vAlign w:val="center"/>
          </w:tcPr>
          <w:p>
            <w:pPr>
              <w:pStyle w:val="40"/>
              <w:rPr>
                <w:szCs w:val="21"/>
              </w:rPr>
            </w:pPr>
            <w:r>
              <w:rPr>
                <w:szCs w:val="21"/>
              </w:rPr>
              <w:t>建筑面积</w:t>
            </w:r>
            <w:r>
              <w:rPr>
                <w:rFonts w:hint="eastAsia"/>
                <w:szCs w:val="21"/>
              </w:rPr>
              <w:t>300m</w:t>
            </w:r>
            <w:r>
              <w:rPr>
                <w:rFonts w:hint="eastAsia"/>
                <w:szCs w:val="21"/>
                <w:vertAlign w:val="superscript"/>
              </w:rPr>
              <w:t>2</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Align w:val="center"/>
          </w:tcPr>
          <w:p>
            <w:pPr>
              <w:pStyle w:val="40"/>
              <w:rPr>
                <w:szCs w:val="21"/>
              </w:rPr>
            </w:pPr>
            <w:r>
              <w:rPr>
                <w:rFonts w:hint="eastAsia"/>
                <w:szCs w:val="21"/>
              </w:rPr>
              <w:t>食堂</w:t>
            </w:r>
          </w:p>
        </w:tc>
        <w:tc>
          <w:tcPr>
            <w:tcW w:w="5011" w:type="dxa"/>
            <w:vAlign w:val="center"/>
          </w:tcPr>
          <w:p>
            <w:pPr>
              <w:spacing w:line="240" w:lineRule="auto"/>
              <w:ind w:firstLine="0" w:firstLineChars="0"/>
              <w:jc w:val="center"/>
              <w:rPr>
                <w:sz w:val="21"/>
                <w:szCs w:val="21"/>
              </w:rPr>
            </w:pPr>
            <w:r>
              <w:rPr>
                <w:sz w:val="21"/>
                <w:szCs w:val="21"/>
              </w:rPr>
              <w:t>建筑面积</w:t>
            </w:r>
            <w:r>
              <w:rPr>
                <w:rFonts w:hint="eastAsia"/>
                <w:sz w:val="21"/>
                <w:szCs w:val="21"/>
              </w:rPr>
              <w:t>80m</w:t>
            </w:r>
            <w:r>
              <w:rPr>
                <w:rFonts w:hint="eastAsia"/>
                <w:sz w:val="21"/>
                <w:szCs w:val="21"/>
                <w:vertAlign w:val="superscript"/>
              </w:rPr>
              <w:t>2</w:t>
            </w:r>
            <w:r>
              <w:rPr>
                <w:rFonts w:hint="eastAsia"/>
                <w:szCs w:val="21"/>
              </w:rPr>
              <w:t>，</w:t>
            </w:r>
            <w:r>
              <w:rPr>
                <w:rFonts w:hint="eastAsia"/>
                <w:sz w:val="21"/>
                <w:szCs w:val="21"/>
              </w:rPr>
              <w:t>2个基准灶头，20人就餐，位于办公楼1层</w:t>
            </w:r>
          </w:p>
        </w:tc>
        <w:tc>
          <w:tcPr>
            <w:tcW w:w="1065" w:type="dxa"/>
            <w:vAlign w:val="center"/>
          </w:tcPr>
          <w:p>
            <w:pPr>
              <w:spacing w:line="240" w:lineRule="auto"/>
              <w:ind w:firstLine="0" w:firstLineChars="0"/>
              <w:jc w:val="center"/>
              <w:rPr>
                <w:sz w:val="21"/>
                <w:szCs w:val="21"/>
              </w:rPr>
            </w:pPr>
            <w:r>
              <w:rPr>
                <w:rFonts w:hint="eastAsia" w:hAnsi="宋体"/>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Align w:val="center"/>
          </w:tcPr>
          <w:p>
            <w:pPr>
              <w:pStyle w:val="40"/>
              <w:rPr>
                <w:szCs w:val="21"/>
              </w:rPr>
            </w:pPr>
            <w:r>
              <w:rPr>
                <w:rFonts w:hint="eastAsia"/>
                <w:szCs w:val="21"/>
              </w:rPr>
              <w:t>宿舍</w:t>
            </w:r>
          </w:p>
        </w:tc>
        <w:tc>
          <w:tcPr>
            <w:tcW w:w="5011" w:type="dxa"/>
            <w:vAlign w:val="center"/>
          </w:tcPr>
          <w:p>
            <w:pPr>
              <w:spacing w:line="240" w:lineRule="auto"/>
              <w:ind w:firstLine="0" w:firstLineChars="0"/>
              <w:jc w:val="center"/>
              <w:rPr>
                <w:sz w:val="21"/>
                <w:szCs w:val="21"/>
              </w:rPr>
            </w:pPr>
            <w:r>
              <w:rPr>
                <w:rFonts w:hint="eastAsia"/>
                <w:sz w:val="21"/>
                <w:szCs w:val="21"/>
              </w:rPr>
              <w:t>建筑面积140m</w:t>
            </w:r>
            <w:r>
              <w:rPr>
                <w:rFonts w:hint="eastAsia"/>
                <w:sz w:val="21"/>
                <w:szCs w:val="21"/>
                <w:vertAlign w:val="superscript"/>
              </w:rPr>
              <w:t>2</w:t>
            </w:r>
            <w:r>
              <w:rPr>
                <w:rFonts w:hint="eastAsia"/>
                <w:szCs w:val="21"/>
              </w:rPr>
              <w:t>，</w:t>
            </w:r>
            <w:r>
              <w:rPr>
                <w:rFonts w:hint="eastAsia"/>
                <w:sz w:val="21"/>
                <w:szCs w:val="21"/>
              </w:rPr>
              <w:t>30人住厂，位于办公楼2层</w:t>
            </w:r>
          </w:p>
        </w:tc>
        <w:tc>
          <w:tcPr>
            <w:tcW w:w="1065" w:type="dxa"/>
            <w:vAlign w:val="center"/>
          </w:tcPr>
          <w:p>
            <w:pPr>
              <w:spacing w:line="240" w:lineRule="auto"/>
              <w:ind w:firstLine="0" w:firstLineChars="0"/>
              <w:jc w:val="center"/>
              <w:rPr>
                <w:sz w:val="21"/>
                <w:szCs w:val="21"/>
              </w:rPr>
            </w:pPr>
            <w:r>
              <w:rPr>
                <w:rFonts w:hint="eastAsia" w:hAnsi="宋体"/>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Align w:val="center"/>
          </w:tcPr>
          <w:p>
            <w:pPr>
              <w:pStyle w:val="40"/>
              <w:rPr>
                <w:szCs w:val="21"/>
              </w:rPr>
            </w:pPr>
            <w:r>
              <w:rPr>
                <w:rFonts w:hint="eastAsia"/>
                <w:szCs w:val="21"/>
              </w:rPr>
              <w:t>办公楼</w:t>
            </w:r>
          </w:p>
        </w:tc>
        <w:tc>
          <w:tcPr>
            <w:tcW w:w="5011" w:type="dxa"/>
            <w:vAlign w:val="center"/>
          </w:tcPr>
          <w:p>
            <w:pPr>
              <w:spacing w:line="240" w:lineRule="auto"/>
              <w:ind w:firstLine="0" w:firstLineChars="0"/>
              <w:jc w:val="center"/>
              <w:rPr>
                <w:sz w:val="21"/>
                <w:szCs w:val="21"/>
              </w:rPr>
            </w:pPr>
            <w:r>
              <w:rPr>
                <w:sz w:val="21"/>
                <w:szCs w:val="21"/>
              </w:rPr>
              <w:t>建筑面积</w:t>
            </w:r>
            <w:r>
              <w:rPr>
                <w:rFonts w:hint="eastAsia"/>
                <w:sz w:val="21"/>
                <w:szCs w:val="21"/>
              </w:rPr>
              <w:t>360m</w:t>
            </w:r>
            <w:r>
              <w:rPr>
                <w:rFonts w:hint="eastAsia"/>
                <w:sz w:val="21"/>
                <w:szCs w:val="21"/>
                <w:vertAlign w:val="superscript"/>
              </w:rPr>
              <w:t>2</w:t>
            </w:r>
            <w:r>
              <w:rPr>
                <w:rFonts w:hint="eastAsia"/>
                <w:sz w:val="21"/>
                <w:szCs w:val="21"/>
              </w:rPr>
              <w:t>，2层结构，2层为工人住房及宿舍，1层为办公生活区及食堂</w:t>
            </w:r>
          </w:p>
        </w:tc>
        <w:tc>
          <w:tcPr>
            <w:tcW w:w="1065" w:type="dxa"/>
            <w:vAlign w:val="center"/>
          </w:tcPr>
          <w:p>
            <w:pPr>
              <w:spacing w:line="240" w:lineRule="auto"/>
              <w:ind w:firstLine="0" w:firstLineChars="0"/>
              <w:jc w:val="center"/>
              <w:rPr>
                <w:sz w:val="21"/>
                <w:szCs w:val="21"/>
              </w:rPr>
            </w:pPr>
            <w:r>
              <w:rPr>
                <w:rFonts w:hint="eastAsia" w:hAnsi="宋体"/>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1589" w:type="dxa"/>
            <w:gridSpan w:val="4"/>
            <w:vAlign w:val="center"/>
          </w:tcPr>
          <w:p>
            <w:pPr>
              <w:pStyle w:val="40"/>
              <w:rPr>
                <w:szCs w:val="21"/>
              </w:rPr>
            </w:pPr>
            <w:r>
              <w:rPr>
                <w:rFonts w:hint="eastAsia"/>
              </w:rPr>
              <w:t>保安室</w:t>
            </w:r>
          </w:p>
        </w:tc>
        <w:tc>
          <w:tcPr>
            <w:tcW w:w="5011" w:type="dxa"/>
            <w:vAlign w:val="center"/>
          </w:tcPr>
          <w:p>
            <w:pPr>
              <w:spacing w:line="240" w:lineRule="auto"/>
              <w:ind w:firstLine="0" w:firstLineChars="0"/>
              <w:jc w:val="center"/>
              <w:rPr>
                <w:sz w:val="21"/>
                <w:szCs w:val="21"/>
              </w:rPr>
            </w:pPr>
            <w:r>
              <w:rPr>
                <w:sz w:val="21"/>
                <w:szCs w:val="21"/>
              </w:rPr>
              <w:t>建筑面积</w:t>
            </w:r>
            <w:r>
              <w:rPr>
                <w:rFonts w:hint="eastAsia"/>
                <w:sz w:val="21"/>
                <w:szCs w:val="21"/>
              </w:rPr>
              <w:t>60m</w:t>
            </w:r>
            <w:r>
              <w:rPr>
                <w:rFonts w:hint="eastAsia"/>
                <w:sz w:val="21"/>
                <w:szCs w:val="21"/>
                <w:vertAlign w:val="superscript"/>
              </w:rPr>
              <w:t>2</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pPr>
            <w:r>
              <w:rPr>
                <w:rFonts w:hint="eastAsia"/>
              </w:rPr>
              <w:t>卫生间</w:t>
            </w:r>
          </w:p>
        </w:tc>
        <w:tc>
          <w:tcPr>
            <w:tcW w:w="5011" w:type="dxa"/>
            <w:vAlign w:val="center"/>
          </w:tcPr>
          <w:p>
            <w:pPr>
              <w:pStyle w:val="40"/>
            </w:pPr>
            <w:r>
              <w:rPr>
                <w:rFonts w:hint="eastAsia"/>
              </w:rPr>
              <w:t>分男女两厕，楼上为淋浴间</w:t>
            </w:r>
          </w:p>
        </w:tc>
        <w:tc>
          <w:tcPr>
            <w:tcW w:w="1065" w:type="dxa"/>
            <w:vAlign w:val="center"/>
          </w:tcPr>
          <w:p>
            <w:pPr>
              <w:pStyle w:val="40"/>
              <w:rPr>
                <w:rFonts w:hAnsi="宋体"/>
              </w:rPr>
            </w:pPr>
            <w:r>
              <w:rPr>
                <w:rFonts w:hint="eastAsia" w:hAnsi="宋体"/>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restart"/>
            <w:vAlign w:val="center"/>
          </w:tcPr>
          <w:p>
            <w:pPr>
              <w:pStyle w:val="40"/>
            </w:pPr>
            <w:r>
              <w:rPr>
                <w:rFonts w:hint="eastAsia"/>
              </w:rPr>
              <w:t>储运工程</w:t>
            </w:r>
          </w:p>
        </w:tc>
        <w:tc>
          <w:tcPr>
            <w:tcW w:w="1589" w:type="dxa"/>
            <w:gridSpan w:val="4"/>
            <w:vAlign w:val="center"/>
          </w:tcPr>
          <w:p>
            <w:pPr>
              <w:pStyle w:val="40"/>
              <w:rPr>
                <w:rFonts w:hAnsi="宋体"/>
              </w:rPr>
            </w:pPr>
            <w:r>
              <w:rPr>
                <w:rFonts w:hAnsi="宋体"/>
              </w:rPr>
              <w:t>库</w:t>
            </w:r>
            <w:r>
              <w:rPr>
                <w:rFonts w:hint="eastAsia" w:hAnsi="宋体"/>
              </w:rPr>
              <w:t>房</w:t>
            </w:r>
          </w:p>
        </w:tc>
        <w:tc>
          <w:tcPr>
            <w:tcW w:w="5011" w:type="dxa"/>
            <w:vAlign w:val="center"/>
          </w:tcPr>
          <w:p>
            <w:pPr>
              <w:pStyle w:val="40"/>
              <w:rPr>
                <w:rFonts w:hAnsi="宋体"/>
              </w:rPr>
            </w:pPr>
            <w:r>
              <w:rPr>
                <w:rFonts w:hAnsi="宋体"/>
              </w:rPr>
              <w:t>建筑面积</w:t>
            </w:r>
            <w:r>
              <w:rPr>
                <w:rFonts w:hint="eastAsia" w:hAnsi="宋体"/>
              </w:rPr>
              <w:t>500m</w:t>
            </w:r>
            <w:r>
              <w:rPr>
                <w:rFonts w:hint="eastAsia" w:hAnsi="宋体"/>
                <w:vertAlign w:val="superscript"/>
              </w:rPr>
              <w:t>2</w:t>
            </w:r>
            <w:r>
              <w:rPr>
                <w:rFonts w:hAnsi="宋体"/>
              </w:rPr>
              <w:t>，用于储存消毒剂等原辅料</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rPr>
                <w:rFonts w:hAnsi="宋体"/>
              </w:rPr>
            </w:pPr>
            <w:r>
              <w:rPr>
                <w:rFonts w:hAnsi="宋体"/>
              </w:rPr>
              <w:t>饲料库</w:t>
            </w:r>
            <w:r>
              <w:rPr>
                <w:rFonts w:hint="eastAsia" w:hAnsi="宋体"/>
              </w:rPr>
              <w:t>房</w:t>
            </w:r>
          </w:p>
        </w:tc>
        <w:tc>
          <w:tcPr>
            <w:tcW w:w="5011" w:type="dxa"/>
            <w:vAlign w:val="center"/>
          </w:tcPr>
          <w:p>
            <w:pPr>
              <w:pStyle w:val="40"/>
              <w:rPr>
                <w:rFonts w:hAnsi="宋体"/>
              </w:rPr>
            </w:pPr>
            <w:r>
              <w:rPr>
                <w:rFonts w:hint="eastAsia" w:hAnsi="宋体"/>
              </w:rPr>
              <w:t>与库房一起，主要用于储存猪饲料，</w:t>
            </w:r>
            <w:r>
              <w:rPr>
                <w:rFonts w:hAnsi="宋体"/>
              </w:rPr>
              <w:t>玉米的破碎</w:t>
            </w:r>
            <w:r>
              <w:rPr>
                <w:rFonts w:hint="eastAsia" w:hAnsi="宋体"/>
              </w:rPr>
              <w:t>等</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rPr>
                <w:rFonts w:hAnsi="宋体"/>
              </w:rPr>
            </w:pPr>
            <w:r>
              <w:rPr>
                <w:rFonts w:hint="eastAsia" w:hAnsi="宋体"/>
              </w:rPr>
              <w:t>堆粪棚</w:t>
            </w:r>
          </w:p>
        </w:tc>
        <w:tc>
          <w:tcPr>
            <w:tcW w:w="5011" w:type="dxa"/>
            <w:vAlign w:val="center"/>
          </w:tcPr>
          <w:p>
            <w:pPr>
              <w:pStyle w:val="40"/>
              <w:rPr>
                <w:rFonts w:hAnsi="宋体"/>
              </w:rPr>
            </w:pPr>
            <w:r>
              <w:rPr>
                <w:rFonts w:hint="eastAsia" w:hAnsi="宋体"/>
              </w:rPr>
              <w:t>位于</w:t>
            </w:r>
            <w:r>
              <w:rPr>
                <w:rFonts w:hAnsi="宋体"/>
              </w:rPr>
              <w:t>集粪池南侧，面积30</w:t>
            </w:r>
            <w:r>
              <w:rPr>
                <w:rFonts w:hint="eastAsia" w:hAnsi="宋体"/>
              </w:rPr>
              <w:t>0</w:t>
            </w:r>
            <w:r>
              <w:rPr>
                <w:rFonts w:hAnsi="宋体"/>
              </w:rPr>
              <w:t>m</w:t>
            </w:r>
            <w:r>
              <w:rPr>
                <w:rFonts w:hAnsi="宋体"/>
                <w:vertAlign w:val="superscript"/>
              </w:rPr>
              <w:t>2</w:t>
            </w:r>
            <w:r>
              <w:rPr>
                <w:rFonts w:hint="eastAsia" w:hAnsi="宋体"/>
              </w:rPr>
              <w:t>，</w:t>
            </w:r>
            <w:r>
              <w:rPr>
                <w:rFonts w:hAnsi="宋体"/>
              </w:rPr>
              <w:t>用于存储</w:t>
            </w:r>
            <w:r>
              <w:rPr>
                <w:rFonts w:hint="eastAsia" w:hAnsi="宋体"/>
              </w:rPr>
              <w:t>及晾晒</w:t>
            </w:r>
            <w:r>
              <w:rPr>
                <w:rFonts w:hAnsi="宋体"/>
              </w:rPr>
              <w:t>固液分离后的</w:t>
            </w:r>
            <w:r>
              <w:rPr>
                <w:rFonts w:hint="eastAsia" w:hAnsi="宋体"/>
              </w:rPr>
              <w:t>猪粪</w:t>
            </w:r>
          </w:p>
        </w:tc>
        <w:tc>
          <w:tcPr>
            <w:tcW w:w="1065" w:type="dxa"/>
            <w:vAlign w:val="center"/>
          </w:tcPr>
          <w:p>
            <w:pPr>
              <w:pStyle w:val="40"/>
              <w:rPr>
                <w:rFonts w:hAnsi="宋体"/>
                <w:b/>
              </w:rPr>
            </w:pPr>
            <w:r>
              <w:rPr>
                <w:rFonts w:hint="eastAsia" w:hAnsi="宋体"/>
                <w:b/>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restart"/>
            <w:vAlign w:val="center"/>
          </w:tcPr>
          <w:p>
            <w:pPr>
              <w:pStyle w:val="40"/>
            </w:pPr>
            <w:r>
              <w:rPr>
                <w:rFonts w:hAnsi="宋体"/>
              </w:rPr>
              <w:t>公用工程</w:t>
            </w:r>
          </w:p>
        </w:tc>
        <w:tc>
          <w:tcPr>
            <w:tcW w:w="1589" w:type="dxa"/>
            <w:gridSpan w:val="4"/>
            <w:vAlign w:val="center"/>
          </w:tcPr>
          <w:p>
            <w:pPr>
              <w:pStyle w:val="40"/>
            </w:pPr>
            <w:r>
              <w:rPr>
                <w:rFonts w:hAnsi="宋体"/>
              </w:rPr>
              <w:t>供水</w:t>
            </w:r>
          </w:p>
        </w:tc>
        <w:tc>
          <w:tcPr>
            <w:tcW w:w="5011" w:type="dxa"/>
            <w:vAlign w:val="center"/>
          </w:tcPr>
          <w:p>
            <w:pPr>
              <w:pStyle w:val="40"/>
            </w:pPr>
            <w:r>
              <w:rPr>
                <w:rFonts w:hAnsi="宋体"/>
              </w:rPr>
              <w:t>本项目供水由</w:t>
            </w:r>
            <w:r>
              <w:rPr>
                <w:rFonts w:hint="eastAsia" w:hAnsi="宋体"/>
              </w:rPr>
              <w:t>关坪村自来水</w:t>
            </w:r>
            <w:r>
              <w:rPr>
                <w:rFonts w:hAnsi="宋体"/>
              </w:rPr>
              <w:t>提供</w:t>
            </w:r>
          </w:p>
        </w:tc>
        <w:tc>
          <w:tcPr>
            <w:tcW w:w="1065" w:type="dxa"/>
            <w:vAlign w:val="center"/>
          </w:tcPr>
          <w:p>
            <w:pPr>
              <w:pStyle w:val="40"/>
              <w:rPr>
                <w:rFonts w:hAnsi="宋体"/>
              </w:rPr>
            </w:pPr>
            <w:r>
              <w:rPr>
                <w:rFonts w:hint="eastAsia" w:hAnsi="宋体"/>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pPr>
            <w:r>
              <w:rPr>
                <w:rFonts w:hAnsi="宋体"/>
              </w:rPr>
              <w:t>排水</w:t>
            </w:r>
          </w:p>
        </w:tc>
        <w:tc>
          <w:tcPr>
            <w:tcW w:w="5011" w:type="dxa"/>
            <w:vAlign w:val="center"/>
          </w:tcPr>
          <w:p>
            <w:pPr>
              <w:pStyle w:val="40"/>
              <w:rPr>
                <w:rFonts w:hAnsi="宋体"/>
                <w:szCs w:val="21"/>
              </w:rPr>
            </w:pPr>
            <w:r>
              <w:rPr>
                <w:rFonts w:hAnsi="宋体"/>
                <w:szCs w:val="21"/>
              </w:rPr>
              <w:t>项目排水采取雨污分流。雨水通过场区雨水管网排至场区外；职工生活污水经场内</w:t>
            </w:r>
            <w:r>
              <w:rPr>
                <w:rFonts w:hint="eastAsia" w:hAnsi="宋体"/>
                <w:szCs w:val="21"/>
              </w:rPr>
              <w:t>化粪池</w:t>
            </w:r>
            <w:r>
              <w:rPr>
                <w:rFonts w:hAnsi="宋体"/>
                <w:szCs w:val="21"/>
              </w:rPr>
              <w:t>处理</w:t>
            </w:r>
            <w:r>
              <w:rPr>
                <w:rFonts w:hint="eastAsia" w:hAnsi="宋体"/>
                <w:szCs w:val="21"/>
              </w:rPr>
              <w:t>后进入污水</w:t>
            </w:r>
            <w:r>
              <w:rPr>
                <w:rFonts w:hAnsi="宋体"/>
                <w:szCs w:val="21"/>
              </w:rPr>
              <w:t>处理系统</w:t>
            </w:r>
            <w:r>
              <w:rPr>
                <w:rFonts w:hint="eastAsia" w:hAnsi="宋体"/>
                <w:szCs w:val="21"/>
              </w:rPr>
              <w:t>处理。</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pPr>
            <w:r>
              <w:rPr>
                <w:rFonts w:hAnsi="宋体"/>
              </w:rPr>
              <w:t>供电</w:t>
            </w:r>
          </w:p>
        </w:tc>
        <w:tc>
          <w:tcPr>
            <w:tcW w:w="5011" w:type="dxa"/>
            <w:vAlign w:val="center"/>
          </w:tcPr>
          <w:p>
            <w:pPr>
              <w:pStyle w:val="40"/>
            </w:pPr>
            <w:r>
              <w:rPr>
                <w:rFonts w:hAnsi="宋体"/>
              </w:rPr>
              <w:t>由</w:t>
            </w:r>
            <w:r>
              <w:rPr>
                <w:rFonts w:hint="eastAsia" w:hAnsi="宋体"/>
              </w:rPr>
              <w:t>关坪村</w:t>
            </w:r>
            <w:r>
              <w:rPr>
                <w:rFonts w:hAnsi="宋体"/>
              </w:rPr>
              <w:t>电网提供，场区内</w:t>
            </w:r>
            <w:r>
              <w:rPr>
                <w:rFonts w:hint="eastAsia" w:hAnsi="宋体"/>
              </w:rPr>
              <w:t>有容量为</w:t>
            </w:r>
            <w:r>
              <w:t>200KV</w:t>
            </w:r>
            <w:r>
              <w:rPr>
                <w:rFonts w:hint="eastAsia"/>
              </w:rPr>
              <w:t>的</w:t>
            </w:r>
            <w:r>
              <w:rPr>
                <w:rFonts w:hAnsi="宋体"/>
              </w:rPr>
              <w:t>变压器</w:t>
            </w:r>
          </w:p>
        </w:tc>
        <w:tc>
          <w:tcPr>
            <w:tcW w:w="1065" w:type="dxa"/>
            <w:vAlign w:val="center"/>
          </w:tcPr>
          <w:p>
            <w:pPr>
              <w:pStyle w:val="40"/>
              <w:rPr>
                <w:rFonts w:hAnsi="宋体"/>
              </w:rPr>
            </w:pPr>
            <w:r>
              <w:rPr>
                <w:rFonts w:hint="eastAsia" w:hAnsi="宋体"/>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pPr>
            <w:r>
              <w:rPr>
                <w:rFonts w:hAnsi="宋体"/>
              </w:rPr>
              <w:t>供暖</w:t>
            </w:r>
          </w:p>
        </w:tc>
        <w:tc>
          <w:tcPr>
            <w:tcW w:w="5011" w:type="dxa"/>
            <w:vAlign w:val="center"/>
          </w:tcPr>
          <w:p>
            <w:pPr>
              <w:pStyle w:val="40"/>
              <w:rPr>
                <w:highlight w:val="yellow"/>
              </w:rPr>
            </w:pPr>
            <w:r>
              <w:rPr>
                <w:rFonts w:hAnsi="宋体"/>
              </w:rPr>
              <w:t>猪舍冬季取暖主要是通过猪舍墙体保温材料与外部断绝热交换；对于刚出生的仔猪，由于其适应能力差，采用红外灯供暖；生活区冬季取暖采用空调，场区不设锅炉</w:t>
            </w:r>
          </w:p>
        </w:tc>
        <w:tc>
          <w:tcPr>
            <w:tcW w:w="1065" w:type="dxa"/>
            <w:vAlign w:val="center"/>
          </w:tcPr>
          <w:p>
            <w:pPr>
              <w:pStyle w:val="40"/>
              <w:rPr>
                <w:rFonts w:hAnsi="宋体"/>
              </w:rPr>
            </w:pPr>
            <w:r>
              <w:rPr>
                <w:rFonts w:hint="eastAsia" w:hAnsi="宋体"/>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1589" w:type="dxa"/>
            <w:gridSpan w:val="4"/>
            <w:vAlign w:val="center"/>
          </w:tcPr>
          <w:p>
            <w:pPr>
              <w:pStyle w:val="40"/>
              <w:rPr>
                <w:rFonts w:hAnsi="宋体"/>
              </w:rPr>
            </w:pPr>
            <w:r>
              <w:rPr>
                <w:rFonts w:hAnsi="宋体"/>
              </w:rPr>
              <w:t>猪舍通风</w:t>
            </w:r>
          </w:p>
        </w:tc>
        <w:tc>
          <w:tcPr>
            <w:tcW w:w="5011" w:type="dxa"/>
            <w:vAlign w:val="center"/>
          </w:tcPr>
          <w:p>
            <w:pPr>
              <w:pStyle w:val="40"/>
              <w:rPr>
                <w:rFonts w:hAnsi="宋体"/>
              </w:rPr>
            </w:pPr>
            <w:r>
              <w:rPr>
                <w:rFonts w:hAnsi="宋体"/>
              </w:rPr>
              <w:t>春夏季采用风机划窗结合通风，秋冬季采用热交换系统通风</w:t>
            </w:r>
          </w:p>
        </w:tc>
        <w:tc>
          <w:tcPr>
            <w:tcW w:w="1065" w:type="dxa"/>
            <w:vAlign w:val="center"/>
          </w:tcPr>
          <w:p>
            <w:pPr>
              <w:pStyle w:val="40"/>
              <w:rPr>
                <w:rFonts w:hAnsi="宋体"/>
              </w:rPr>
            </w:pPr>
            <w:r>
              <w:rPr>
                <w:rFonts w:hint="eastAsia" w:hAnsi="宋体"/>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restart"/>
            <w:vAlign w:val="center"/>
          </w:tcPr>
          <w:p>
            <w:pPr>
              <w:pStyle w:val="40"/>
            </w:pPr>
            <w:r>
              <w:rPr>
                <w:rFonts w:hAnsi="宋体"/>
              </w:rPr>
              <w:t>环保工程</w:t>
            </w:r>
          </w:p>
        </w:tc>
        <w:tc>
          <w:tcPr>
            <w:tcW w:w="663" w:type="dxa"/>
            <w:vMerge w:val="restart"/>
            <w:vAlign w:val="center"/>
          </w:tcPr>
          <w:p>
            <w:pPr>
              <w:pStyle w:val="40"/>
            </w:pPr>
            <w:r>
              <w:rPr>
                <w:rFonts w:hAnsi="宋体"/>
              </w:rPr>
              <w:t>废气</w:t>
            </w:r>
          </w:p>
        </w:tc>
        <w:tc>
          <w:tcPr>
            <w:tcW w:w="427" w:type="dxa"/>
            <w:gridSpan w:val="2"/>
            <w:vMerge w:val="restart"/>
            <w:vAlign w:val="center"/>
          </w:tcPr>
          <w:p>
            <w:pPr>
              <w:pStyle w:val="40"/>
            </w:pPr>
            <w:r>
              <w:rPr>
                <w:rFonts w:hAnsi="宋体"/>
              </w:rPr>
              <w:t>恶臭</w:t>
            </w:r>
          </w:p>
        </w:tc>
        <w:tc>
          <w:tcPr>
            <w:tcW w:w="499" w:type="dxa"/>
            <w:vAlign w:val="center"/>
          </w:tcPr>
          <w:p>
            <w:pPr>
              <w:pStyle w:val="40"/>
            </w:pPr>
            <w:r>
              <w:rPr>
                <w:rFonts w:hint="eastAsia"/>
              </w:rPr>
              <w:t>猪舍</w:t>
            </w:r>
          </w:p>
        </w:tc>
        <w:tc>
          <w:tcPr>
            <w:tcW w:w="5011" w:type="dxa"/>
            <w:vAlign w:val="center"/>
          </w:tcPr>
          <w:p>
            <w:pPr>
              <w:pStyle w:val="40"/>
            </w:pPr>
            <w:r>
              <w:rPr>
                <w:rFonts w:hint="eastAsia"/>
              </w:rPr>
              <w:t>优化</w:t>
            </w:r>
            <w:r>
              <w:t>养殖，</w:t>
            </w:r>
            <w:r>
              <w:rPr>
                <w:rFonts w:hint="eastAsia"/>
              </w:rPr>
              <w:t>饲料</w:t>
            </w:r>
            <w:r>
              <w:t>中添加抑制剂</w:t>
            </w:r>
            <w:r>
              <w:rPr>
                <w:rFonts w:hint="eastAsia"/>
              </w:rPr>
              <w:t>，</w:t>
            </w:r>
            <w:r>
              <w:t>干清粪工艺，</w:t>
            </w:r>
            <w:r>
              <w:rPr>
                <w:rFonts w:hint="eastAsia"/>
              </w:rPr>
              <w:t>喷洒</w:t>
            </w:r>
            <w:r>
              <w:t>除臭剂，加强通风</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663" w:type="dxa"/>
            <w:vMerge w:val="continue"/>
            <w:vAlign w:val="center"/>
          </w:tcPr>
          <w:p>
            <w:pPr>
              <w:pStyle w:val="40"/>
              <w:rPr>
                <w:rFonts w:hAnsi="宋体"/>
              </w:rPr>
            </w:pPr>
          </w:p>
        </w:tc>
        <w:tc>
          <w:tcPr>
            <w:tcW w:w="427" w:type="dxa"/>
            <w:gridSpan w:val="2"/>
            <w:vMerge w:val="continue"/>
            <w:vAlign w:val="center"/>
          </w:tcPr>
          <w:p>
            <w:pPr>
              <w:pStyle w:val="40"/>
              <w:rPr>
                <w:rFonts w:hAnsi="宋体"/>
              </w:rPr>
            </w:pPr>
          </w:p>
        </w:tc>
        <w:tc>
          <w:tcPr>
            <w:tcW w:w="499" w:type="dxa"/>
            <w:vAlign w:val="center"/>
          </w:tcPr>
          <w:p>
            <w:pPr>
              <w:pStyle w:val="40"/>
            </w:pPr>
            <w:r>
              <w:rPr>
                <w:rFonts w:hint="eastAsia"/>
              </w:rPr>
              <w:t>粪便</w:t>
            </w:r>
            <w:r>
              <w:t>堆存</w:t>
            </w:r>
          </w:p>
        </w:tc>
        <w:tc>
          <w:tcPr>
            <w:tcW w:w="5011" w:type="dxa"/>
            <w:vAlign w:val="center"/>
          </w:tcPr>
          <w:p>
            <w:pPr>
              <w:pStyle w:val="40"/>
            </w:pPr>
            <w:r>
              <w:rPr>
                <w:rFonts w:hint="eastAsia"/>
              </w:rPr>
              <w:t>设置</w:t>
            </w:r>
            <w:r>
              <w:t>堆粪棚，</w:t>
            </w:r>
            <w:r>
              <w:rPr>
                <w:rFonts w:hint="eastAsia"/>
              </w:rPr>
              <w:t>喷洒</w:t>
            </w:r>
            <w:r>
              <w:t>除臭剂，</w:t>
            </w:r>
            <w:r>
              <w:rPr>
                <w:rFonts w:hint="eastAsia"/>
              </w:rPr>
              <w:t>夏季</w:t>
            </w:r>
            <w:r>
              <w:t>及时清运</w:t>
            </w:r>
          </w:p>
        </w:tc>
        <w:tc>
          <w:tcPr>
            <w:tcW w:w="1065" w:type="dxa"/>
            <w:vAlign w:val="center"/>
          </w:tcPr>
          <w:p>
            <w:pPr>
              <w:pStyle w:val="40"/>
              <w:rPr>
                <w:rFonts w:hAnsi="宋体"/>
              </w:rPr>
            </w:pPr>
            <w:r>
              <w:rPr>
                <w:rFonts w:hint="eastAsia" w:hAnsi="宋体"/>
              </w:rPr>
              <w:t>堆粪棚未建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663" w:type="dxa"/>
            <w:vMerge w:val="continue"/>
            <w:vAlign w:val="center"/>
          </w:tcPr>
          <w:p>
            <w:pPr>
              <w:pStyle w:val="40"/>
              <w:rPr>
                <w:rFonts w:hAnsi="宋体"/>
              </w:rPr>
            </w:pPr>
          </w:p>
        </w:tc>
        <w:tc>
          <w:tcPr>
            <w:tcW w:w="427" w:type="dxa"/>
            <w:gridSpan w:val="2"/>
            <w:vMerge w:val="continue"/>
            <w:vAlign w:val="center"/>
          </w:tcPr>
          <w:p>
            <w:pPr>
              <w:pStyle w:val="40"/>
              <w:rPr>
                <w:rFonts w:hAnsi="宋体"/>
              </w:rPr>
            </w:pPr>
          </w:p>
        </w:tc>
        <w:tc>
          <w:tcPr>
            <w:tcW w:w="499" w:type="dxa"/>
            <w:vAlign w:val="center"/>
          </w:tcPr>
          <w:p>
            <w:pPr>
              <w:pStyle w:val="40"/>
              <w:rPr>
                <w:rFonts w:hAnsi="宋体"/>
              </w:rPr>
            </w:pPr>
            <w:r>
              <w:rPr>
                <w:rFonts w:hint="eastAsia" w:hAnsi="宋体"/>
              </w:rPr>
              <w:t>粪污处理</w:t>
            </w:r>
          </w:p>
        </w:tc>
        <w:tc>
          <w:tcPr>
            <w:tcW w:w="5011" w:type="dxa"/>
            <w:vAlign w:val="center"/>
          </w:tcPr>
          <w:p>
            <w:pPr>
              <w:pStyle w:val="40"/>
              <w:rPr>
                <w:rFonts w:hAnsi="宋体"/>
                <w:szCs w:val="21"/>
                <w:highlight w:val="yellow"/>
              </w:rPr>
            </w:pPr>
            <w:r>
              <w:rPr>
                <w:rFonts w:hint="eastAsia"/>
              </w:rPr>
              <w:t>池体密闭</w:t>
            </w:r>
            <w:r>
              <w:t>，</w:t>
            </w:r>
            <w:r>
              <w:rPr>
                <w:rFonts w:hAnsi="宋体"/>
                <w:szCs w:val="21"/>
              </w:rPr>
              <w:t>喷洒除臭剂</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663" w:type="dxa"/>
            <w:vMerge w:val="restart"/>
            <w:vAlign w:val="center"/>
          </w:tcPr>
          <w:p>
            <w:pPr>
              <w:pStyle w:val="40"/>
              <w:rPr>
                <w:rFonts w:hAnsi="宋体"/>
              </w:rPr>
            </w:pPr>
            <w:r>
              <w:rPr>
                <w:rFonts w:hint="eastAsia" w:hAnsi="宋体"/>
              </w:rPr>
              <w:t>废水</w:t>
            </w:r>
          </w:p>
        </w:tc>
        <w:tc>
          <w:tcPr>
            <w:tcW w:w="926" w:type="dxa"/>
            <w:gridSpan w:val="3"/>
            <w:vAlign w:val="center"/>
          </w:tcPr>
          <w:p>
            <w:pPr>
              <w:pStyle w:val="40"/>
            </w:pPr>
            <w:r>
              <w:rPr>
                <w:rFonts w:hint="eastAsia"/>
              </w:rPr>
              <w:t>生活</w:t>
            </w:r>
          </w:p>
          <w:p>
            <w:pPr>
              <w:pStyle w:val="40"/>
            </w:pPr>
            <w:r>
              <w:rPr>
                <w:rFonts w:hint="eastAsia"/>
              </w:rPr>
              <w:t>污水</w:t>
            </w:r>
          </w:p>
        </w:tc>
        <w:tc>
          <w:tcPr>
            <w:tcW w:w="5011" w:type="dxa"/>
            <w:vAlign w:val="center"/>
          </w:tcPr>
          <w:p>
            <w:pPr>
              <w:pStyle w:val="40"/>
              <w:rPr>
                <w:highlight w:val="yellow"/>
              </w:rPr>
            </w:pPr>
            <w:r>
              <w:rPr>
                <w:rFonts w:hint="eastAsia"/>
              </w:rPr>
              <w:t>化粪池容积</w:t>
            </w:r>
            <w:r>
              <w:t>10</w:t>
            </w:r>
            <w:r>
              <w:rPr>
                <w:rFonts w:hint="eastAsia"/>
              </w:rPr>
              <w:t>m</w:t>
            </w:r>
            <w:r>
              <w:rPr>
                <w:rFonts w:hint="eastAsia"/>
                <w:vertAlign w:val="superscript"/>
              </w:rPr>
              <w:t>3</w:t>
            </w:r>
            <w:r>
              <w:rPr>
                <w:rFonts w:hint="eastAsia"/>
              </w:rPr>
              <w:t>，处理后排入污水处理系统</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rPr>
                <w:rFonts w:hAnsi="宋体"/>
              </w:rPr>
            </w:pPr>
          </w:p>
        </w:tc>
        <w:tc>
          <w:tcPr>
            <w:tcW w:w="663" w:type="dxa"/>
            <w:vMerge w:val="continue"/>
            <w:vAlign w:val="center"/>
          </w:tcPr>
          <w:p>
            <w:pPr>
              <w:pStyle w:val="40"/>
              <w:rPr>
                <w:rFonts w:hAnsi="宋体"/>
              </w:rPr>
            </w:pPr>
          </w:p>
        </w:tc>
        <w:tc>
          <w:tcPr>
            <w:tcW w:w="926" w:type="dxa"/>
            <w:gridSpan w:val="3"/>
            <w:vAlign w:val="center"/>
          </w:tcPr>
          <w:p>
            <w:pPr>
              <w:pStyle w:val="40"/>
              <w:rPr>
                <w:rFonts w:hAnsi="宋体"/>
              </w:rPr>
            </w:pPr>
            <w:r>
              <w:rPr>
                <w:rFonts w:hint="eastAsia" w:hAnsi="宋体"/>
              </w:rPr>
              <w:t>养殖</w:t>
            </w:r>
          </w:p>
          <w:p>
            <w:pPr>
              <w:pStyle w:val="40"/>
              <w:rPr>
                <w:rFonts w:hAnsi="宋体"/>
              </w:rPr>
            </w:pPr>
            <w:r>
              <w:rPr>
                <w:rFonts w:hint="eastAsia" w:hAnsi="宋体"/>
              </w:rPr>
              <w:t>废水</w:t>
            </w:r>
          </w:p>
        </w:tc>
        <w:tc>
          <w:tcPr>
            <w:tcW w:w="5011" w:type="dxa"/>
            <w:vAlign w:val="center"/>
          </w:tcPr>
          <w:p>
            <w:pPr>
              <w:pStyle w:val="40"/>
            </w:pPr>
            <w:r>
              <w:rPr>
                <w:rFonts w:hint="eastAsia"/>
              </w:rPr>
              <w:t>经</w:t>
            </w:r>
            <w:r>
              <w:t>集</w:t>
            </w:r>
            <w:r>
              <w:rPr>
                <w:rFonts w:hint="eastAsia"/>
              </w:rPr>
              <w:t>粪</w:t>
            </w:r>
            <w:r>
              <w:t>池</w:t>
            </w:r>
            <w:r>
              <w:rPr>
                <w:rFonts w:hint="eastAsia"/>
              </w:rPr>
              <w:t>+固液</w:t>
            </w:r>
            <w:r>
              <w:t>分离</w:t>
            </w:r>
            <w:r>
              <w:rPr>
                <w:rFonts w:hint="eastAsia"/>
              </w:rPr>
              <w:t>+厌氧</w:t>
            </w:r>
            <w:r>
              <w:t>发酵池</w:t>
            </w:r>
            <w:r>
              <w:rPr>
                <w:rFonts w:hint="eastAsia"/>
              </w:rPr>
              <w:t>+沼液</w:t>
            </w:r>
            <w:r>
              <w:t>暂存池处理后</w:t>
            </w:r>
            <w:r>
              <w:rPr>
                <w:rFonts w:hint="eastAsia"/>
              </w:rPr>
              <w:t>用于魔芋、林果等种植地</w:t>
            </w:r>
            <w:r>
              <w:t>施肥；并配套建设</w:t>
            </w:r>
            <w:r>
              <w:rPr>
                <w:rFonts w:hint="eastAsia"/>
              </w:rPr>
              <w:t>沼液</w:t>
            </w:r>
            <w:r>
              <w:t>输送管网约5</w:t>
            </w:r>
            <w:r>
              <w:rPr>
                <w:rFonts w:hint="eastAsia"/>
              </w:rPr>
              <w:t>00</w:t>
            </w:r>
            <w:r>
              <w:t>m</w:t>
            </w:r>
          </w:p>
        </w:tc>
        <w:tc>
          <w:tcPr>
            <w:tcW w:w="1065" w:type="dxa"/>
            <w:vAlign w:val="center"/>
          </w:tcPr>
          <w:p>
            <w:pPr>
              <w:pStyle w:val="40"/>
              <w:rPr>
                <w:rFonts w:hAnsi="宋体"/>
                <w:b/>
              </w:rPr>
            </w:pPr>
            <w:r>
              <w:rPr>
                <w:rFonts w:hint="eastAsia" w:hAnsi="宋体"/>
                <w:b/>
              </w:rPr>
              <w:t>沼液</w:t>
            </w:r>
            <w:r>
              <w:rPr>
                <w:rFonts w:hAnsi="宋体"/>
                <w:b/>
              </w:rPr>
              <w:t>暂存池未建</w:t>
            </w:r>
            <w:r>
              <w:rPr>
                <w:rFonts w:hint="eastAsia" w:hAnsi="宋体"/>
                <w:b/>
              </w:rPr>
              <w:t>，</w:t>
            </w:r>
            <w:r>
              <w:rPr>
                <w:rFonts w:hAnsi="宋体"/>
                <w:b/>
              </w:rPr>
              <w:t>其余已建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663" w:type="dxa"/>
            <w:vAlign w:val="center"/>
          </w:tcPr>
          <w:p>
            <w:pPr>
              <w:pStyle w:val="40"/>
            </w:pPr>
            <w:r>
              <w:rPr>
                <w:rFonts w:hAnsi="宋体"/>
              </w:rPr>
              <w:t>噪声</w:t>
            </w:r>
          </w:p>
        </w:tc>
        <w:tc>
          <w:tcPr>
            <w:tcW w:w="926" w:type="dxa"/>
            <w:gridSpan w:val="3"/>
            <w:vAlign w:val="center"/>
          </w:tcPr>
          <w:p>
            <w:pPr>
              <w:pStyle w:val="40"/>
            </w:pPr>
            <w:r>
              <w:rPr>
                <w:rFonts w:hint="eastAsia"/>
              </w:rPr>
              <w:t>设备</w:t>
            </w:r>
          </w:p>
        </w:tc>
        <w:tc>
          <w:tcPr>
            <w:tcW w:w="5011" w:type="dxa"/>
            <w:vAlign w:val="center"/>
          </w:tcPr>
          <w:p>
            <w:pPr>
              <w:pStyle w:val="40"/>
            </w:pPr>
            <w:r>
              <w:rPr>
                <w:rFonts w:hAnsi="宋体"/>
              </w:rPr>
              <w:t>选用低噪声设备，基础安装减振垫，隔声等措施</w:t>
            </w:r>
          </w:p>
        </w:tc>
        <w:tc>
          <w:tcPr>
            <w:tcW w:w="1065" w:type="dxa"/>
            <w:vAlign w:val="center"/>
          </w:tcPr>
          <w:p>
            <w:pPr>
              <w:pStyle w:val="40"/>
              <w:rPr>
                <w:rFonts w:hAnsi="宋体"/>
              </w:rPr>
            </w:pPr>
            <w:r>
              <w:rPr>
                <w:rFonts w:hint="eastAsia" w:hAnsi="宋体"/>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663" w:type="dxa"/>
            <w:vMerge w:val="restart"/>
            <w:vAlign w:val="center"/>
          </w:tcPr>
          <w:p>
            <w:pPr>
              <w:pStyle w:val="40"/>
            </w:pPr>
            <w:r>
              <w:rPr>
                <w:rFonts w:hAnsi="宋体"/>
              </w:rPr>
              <w:t>固废</w:t>
            </w:r>
          </w:p>
        </w:tc>
        <w:tc>
          <w:tcPr>
            <w:tcW w:w="926" w:type="dxa"/>
            <w:gridSpan w:val="3"/>
            <w:vAlign w:val="center"/>
          </w:tcPr>
          <w:p>
            <w:pPr>
              <w:pStyle w:val="40"/>
              <w:rPr>
                <w:szCs w:val="21"/>
              </w:rPr>
            </w:pPr>
            <w:r>
              <w:rPr>
                <w:rFonts w:hAnsi="宋体"/>
                <w:szCs w:val="21"/>
              </w:rPr>
              <w:t>猪粪</w:t>
            </w:r>
          </w:p>
        </w:tc>
        <w:tc>
          <w:tcPr>
            <w:tcW w:w="5011" w:type="dxa"/>
            <w:vAlign w:val="center"/>
          </w:tcPr>
          <w:p>
            <w:pPr>
              <w:pStyle w:val="40"/>
              <w:rPr>
                <w:rFonts w:hAnsi="宋体"/>
                <w:szCs w:val="21"/>
              </w:rPr>
            </w:pPr>
            <w:r>
              <w:rPr>
                <w:rFonts w:hAnsi="宋体"/>
                <w:szCs w:val="21"/>
              </w:rPr>
              <w:t>采用干清粪工艺，</w:t>
            </w:r>
            <w:r>
              <w:rPr>
                <w:rFonts w:hint="eastAsia" w:hAnsi="宋体"/>
                <w:szCs w:val="21"/>
              </w:rPr>
              <w:t>固液</w:t>
            </w:r>
            <w:r>
              <w:rPr>
                <w:rFonts w:hAnsi="宋体"/>
                <w:szCs w:val="21"/>
              </w:rPr>
              <w:t>分离</w:t>
            </w:r>
            <w:r>
              <w:rPr>
                <w:rFonts w:hint="eastAsia" w:hAnsi="宋体"/>
                <w:szCs w:val="21"/>
              </w:rPr>
              <w:t>并在</w:t>
            </w:r>
            <w:r>
              <w:rPr>
                <w:rFonts w:hAnsi="宋体"/>
                <w:szCs w:val="21"/>
              </w:rPr>
              <w:t>堆粪棚晾晒后的</w:t>
            </w:r>
            <w:r>
              <w:rPr>
                <w:rFonts w:hint="eastAsia" w:hAnsi="宋体"/>
                <w:szCs w:val="21"/>
              </w:rPr>
              <w:t>干</w:t>
            </w:r>
            <w:r>
              <w:rPr>
                <w:rFonts w:hAnsi="宋体"/>
                <w:szCs w:val="21"/>
              </w:rPr>
              <w:t>粪（</w:t>
            </w:r>
            <w:r>
              <w:rPr>
                <w:rFonts w:hint="eastAsia" w:hAnsi="宋体"/>
                <w:szCs w:val="21"/>
              </w:rPr>
              <w:t>袋装</w:t>
            </w:r>
            <w:r>
              <w:rPr>
                <w:rFonts w:hAnsi="宋体"/>
                <w:szCs w:val="21"/>
              </w:rPr>
              <w:t>）</w:t>
            </w:r>
            <w:r>
              <w:rPr>
                <w:rFonts w:hint="eastAsia" w:hAnsi="宋体"/>
                <w:szCs w:val="21"/>
              </w:rPr>
              <w:t>作为有机肥</w:t>
            </w:r>
            <w:r>
              <w:rPr>
                <w:rFonts w:hAnsi="宋体"/>
                <w:szCs w:val="21"/>
              </w:rPr>
              <w:t>生产原料外售。</w:t>
            </w:r>
          </w:p>
        </w:tc>
        <w:tc>
          <w:tcPr>
            <w:tcW w:w="1065" w:type="dxa"/>
            <w:vAlign w:val="center"/>
          </w:tcPr>
          <w:p>
            <w:pPr>
              <w:pStyle w:val="40"/>
              <w:rPr>
                <w:rFonts w:hAnsi="宋体"/>
              </w:rPr>
            </w:pPr>
            <w:r>
              <w:rPr>
                <w:rFonts w:hint="eastAsia" w:hAnsi="宋体"/>
              </w:rPr>
              <w:t>堆粪棚</w:t>
            </w:r>
            <w:r>
              <w:rPr>
                <w:rFonts w:hAnsi="宋体"/>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663" w:type="dxa"/>
            <w:vMerge w:val="continue"/>
            <w:vAlign w:val="center"/>
          </w:tcPr>
          <w:p>
            <w:pPr>
              <w:pStyle w:val="40"/>
            </w:pPr>
          </w:p>
        </w:tc>
        <w:tc>
          <w:tcPr>
            <w:tcW w:w="926" w:type="dxa"/>
            <w:gridSpan w:val="3"/>
            <w:vAlign w:val="center"/>
          </w:tcPr>
          <w:p>
            <w:pPr>
              <w:pStyle w:val="40"/>
              <w:rPr>
                <w:szCs w:val="21"/>
              </w:rPr>
            </w:pPr>
            <w:r>
              <w:rPr>
                <w:rFonts w:hAnsi="宋体"/>
                <w:szCs w:val="21"/>
              </w:rPr>
              <w:t>病死猪、分娩废物</w:t>
            </w:r>
          </w:p>
        </w:tc>
        <w:tc>
          <w:tcPr>
            <w:tcW w:w="5011" w:type="dxa"/>
            <w:vAlign w:val="center"/>
          </w:tcPr>
          <w:p>
            <w:pPr>
              <w:pStyle w:val="40"/>
              <w:rPr>
                <w:szCs w:val="21"/>
              </w:rPr>
            </w:pPr>
            <w:r>
              <w:rPr>
                <w:rFonts w:hint="eastAsia" w:hAnsi="宋体"/>
                <w:szCs w:val="21"/>
              </w:rPr>
              <w:t>设置</w:t>
            </w:r>
            <w:r>
              <w:rPr>
                <w:rFonts w:hAnsi="宋体"/>
                <w:szCs w:val="21"/>
              </w:rPr>
              <w:t>安全填埋井</w:t>
            </w:r>
            <w:r>
              <w:rPr>
                <w:rFonts w:hint="eastAsia" w:hAnsi="宋体"/>
                <w:szCs w:val="21"/>
              </w:rPr>
              <w:t>2个</w:t>
            </w:r>
            <w:r>
              <w:rPr>
                <w:rFonts w:hAnsi="宋体"/>
                <w:szCs w:val="21"/>
              </w:rPr>
              <w:t>，</w:t>
            </w:r>
            <w:r>
              <w:rPr>
                <w:rFonts w:hint="eastAsia" w:hAnsi="宋体"/>
                <w:szCs w:val="21"/>
              </w:rPr>
              <w:t>填埋井直径3</w:t>
            </w:r>
            <w:r>
              <w:rPr>
                <w:rFonts w:hAnsi="宋体"/>
                <w:szCs w:val="21"/>
              </w:rPr>
              <w:t>m</w:t>
            </w:r>
            <w:r>
              <w:rPr>
                <w:rFonts w:hint="eastAsia" w:hAnsi="宋体"/>
                <w:szCs w:val="21"/>
              </w:rPr>
              <w:t>，</w:t>
            </w:r>
            <w:r>
              <w:rPr>
                <w:rFonts w:hAnsi="宋体"/>
                <w:szCs w:val="21"/>
              </w:rPr>
              <w:t>井</w:t>
            </w:r>
            <w:r>
              <w:rPr>
                <w:rFonts w:hint="eastAsia" w:hAnsi="宋体"/>
                <w:szCs w:val="21"/>
              </w:rPr>
              <w:t>深</w:t>
            </w:r>
            <w:r>
              <w:rPr>
                <w:rFonts w:hint="eastAsia"/>
                <w:szCs w:val="21"/>
              </w:rPr>
              <w:t>5m，位于危废暂存间南侧</w:t>
            </w:r>
          </w:p>
        </w:tc>
        <w:tc>
          <w:tcPr>
            <w:tcW w:w="1065" w:type="dxa"/>
            <w:vAlign w:val="center"/>
          </w:tcPr>
          <w:p>
            <w:pPr>
              <w:pStyle w:val="40"/>
              <w:rPr>
                <w:rFonts w:hAnsi="宋体"/>
                <w:b/>
              </w:rPr>
            </w:pPr>
            <w:r>
              <w:rPr>
                <w:rFonts w:hint="eastAsia" w:hAnsi="宋体"/>
                <w:b/>
              </w:rPr>
              <w:t>已建成1个</w:t>
            </w:r>
            <w:r>
              <w:rPr>
                <w:rFonts w:hAnsi="宋体"/>
                <w:b/>
              </w:rPr>
              <w:t>，</w:t>
            </w:r>
            <w:r>
              <w:rPr>
                <w:rFonts w:hint="eastAsia" w:hAnsi="宋体"/>
                <w:b/>
              </w:rPr>
              <w:t>1个</w:t>
            </w:r>
            <w:r>
              <w:rPr>
                <w:rFonts w:hAnsi="宋体"/>
                <w:b/>
              </w:rPr>
              <w:t>未</w:t>
            </w:r>
            <w:r>
              <w:rPr>
                <w:rFonts w:hint="eastAsia" w:hAnsi="宋体"/>
                <w:b/>
              </w:rPr>
              <w:t>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663" w:type="dxa"/>
            <w:vMerge w:val="continue"/>
            <w:vAlign w:val="center"/>
          </w:tcPr>
          <w:p>
            <w:pPr>
              <w:pStyle w:val="40"/>
            </w:pPr>
          </w:p>
        </w:tc>
        <w:tc>
          <w:tcPr>
            <w:tcW w:w="926" w:type="dxa"/>
            <w:gridSpan w:val="3"/>
            <w:vAlign w:val="center"/>
          </w:tcPr>
          <w:p>
            <w:pPr>
              <w:pStyle w:val="40"/>
              <w:rPr>
                <w:rFonts w:hAnsi="宋体"/>
                <w:szCs w:val="21"/>
              </w:rPr>
            </w:pPr>
            <w:r>
              <w:rPr>
                <w:rFonts w:hint="eastAsia" w:hAnsi="宋体"/>
                <w:szCs w:val="21"/>
              </w:rPr>
              <w:t>医疗</w:t>
            </w:r>
          </w:p>
          <w:p>
            <w:pPr>
              <w:pStyle w:val="40"/>
              <w:rPr>
                <w:szCs w:val="21"/>
                <w:highlight w:val="yellow"/>
              </w:rPr>
            </w:pPr>
            <w:r>
              <w:rPr>
                <w:rFonts w:hint="eastAsia" w:hAnsi="宋体"/>
                <w:szCs w:val="21"/>
              </w:rPr>
              <w:t>废物</w:t>
            </w:r>
          </w:p>
        </w:tc>
        <w:tc>
          <w:tcPr>
            <w:tcW w:w="5011" w:type="dxa"/>
            <w:vAlign w:val="center"/>
          </w:tcPr>
          <w:p>
            <w:pPr>
              <w:pStyle w:val="40"/>
              <w:rPr>
                <w:szCs w:val="21"/>
              </w:rPr>
            </w:pPr>
            <w:r>
              <w:rPr>
                <w:rFonts w:hAnsi="宋体"/>
                <w:szCs w:val="21"/>
              </w:rPr>
              <w:t>设有一座</w:t>
            </w:r>
            <w:r>
              <w:rPr>
                <w:rFonts w:hint="eastAsia"/>
              </w:rPr>
              <w:t>10</w:t>
            </w:r>
            <w:r>
              <w:t>m</w:t>
            </w:r>
            <w:r>
              <w:rPr>
                <w:vertAlign w:val="superscript"/>
              </w:rPr>
              <w:t>2</w:t>
            </w:r>
            <w:r>
              <w:rPr>
                <w:rFonts w:hAnsi="宋体"/>
              </w:rPr>
              <w:t>的危废暂存间，暂存间进行防渗处理，定期交由有资质单位进行处置</w:t>
            </w:r>
          </w:p>
        </w:tc>
        <w:tc>
          <w:tcPr>
            <w:tcW w:w="1065" w:type="dxa"/>
            <w:vAlign w:val="center"/>
          </w:tcPr>
          <w:p>
            <w:pPr>
              <w:pStyle w:val="40"/>
              <w:rPr>
                <w:rFonts w:hAnsi="宋体"/>
                <w:b/>
              </w:rPr>
            </w:pPr>
            <w:r>
              <w:rPr>
                <w:rFonts w:hint="eastAsia" w:hAnsi="宋体"/>
                <w:b/>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663" w:type="dxa"/>
            <w:vMerge w:val="continue"/>
            <w:vAlign w:val="center"/>
          </w:tcPr>
          <w:p>
            <w:pPr>
              <w:pStyle w:val="40"/>
            </w:pPr>
          </w:p>
        </w:tc>
        <w:tc>
          <w:tcPr>
            <w:tcW w:w="926" w:type="dxa"/>
            <w:gridSpan w:val="3"/>
            <w:vAlign w:val="center"/>
          </w:tcPr>
          <w:p>
            <w:pPr>
              <w:pStyle w:val="40"/>
              <w:rPr>
                <w:szCs w:val="21"/>
                <w:highlight w:val="yellow"/>
              </w:rPr>
            </w:pPr>
            <w:r>
              <w:rPr>
                <w:rFonts w:hint="eastAsia" w:hAnsi="宋体"/>
                <w:szCs w:val="21"/>
              </w:rPr>
              <w:t>废包装材料</w:t>
            </w:r>
          </w:p>
        </w:tc>
        <w:tc>
          <w:tcPr>
            <w:tcW w:w="5011" w:type="dxa"/>
            <w:vAlign w:val="center"/>
          </w:tcPr>
          <w:p>
            <w:pPr>
              <w:pStyle w:val="40"/>
              <w:rPr>
                <w:szCs w:val="21"/>
                <w:highlight w:val="yellow"/>
              </w:rPr>
            </w:pPr>
            <w:r>
              <w:rPr>
                <w:rFonts w:hAnsi="宋体"/>
                <w:szCs w:val="21"/>
              </w:rPr>
              <w:t>由生产厂家回收</w:t>
            </w:r>
          </w:p>
        </w:tc>
        <w:tc>
          <w:tcPr>
            <w:tcW w:w="1065" w:type="dxa"/>
            <w:vAlign w:val="center"/>
          </w:tcPr>
          <w:p>
            <w:pPr>
              <w:pStyle w:val="40"/>
              <w:rPr>
                <w:rFonts w:hAnsi="宋体"/>
              </w:rPr>
            </w:pPr>
            <w:r>
              <w:rPr>
                <w:rFonts w:hint="eastAsia"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pStyle w:val="40"/>
              <w:numPr>
                <w:ilvl w:val="0"/>
                <w:numId w:val="11"/>
              </w:numPr>
            </w:pPr>
          </w:p>
        </w:tc>
        <w:tc>
          <w:tcPr>
            <w:tcW w:w="426" w:type="dxa"/>
            <w:vMerge w:val="continue"/>
            <w:vAlign w:val="center"/>
          </w:tcPr>
          <w:p>
            <w:pPr>
              <w:pStyle w:val="40"/>
            </w:pPr>
          </w:p>
        </w:tc>
        <w:tc>
          <w:tcPr>
            <w:tcW w:w="663" w:type="dxa"/>
            <w:vMerge w:val="continue"/>
            <w:vAlign w:val="center"/>
          </w:tcPr>
          <w:p>
            <w:pPr>
              <w:pStyle w:val="40"/>
            </w:pPr>
          </w:p>
        </w:tc>
        <w:tc>
          <w:tcPr>
            <w:tcW w:w="926" w:type="dxa"/>
            <w:gridSpan w:val="3"/>
            <w:vAlign w:val="center"/>
          </w:tcPr>
          <w:p>
            <w:pPr>
              <w:pStyle w:val="40"/>
              <w:rPr>
                <w:rFonts w:hAnsi="宋体"/>
                <w:szCs w:val="21"/>
              </w:rPr>
            </w:pPr>
            <w:r>
              <w:rPr>
                <w:rFonts w:hAnsi="宋体"/>
                <w:szCs w:val="21"/>
              </w:rPr>
              <w:t>生活</w:t>
            </w:r>
          </w:p>
          <w:p>
            <w:pPr>
              <w:pStyle w:val="40"/>
              <w:rPr>
                <w:szCs w:val="21"/>
              </w:rPr>
            </w:pPr>
            <w:r>
              <w:rPr>
                <w:rFonts w:hAnsi="宋体"/>
                <w:szCs w:val="21"/>
              </w:rPr>
              <w:t>垃圾</w:t>
            </w:r>
          </w:p>
        </w:tc>
        <w:tc>
          <w:tcPr>
            <w:tcW w:w="5011" w:type="dxa"/>
            <w:vAlign w:val="center"/>
          </w:tcPr>
          <w:p>
            <w:pPr>
              <w:pStyle w:val="40"/>
              <w:rPr>
                <w:szCs w:val="21"/>
              </w:rPr>
            </w:pPr>
            <w:r>
              <w:rPr>
                <w:rFonts w:hAnsi="宋体"/>
                <w:szCs w:val="21"/>
              </w:rPr>
              <w:t>办公生活区设有垃圾桶，生活垃圾收集后</w:t>
            </w:r>
            <w:r>
              <w:rPr>
                <w:rFonts w:hint="eastAsia" w:hAnsi="宋体"/>
                <w:szCs w:val="21"/>
              </w:rPr>
              <w:t>由</w:t>
            </w:r>
            <w:r>
              <w:rPr>
                <w:rFonts w:hAnsi="宋体"/>
                <w:szCs w:val="21"/>
              </w:rPr>
              <w:t>环卫部门统一清运</w:t>
            </w:r>
          </w:p>
        </w:tc>
        <w:tc>
          <w:tcPr>
            <w:tcW w:w="1065" w:type="dxa"/>
            <w:vAlign w:val="center"/>
          </w:tcPr>
          <w:p>
            <w:pPr>
              <w:pStyle w:val="40"/>
              <w:rPr>
                <w:rFonts w:hAnsi="宋体"/>
              </w:rPr>
            </w:pPr>
            <w:r>
              <w:rPr>
                <w:rFonts w:hint="eastAsia" w:hAnsi="宋体"/>
              </w:rPr>
              <w:t>/</w:t>
            </w:r>
          </w:p>
        </w:tc>
      </w:tr>
    </w:tbl>
    <w:p>
      <w:pPr>
        <w:pStyle w:val="4"/>
      </w:pPr>
      <w:r>
        <w:t>养殖规模</w:t>
      </w:r>
    </w:p>
    <w:p>
      <w:pPr>
        <w:ind w:firstLine="480"/>
      </w:pPr>
      <w:r>
        <w:t>本项目规划建设规模为年</w:t>
      </w:r>
      <w:r>
        <w:rPr>
          <w:rFonts w:hint="eastAsia"/>
        </w:rPr>
        <w:t>存</w:t>
      </w:r>
      <w:r>
        <w:t>栏</w:t>
      </w:r>
      <w:r>
        <w:rPr>
          <w:rFonts w:hint="eastAsia"/>
        </w:rPr>
        <w:t>标准化</w:t>
      </w:r>
      <w:r>
        <w:t>生</w:t>
      </w:r>
      <w:r>
        <w:rPr>
          <w:rFonts w:hint="eastAsia"/>
        </w:rPr>
        <w:t>猪5000</w:t>
      </w:r>
      <w:r>
        <w:t>头</w:t>
      </w:r>
      <w:r>
        <w:rPr>
          <w:rFonts w:hint="eastAsia"/>
        </w:rPr>
        <w:t>，年出栏数11000头</w:t>
      </w:r>
      <w:r>
        <w:t>（</w:t>
      </w:r>
      <w:r>
        <w:rPr>
          <w:rFonts w:hint="eastAsia"/>
        </w:rPr>
        <w:t>其中育肥猪8</w:t>
      </w:r>
      <w:r>
        <w:t>000</w:t>
      </w:r>
      <w:r>
        <w:rPr>
          <w:rFonts w:hint="eastAsia"/>
        </w:rPr>
        <w:t>头，保育猪3</w:t>
      </w:r>
      <w:r>
        <w:t>000</w:t>
      </w:r>
      <w:r>
        <w:rPr>
          <w:rFonts w:hint="eastAsia"/>
        </w:rPr>
        <w:t>头</w:t>
      </w:r>
      <w:r>
        <w:t>）</w:t>
      </w:r>
      <w:r>
        <w:rPr>
          <w:rFonts w:hint="eastAsia"/>
        </w:rPr>
        <w:t>，根据</w:t>
      </w:r>
      <w:r>
        <w:t>建设单位提供本项目各类猪群</w:t>
      </w:r>
      <w:r>
        <w:rPr>
          <w:rFonts w:hint="eastAsia"/>
        </w:rPr>
        <w:t>存栏</w:t>
      </w:r>
      <w:r>
        <w:t>量统计表见</w:t>
      </w:r>
      <w:r>
        <w:fldChar w:fldCharType="begin"/>
      </w:r>
      <w:r>
        <w:instrText xml:space="preserve"> REF _Ref37236917 \h  \* MERGEFORMAT </w:instrText>
      </w:r>
      <w:r>
        <w:fldChar w:fldCharType="separate"/>
      </w:r>
      <w:r>
        <w:rPr>
          <w:rFonts w:hint="eastAsia"/>
        </w:rPr>
        <w:t>表</w:t>
      </w:r>
      <w:r>
        <w:t>3.1</w:t>
      </w:r>
      <w:r>
        <w:noBreakHyphen/>
      </w:r>
      <w:r>
        <w:t>2</w:t>
      </w:r>
      <w:r>
        <w:fldChar w:fldCharType="end"/>
      </w:r>
      <w:r>
        <w:rPr>
          <w:rFonts w:hint="eastAsia"/>
        </w:rPr>
        <w:t>。</w:t>
      </w:r>
    </w:p>
    <w:p>
      <w:pPr>
        <w:pStyle w:val="85"/>
      </w:pPr>
      <w:bookmarkStart w:id="52" w:name="_Ref37236917"/>
      <w:r>
        <w:rPr>
          <w:rFonts w:hint="eastAsia"/>
        </w:rPr>
        <w:t>表</w:t>
      </w:r>
      <w:r>
        <w:fldChar w:fldCharType="begin"/>
      </w:r>
      <w:r>
        <w:rPr>
          <w:rFonts w:hint="eastAsia"/>
        </w:rPr>
        <w:instrText xml:space="preserve">STYLEREF 2 \s</w:instrText>
      </w:r>
      <w:r>
        <w:fldChar w:fldCharType="separate"/>
      </w:r>
      <w:r>
        <w:t>3.1</w:t>
      </w:r>
      <w:r>
        <w:fldChar w:fldCharType="end"/>
      </w:r>
      <w:r>
        <w:noBreakHyphen/>
      </w:r>
      <w:r>
        <w:fldChar w:fldCharType="begin"/>
      </w:r>
      <w:r>
        <w:rPr>
          <w:rFonts w:hint="eastAsia"/>
        </w:rPr>
        <w:instrText xml:space="preserve">SEQ 表 \* ARABIC \s 2</w:instrText>
      </w:r>
      <w:r>
        <w:fldChar w:fldCharType="separate"/>
      </w:r>
      <w:r>
        <w:t>2</w:t>
      </w:r>
      <w:r>
        <w:fldChar w:fldCharType="end"/>
      </w:r>
      <w:bookmarkEnd w:id="52"/>
      <w:r>
        <w:rPr>
          <w:rFonts w:hint="eastAsia"/>
        </w:rPr>
        <w:t>各类</w:t>
      </w:r>
      <w:r>
        <w:t>猪群存栏统计表</w:t>
      </w:r>
    </w:p>
    <w:tbl>
      <w:tblPr>
        <w:tblStyle w:val="27"/>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746"/>
        <w:gridCol w:w="2784"/>
        <w:gridCol w:w="1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04" w:type="dxa"/>
          </w:tcPr>
          <w:p>
            <w:pPr>
              <w:pStyle w:val="89"/>
              <w:ind w:left="115" w:right="170"/>
            </w:pPr>
            <w:r>
              <w:rPr>
                <w:rFonts w:hint="eastAsia"/>
              </w:rPr>
              <w:t>序号</w:t>
            </w:r>
          </w:p>
        </w:tc>
        <w:tc>
          <w:tcPr>
            <w:tcW w:w="2746" w:type="dxa"/>
          </w:tcPr>
          <w:p>
            <w:pPr>
              <w:pStyle w:val="89"/>
              <w:ind w:left="115" w:right="170"/>
            </w:pPr>
            <w:r>
              <w:rPr>
                <w:rFonts w:hint="eastAsia"/>
              </w:rPr>
              <w:t>种类</w:t>
            </w:r>
          </w:p>
        </w:tc>
        <w:tc>
          <w:tcPr>
            <w:tcW w:w="2784" w:type="dxa"/>
          </w:tcPr>
          <w:p>
            <w:pPr>
              <w:pStyle w:val="89"/>
              <w:ind w:left="115" w:right="170"/>
            </w:pPr>
            <w:r>
              <w:rPr>
                <w:rFonts w:hint="eastAsia"/>
              </w:rPr>
              <w:t>存栏数量</w:t>
            </w:r>
          </w:p>
        </w:tc>
        <w:tc>
          <w:tcPr>
            <w:tcW w:w="1648" w:type="dxa"/>
          </w:tcPr>
          <w:p>
            <w:pPr>
              <w:pStyle w:val="89"/>
              <w:ind w:left="115" w:right="170"/>
            </w:pPr>
            <w:r>
              <w:rPr>
                <w:rFonts w:hint="eastAsia" w:ascii="宋体" w:hAnsi="宋体" w:cs="宋体"/>
                <w:szCs w:val="21"/>
              </w:rPr>
              <w:t>年出栏量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04" w:type="dxa"/>
          </w:tcPr>
          <w:p>
            <w:pPr>
              <w:pStyle w:val="89"/>
              <w:numPr>
                <w:ilvl w:val="0"/>
                <w:numId w:val="12"/>
              </w:numPr>
              <w:ind w:left="115" w:right="170"/>
            </w:pPr>
          </w:p>
        </w:tc>
        <w:tc>
          <w:tcPr>
            <w:tcW w:w="2746" w:type="dxa"/>
            <w:vAlign w:val="center"/>
          </w:tcPr>
          <w:p>
            <w:pPr>
              <w:pStyle w:val="58"/>
              <w:ind w:firstLine="420"/>
              <w:jc w:val="center"/>
              <w:rPr>
                <w:rFonts w:ascii="Times New Roman" w:cs="Times New Roman"/>
                <w:color w:val="auto"/>
                <w:sz w:val="21"/>
                <w:szCs w:val="21"/>
              </w:rPr>
            </w:pPr>
            <w:r>
              <w:rPr>
                <w:rFonts w:ascii="Times New Roman" w:cs="Times New Roman"/>
                <w:color w:val="auto"/>
                <w:sz w:val="21"/>
                <w:szCs w:val="21"/>
              </w:rPr>
              <w:t>妊娠母猪</w:t>
            </w:r>
          </w:p>
        </w:tc>
        <w:tc>
          <w:tcPr>
            <w:tcW w:w="2784" w:type="dxa"/>
            <w:vAlign w:val="center"/>
          </w:tcPr>
          <w:p>
            <w:pPr>
              <w:pStyle w:val="58"/>
              <w:jc w:val="center"/>
              <w:rPr>
                <w:rFonts w:ascii="Times New Roman" w:cs="Times New Roman"/>
                <w:color w:val="auto"/>
                <w:sz w:val="21"/>
                <w:szCs w:val="21"/>
              </w:rPr>
            </w:pPr>
            <w:r>
              <w:rPr>
                <w:rFonts w:hint="eastAsia" w:ascii="Times New Roman" w:cs="Times New Roman"/>
                <w:color w:val="auto"/>
                <w:sz w:val="21"/>
                <w:szCs w:val="21"/>
              </w:rPr>
              <w:t>300头</w:t>
            </w:r>
          </w:p>
        </w:tc>
        <w:tc>
          <w:tcPr>
            <w:tcW w:w="1648" w:type="dxa"/>
          </w:tcPr>
          <w:p>
            <w:pPr>
              <w:pStyle w:val="89"/>
              <w:ind w:left="115" w:right="17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04" w:type="dxa"/>
          </w:tcPr>
          <w:p>
            <w:pPr>
              <w:pStyle w:val="89"/>
              <w:numPr>
                <w:ilvl w:val="0"/>
                <w:numId w:val="12"/>
              </w:numPr>
              <w:ind w:left="115" w:right="170"/>
            </w:pPr>
          </w:p>
        </w:tc>
        <w:tc>
          <w:tcPr>
            <w:tcW w:w="2746" w:type="dxa"/>
            <w:vAlign w:val="center"/>
          </w:tcPr>
          <w:p>
            <w:pPr>
              <w:pStyle w:val="58"/>
              <w:ind w:firstLine="420"/>
              <w:jc w:val="center"/>
              <w:rPr>
                <w:rFonts w:ascii="Times New Roman" w:cs="Times New Roman"/>
                <w:color w:val="auto"/>
                <w:sz w:val="21"/>
                <w:szCs w:val="21"/>
              </w:rPr>
            </w:pPr>
            <w:r>
              <w:rPr>
                <w:rFonts w:ascii="Times New Roman" w:cs="Times New Roman"/>
                <w:color w:val="auto"/>
                <w:sz w:val="21"/>
                <w:szCs w:val="21"/>
              </w:rPr>
              <w:t>哺乳母猪</w:t>
            </w:r>
          </w:p>
        </w:tc>
        <w:tc>
          <w:tcPr>
            <w:tcW w:w="2784" w:type="dxa"/>
            <w:vAlign w:val="center"/>
          </w:tcPr>
          <w:p>
            <w:pPr>
              <w:pStyle w:val="58"/>
              <w:jc w:val="center"/>
              <w:rPr>
                <w:rFonts w:ascii="Times New Roman" w:cs="Times New Roman"/>
                <w:color w:val="auto"/>
                <w:sz w:val="21"/>
                <w:szCs w:val="21"/>
              </w:rPr>
            </w:pPr>
            <w:r>
              <w:rPr>
                <w:rFonts w:hint="eastAsia" w:ascii="Times New Roman" w:cs="Times New Roman"/>
                <w:color w:val="auto"/>
                <w:sz w:val="21"/>
                <w:szCs w:val="21"/>
              </w:rPr>
              <w:t>250头</w:t>
            </w:r>
          </w:p>
        </w:tc>
        <w:tc>
          <w:tcPr>
            <w:tcW w:w="1648" w:type="dxa"/>
          </w:tcPr>
          <w:p>
            <w:pPr>
              <w:pStyle w:val="89"/>
              <w:ind w:left="115" w:right="17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04" w:type="dxa"/>
          </w:tcPr>
          <w:p>
            <w:pPr>
              <w:pStyle w:val="89"/>
              <w:numPr>
                <w:ilvl w:val="0"/>
                <w:numId w:val="12"/>
              </w:numPr>
              <w:ind w:left="115" w:right="170"/>
            </w:pPr>
          </w:p>
        </w:tc>
        <w:tc>
          <w:tcPr>
            <w:tcW w:w="2746" w:type="dxa"/>
            <w:vAlign w:val="center"/>
          </w:tcPr>
          <w:p>
            <w:pPr>
              <w:pStyle w:val="58"/>
              <w:ind w:firstLine="420"/>
              <w:jc w:val="center"/>
              <w:rPr>
                <w:rFonts w:ascii="Times New Roman" w:cs="Times New Roman"/>
                <w:color w:val="auto"/>
                <w:sz w:val="21"/>
                <w:szCs w:val="21"/>
              </w:rPr>
            </w:pPr>
            <w:r>
              <w:rPr>
                <w:rFonts w:ascii="Times New Roman" w:cs="Times New Roman"/>
                <w:color w:val="auto"/>
                <w:sz w:val="21"/>
                <w:szCs w:val="21"/>
              </w:rPr>
              <w:t>空怀母猪</w:t>
            </w:r>
          </w:p>
        </w:tc>
        <w:tc>
          <w:tcPr>
            <w:tcW w:w="2784" w:type="dxa"/>
            <w:vAlign w:val="center"/>
          </w:tcPr>
          <w:p>
            <w:pPr>
              <w:pStyle w:val="58"/>
              <w:jc w:val="center"/>
              <w:rPr>
                <w:rFonts w:ascii="Times New Roman" w:cs="Times New Roman"/>
                <w:color w:val="auto"/>
                <w:sz w:val="21"/>
                <w:szCs w:val="21"/>
              </w:rPr>
            </w:pPr>
            <w:r>
              <w:rPr>
                <w:rFonts w:hint="eastAsia" w:ascii="Times New Roman" w:cs="Times New Roman"/>
                <w:color w:val="auto"/>
                <w:sz w:val="21"/>
                <w:szCs w:val="21"/>
              </w:rPr>
              <w:t>50头</w:t>
            </w:r>
          </w:p>
        </w:tc>
        <w:tc>
          <w:tcPr>
            <w:tcW w:w="1648" w:type="dxa"/>
          </w:tcPr>
          <w:p>
            <w:pPr>
              <w:pStyle w:val="89"/>
              <w:ind w:left="115" w:right="17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04" w:type="dxa"/>
          </w:tcPr>
          <w:p>
            <w:pPr>
              <w:pStyle w:val="89"/>
              <w:numPr>
                <w:ilvl w:val="0"/>
                <w:numId w:val="12"/>
              </w:numPr>
              <w:ind w:left="115" w:right="170"/>
            </w:pPr>
          </w:p>
        </w:tc>
        <w:tc>
          <w:tcPr>
            <w:tcW w:w="2746" w:type="dxa"/>
            <w:vAlign w:val="center"/>
          </w:tcPr>
          <w:p>
            <w:pPr>
              <w:pStyle w:val="58"/>
              <w:ind w:firstLine="420"/>
              <w:jc w:val="center"/>
              <w:rPr>
                <w:rFonts w:ascii="Times New Roman" w:cs="Times New Roman"/>
                <w:color w:val="auto"/>
                <w:sz w:val="21"/>
                <w:szCs w:val="21"/>
              </w:rPr>
            </w:pPr>
            <w:r>
              <w:rPr>
                <w:rFonts w:ascii="Times New Roman" w:cs="Times New Roman"/>
                <w:color w:val="auto"/>
                <w:sz w:val="21"/>
                <w:szCs w:val="21"/>
              </w:rPr>
              <w:t>公猪</w:t>
            </w:r>
          </w:p>
        </w:tc>
        <w:tc>
          <w:tcPr>
            <w:tcW w:w="2784" w:type="dxa"/>
            <w:vAlign w:val="center"/>
          </w:tcPr>
          <w:p>
            <w:pPr>
              <w:pStyle w:val="58"/>
              <w:jc w:val="center"/>
              <w:rPr>
                <w:rFonts w:ascii="Times New Roman" w:cs="Times New Roman"/>
                <w:color w:val="auto"/>
                <w:sz w:val="21"/>
                <w:szCs w:val="21"/>
              </w:rPr>
            </w:pPr>
            <w:r>
              <w:rPr>
                <w:rFonts w:hint="eastAsia" w:ascii="Times New Roman" w:cs="Times New Roman"/>
                <w:color w:val="auto"/>
                <w:sz w:val="21"/>
                <w:szCs w:val="21"/>
              </w:rPr>
              <w:t>8头</w:t>
            </w:r>
          </w:p>
        </w:tc>
        <w:tc>
          <w:tcPr>
            <w:tcW w:w="1648" w:type="dxa"/>
          </w:tcPr>
          <w:p>
            <w:pPr>
              <w:pStyle w:val="89"/>
              <w:ind w:left="115" w:right="17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04" w:type="dxa"/>
          </w:tcPr>
          <w:p>
            <w:pPr>
              <w:pStyle w:val="89"/>
              <w:numPr>
                <w:ilvl w:val="0"/>
                <w:numId w:val="12"/>
              </w:numPr>
              <w:ind w:left="115" w:right="170"/>
            </w:pPr>
          </w:p>
        </w:tc>
        <w:tc>
          <w:tcPr>
            <w:tcW w:w="2746" w:type="dxa"/>
            <w:vAlign w:val="center"/>
          </w:tcPr>
          <w:p>
            <w:pPr>
              <w:pStyle w:val="58"/>
              <w:ind w:firstLine="420"/>
              <w:jc w:val="center"/>
              <w:rPr>
                <w:rFonts w:ascii="Times New Roman" w:cs="Times New Roman"/>
                <w:color w:val="auto"/>
                <w:sz w:val="21"/>
                <w:szCs w:val="21"/>
              </w:rPr>
            </w:pPr>
            <w:r>
              <w:rPr>
                <w:rFonts w:hint="eastAsia" w:ascii="Times New Roman" w:cs="Times New Roman"/>
                <w:color w:val="auto"/>
                <w:sz w:val="21"/>
                <w:szCs w:val="21"/>
              </w:rPr>
              <w:t>育肥猪</w:t>
            </w:r>
          </w:p>
        </w:tc>
        <w:tc>
          <w:tcPr>
            <w:tcW w:w="2784" w:type="dxa"/>
            <w:vAlign w:val="center"/>
          </w:tcPr>
          <w:p>
            <w:pPr>
              <w:pStyle w:val="58"/>
              <w:jc w:val="center"/>
              <w:rPr>
                <w:rFonts w:ascii="Times New Roman" w:cs="Times New Roman"/>
                <w:color w:val="auto"/>
                <w:sz w:val="21"/>
                <w:szCs w:val="21"/>
              </w:rPr>
            </w:pPr>
            <w:r>
              <w:rPr>
                <w:rFonts w:ascii="Times New Roman" w:cs="Times New Roman"/>
                <w:color w:val="auto"/>
                <w:sz w:val="21"/>
                <w:szCs w:val="21"/>
              </w:rPr>
              <w:t>3200</w:t>
            </w:r>
            <w:r>
              <w:rPr>
                <w:rFonts w:hint="eastAsia" w:ascii="Times New Roman" w:cs="Times New Roman"/>
                <w:color w:val="auto"/>
                <w:sz w:val="21"/>
                <w:szCs w:val="21"/>
              </w:rPr>
              <w:t>头</w:t>
            </w:r>
          </w:p>
        </w:tc>
        <w:tc>
          <w:tcPr>
            <w:tcW w:w="1648" w:type="dxa"/>
            <w:vAlign w:val="center"/>
          </w:tcPr>
          <w:p>
            <w:pPr>
              <w:pStyle w:val="89"/>
              <w:tabs>
                <w:tab w:val="center" w:pos="1276"/>
                <w:tab w:val="right" w:pos="2553"/>
              </w:tabs>
              <w:ind w:left="115" w:right="170"/>
            </w:pPr>
            <w:r>
              <w:rPr>
                <w:szCs w:val="21"/>
              </w:rPr>
              <w:t>8000</w:t>
            </w:r>
            <w:r>
              <w:rPr>
                <w:rFonts w:hAnsi="宋体"/>
                <w:szCs w:val="21"/>
              </w:rPr>
              <w:t>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04" w:type="dxa"/>
          </w:tcPr>
          <w:p>
            <w:pPr>
              <w:pStyle w:val="89"/>
              <w:numPr>
                <w:ilvl w:val="0"/>
                <w:numId w:val="12"/>
              </w:numPr>
              <w:ind w:left="115" w:right="170"/>
            </w:pPr>
          </w:p>
        </w:tc>
        <w:tc>
          <w:tcPr>
            <w:tcW w:w="2746" w:type="dxa"/>
            <w:vAlign w:val="center"/>
          </w:tcPr>
          <w:p>
            <w:pPr>
              <w:pStyle w:val="58"/>
              <w:ind w:firstLine="420"/>
              <w:jc w:val="center"/>
              <w:rPr>
                <w:rFonts w:ascii="Times New Roman" w:cs="Times New Roman"/>
                <w:color w:val="auto"/>
                <w:sz w:val="21"/>
                <w:szCs w:val="21"/>
              </w:rPr>
            </w:pPr>
            <w:r>
              <w:rPr>
                <w:rFonts w:ascii="Times New Roman" w:cs="Times New Roman"/>
                <w:color w:val="auto"/>
                <w:sz w:val="21"/>
                <w:szCs w:val="21"/>
              </w:rPr>
              <w:t>保育猪</w:t>
            </w:r>
          </w:p>
        </w:tc>
        <w:tc>
          <w:tcPr>
            <w:tcW w:w="2784" w:type="dxa"/>
            <w:vAlign w:val="center"/>
          </w:tcPr>
          <w:p>
            <w:pPr>
              <w:pStyle w:val="58"/>
              <w:jc w:val="center"/>
              <w:rPr>
                <w:rFonts w:ascii="Times New Roman" w:cs="Times New Roman"/>
                <w:color w:val="auto"/>
                <w:sz w:val="21"/>
                <w:szCs w:val="21"/>
              </w:rPr>
            </w:pPr>
            <w:r>
              <w:rPr>
                <w:rFonts w:ascii="Times New Roman" w:cs="Times New Roman"/>
                <w:color w:val="auto"/>
                <w:sz w:val="21"/>
                <w:szCs w:val="21"/>
              </w:rPr>
              <w:t>1192</w:t>
            </w:r>
            <w:r>
              <w:rPr>
                <w:rFonts w:hint="eastAsia" w:ascii="Times New Roman" w:cs="Times New Roman"/>
                <w:color w:val="auto"/>
                <w:sz w:val="21"/>
                <w:szCs w:val="21"/>
              </w:rPr>
              <w:t>头</w:t>
            </w:r>
          </w:p>
        </w:tc>
        <w:tc>
          <w:tcPr>
            <w:tcW w:w="1648" w:type="dxa"/>
            <w:vAlign w:val="center"/>
          </w:tcPr>
          <w:p>
            <w:pPr>
              <w:pStyle w:val="89"/>
              <w:tabs>
                <w:tab w:val="center" w:pos="1276"/>
                <w:tab w:val="right" w:pos="2553"/>
              </w:tabs>
              <w:ind w:left="115" w:right="170"/>
            </w:pPr>
            <w:r>
              <w:t>3000</w:t>
            </w:r>
            <w:r>
              <w:rPr>
                <w:rFonts w:hint="eastAsia"/>
              </w:rPr>
              <w:t>头</w:t>
            </w:r>
          </w:p>
        </w:tc>
      </w:tr>
    </w:tbl>
    <w:p>
      <w:pPr>
        <w:pStyle w:val="4"/>
      </w:pPr>
      <w:r>
        <w:t>生产设备</w:t>
      </w:r>
    </w:p>
    <w:p>
      <w:pPr>
        <w:ind w:firstLine="480"/>
      </w:pPr>
      <w:r>
        <w:t>本项目生产设备详见表3.1-3。</w:t>
      </w:r>
    </w:p>
    <w:p>
      <w:pPr>
        <w:pStyle w:val="85"/>
      </w:pPr>
    </w:p>
    <w:p>
      <w:pPr>
        <w:pStyle w:val="85"/>
      </w:pPr>
      <w:r>
        <w:rPr>
          <w:rFonts w:hint="eastAsia"/>
        </w:rPr>
        <w:t>表</w:t>
      </w:r>
      <w:r>
        <w:fldChar w:fldCharType="begin"/>
      </w:r>
      <w:r>
        <w:rPr>
          <w:rFonts w:hint="eastAsia"/>
        </w:rPr>
        <w:instrText xml:space="preserve">STYLEREF 2 \s</w:instrText>
      </w:r>
      <w:r>
        <w:fldChar w:fldCharType="separate"/>
      </w:r>
      <w:r>
        <w:t>3.1</w:t>
      </w:r>
      <w:r>
        <w:fldChar w:fldCharType="end"/>
      </w:r>
      <w:r>
        <w:noBreakHyphen/>
      </w:r>
      <w:r>
        <w:fldChar w:fldCharType="begin"/>
      </w:r>
      <w:r>
        <w:rPr>
          <w:rFonts w:hint="eastAsia"/>
        </w:rPr>
        <w:instrText xml:space="preserve">SEQ 表 \* ARABIC \s 2</w:instrText>
      </w:r>
      <w:r>
        <w:fldChar w:fldCharType="separate"/>
      </w:r>
      <w:r>
        <w:t>3</w:t>
      </w:r>
      <w:r>
        <w:fldChar w:fldCharType="end"/>
      </w:r>
      <w:r>
        <w:t>项目主要设备一览表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5"/>
        <w:gridCol w:w="1625"/>
        <w:gridCol w:w="2173"/>
        <w:gridCol w:w="2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87" w:type="dxa"/>
            <w:vAlign w:val="center"/>
          </w:tcPr>
          <w:p>
            <w:pPr>
              <w:pStyle w:val="40"/>
            </w:pPr>
            <w:r>
              <w:rPr>
                <w:rFonts w:hAnsi="宋体"/>
              </w:rPr>
              <w:t>序号</w:t>
            </w:r>
          </w:p>
        </w:tc>
        <w:tc>
          <w:tcPr>
            <w:tcW w:w="1625" w:type="dxa"/>
            <w:vAlign w:val="center"/>
          </w:tcPr>
          <w:p>
            <w:pPr>
              <w:pStyle w:val="40"/>
            </w:pPr>
            <w:r>
              <w:rPr>
                <w:rFonts w:hAnsi="宋体"/>
              </w:rPr>
              <w:t>名称</w:t>
            </w:r>
          </w:p>
        </w:tc>
        <w:tc>
          <w:tcPr>
            <w:tcW w:w="1625" w:type="dxa"/>
            <w:vAlign w:val="center"/>
          </w:tcPr>
          <w:p>
            <w:pPr>
              <w:pStyle w:val="40"/>
            </w:pPr>
            <w:r>
              <w:rPr>
                <w:rFonts w:hAnsi="宋体"/>
              </w:rPr>
              <w:t>单位</w:t>
            </w:r>
          </w:p>
        </w:tc>
        <w:tc>
          <w:tcPr>
            <w:tcW w:w="2173" w:type="dxa"/>
            <w:vAlign w:val="center"/>
          </w:tcPr>
          <w:p>
            <w:pPr>
              <w:pStyle w:val="40"/>
            </w:pPr>
            <w:r>
              <w:rPr>
                <w:rFonts w:hAnsi="宋体"/>
              </w:rPr>
              <w:t>数量</w:t>
            </w:r>
          </w:p>
        </w:tc>
        <w:tc>
          <w:tcPr>
            <w:tcW w:w="2172" w:type="dxa"/>
            <w:vAlign w:val="center"/>
          </w:tcPr>
          <w:p>
            <w:pPr>
              <w:pStyle w:val="40"/>
              <w:rPr>
                <w:rFonts w:hAnsi="宋体"/>
              </w:rPr>
            </w:pPr>
            <w:r>
              <w:rPr>
                <w:rFonts w:hint="eastAsia" w:hAnsi="宋体"/>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t>1</w:t>
            </w:r>
          </w:p>
        </w:tc>
        <w:tc>
          <w:tcPr>
            <w:tcW w:w="1625" w:type="dxa"/>
            <w:vAlign w:val="center"/>
          </w:tcPr>
          <w:p>
            <w:pPr>
              <w:spacing w:line="240" w:lineRule="auto"/>
              <w:ind w:firstLine="0" w:firstLineChars="0"/>
              <w:jc w:val="center"/>
              <w:rPr>
                <w:sz w:val="21"/>
                <w:szCs w:val="21"/>
              </w:rPr>
            </w:pPr>
            <w:r>
              <w:rPr>
                <w:sz w:val="21"/>
                <w:szCs w:val="21"/>
              </w:rPr>
              <w:t>产床</w:t>
            </w:r>
          </w:p>
        </w:tc>
        <w:tc>
          <w:tcPr>
            <w:tcW w:w="1625" w:type="dxa"/>
            <w:vAlign w:val="center"/>
          </w:tcPr>
          <w:p>
            <w:pPr>
              <w:spacing w:line="240" w:lineRule="auto"/>
              <w:ind w:firstLine="0" w:firstLineChars="0"/>
              <w:jc w:val="center"/>
              <w:rPr>
                <w:sz w:val="21"/>
                <w:szCs w:val="21"/>
              </w:rPr>
            </w:pPr>
            <w:r>
              <w:rPr>
                <w:sz w:val="21"/>
                <w:szCs w:val="21"/>
              </w:rPr>
              <w:t>套</w:t>
            </w:r>
          </w:p>
        </w:tc>
        <w:tc>
          <w:tcPr>
            <w:tcW w:w="2173" w:type="dxa"/>
            <w:vAlign w:val="center"/>
          </w:tcPr>
          <w:p>
            <w:pPr>
              <w:spacing w:line="240" w:lineRule="auto"/>
              <w:ind w:firstLine="0" w:firstLineChars="0"/>
              <w:jc w:val="center"/>
              <w:rPr>
                <w:sz w:val="21"/>
                <w:szCs w:val="21"/>
              </w:rPr>
            </w:pPr>
            <w:r>
              <w:rPr>
                <w:rFonts w:hint="eastAsia"/>
                <w:sz w:val="21"/>
                <w:szCs w:val="21"/>
              </w:rPr>
              <w:t>128</w:t>
            </w:r>
          </w:p>
        </w:tc>
        <w:tc>
          <w:tcPr>
            <w:tcW w:w="2172" w:type="dxa"/>
            <w:vAlign w:val="center"/>
          </w:tcPr>
          <w:p>
            <w:pPr>
              <w:spacing w:line="240" w:lineRule="auto"/>
              <w:ind w:firstLine="0" w:firstLineChars="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t>2</w:t>
            </w:r>
          </w:p>
        </w:tc>
        <w:tc>
          <w:tcPr>
            <w:tcW w:w="1625" w:type="dxa"/>
            <w:vAlign w:val="center"/>
          </w:tcPr>
          <w:p>
            <w:pPr>
              <w:spacing w:line="240" w:lineRule="auto"/>
              <w:ind w:firstLine="0" w:firstLineChars="0"/>
              <w:jc w:val="center"/>
              <w:rPr>
                <w:sz w:val="21"/>
                <w:szCs w:val="21"/>
              </w:rPr>
            </w:pPr>
            <w:r>
              <w:rPr>
                <w:sz w:val="21"/>
                <w:szCs w:val="21"/>
              </w:rPr>
              <w:t>定位栏</w:t>
            </w:r>
          </w:p>
        </w:tc>
        <w:tc>
          <w:tcPr>
            <w:tcW w:w="1625" w:type="dxa"/>
            <w:vAlign w:val="center"/>
          </w:tcPr>
          <w:p>
            <w:pPr>
              <w:spacing w:line="240" w:lineRule="auto"/>
              <w:ind w:firstLine="0" w:firstLineChars="0"/>
              <w:jc w:val="center"/>
              <w:rPr>
                <w:sz w:val="21"/>
                <w:szCs w:val="21"/>
              </w:rPr>
            </w:pPr>
            <w:r>
              <w:rPr>
                <w:sz w:val="21"/>
                <w:szCs w:val="21"/>
              </w:rPr>
              <w:t>套</w:t>
            </w:r>
          </w:p>
        </w:tc>
        <w:tc>
          <w:tcPr>
            <w:tcW w:w="2173" w:type="dxa"/>
            <w:vAlign w:val="center"/>
          </w:tcPr>
          <w:p>
            <w:pPr>
              <w:spacing w:line="240" w:lineRule="auto"/>
              <w:ind w:firstLine="0" w:firstLineChars="0"/>
              <w:jc w:val="center"/>
              <w:rPr>
                <w:sz w:val="21"/>
                <w:szCs w:val="21"/>
              </w:rPr>
            </w:pPr>
            <w:r>
              <w:rPr>
                <w:rFonts w:hint="eastAsia"/>
                <w:sz w:val="21"/>
                <w:szCs w:val="21"/>
              </w:rPr>
              <w:t>300</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t>3</w:t>
            </w:r>
          </w:p>
        </w:tc>
        <w:tc>
          <w:tcPr>
            <w:tcW w:w="1625" w:type="dxa"/>
            <w:vAlign w:val="center"/>
          </w:tcPr>
          <w:p>
            <w:pPr>
              <w:spacing w:line="240" w:lineRule="auto"/>
              <w:ind w:firstLine="0" w:firstLineChars="0"/>
              <w:jc w:val="center"/>
              <w:rPr>
                <w:sz w:val="21"/>
                <w:szCs w:val="21"/>
              </w:rPr>
            </w:pPr>
            <w:r>
              <w:rPr>
                <w:sz w:val="21"/>
                <w:szCs w:val="21"/>
              </w:rPr>
              <w:t>智能饮水系统</w:t>
            </w:r>
          </w:p>
        </w:tc>
        <w:tc>
          <w:tcPr>
            <w:tcW w:w="1625" w:type="dxa"/>
            <w:vAlign w:val="center"/>
          </w:tcPr>
          <w:p>
            <w:pPr>
              <w:spacing w:line="240" w:lineRule="auto"/>
              <w:ind w:firstLine="0" w:firstLineChars="0"/>
              <w:jc w:val="center"/>
              <w:rPr>
                <w:sz w:val="21"/>
                <w:szCs w:val="21"/>
              </w:rPr>
            </w:pPr>
            <w:r>
              <w:rPr>
                <w:sz w:val="21"/>
                <w:szCs w:val="21"/>
              </w:rPr>
              <w:t>套</w:t>
            </w:r>
          </w:p>
        </w:tc>
        <w:tc>
          <w:tcPr>
            <w:tcW w:w="2173" w:type="dxa"/>
            <w:vAlign w:val="center"/>
          </w:tcPr>
          <w:p>
            <w:pPr>
              <w:spacing w:line="240" w:lineRule="auto"/>
              <w:ind w:firstLine="0" w:firstLineChars="0"/>
              <w:jc w:val="center"/>
              <w:rPr>
                <w:sz w:val="21"/>
                <w:szCs w:val="21"/>
              </w:rPr>
            </w:pPr>
            <w:r>
              <w:rPr>
                <w:rFonts w:hint="eastAsia"/>
                <w:sz w:val="21"/>
                <w:szCs w:val="21"/>
              </w:rPr>
              <w:t>5000</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t>4</w:t>
            </w:r>
          </w:p>
        </w:tc>
        <w:tc>
          <w:tcPr>
            <w:tcW w:w="1625" w:type="dxa"/>
            <w:vAlign w:val="center"/>
          </w:tcPr>
          <w:p>
            <w:pPr>
              <w:spacing w:line="240" w:lineRule="auto"/>
              <w:ind w:firstLine="0" w:firstLineChars="0"/>
              <w:jc w:val="center"/>
              <w:rPr>
                <w:sz w:val="21"/>
                <w:szCs w:val="21"/>
              </w:rPr>
            </w:pPr>
            <w:r>
              <w:rPr>
                <w:sz w:val="21"/>
                <w:szCs w:val="21"/>
              </w:rPr>
              <w:t>人工授精设备</w:t>
            </w:r>
          </w:p>
        </w:tc>
        <w:tc>
          <w:tcPr>
            <w:tcW w:w="1625" w:type="dxa"/>
            <w:vAlign w:val="center"/>
          </w:tcPr>
          <w:p>
            <w:pPr>
              <w:spacing w:line="240" w:lineRule="auto"/>
              <w:ind w:firstLine="0" w:firstLineChars="0"/>
              <w:jc w:val="center"/>
              <w:rPr>
                <w:sz w:val="21"/>
                <w:szCs w:val="21"/>
              </w:rPr>
            </w:pPr>
            <w:r>
              <w:rPr>
                <w:sz w:val="21"/>
                <w:szCs w:val="21"/>
              </w:rPr>
              <w:t>套</w:t>
            </w:r>
          </w:p>
        </w:tc>
        <w:tc>
          <w:tcPr>
            <w:tcW w:w="2173" w:type="dxa"/>
            <w:vAlign w:val="center"/>
          </w:tcPr>
          <w:p>
            <w:pPr>
              <w:spacing w:line="240" w:lineRule="auto"/>
              <w:ind w:firstLine="0" w:firstLineChars="0"/>
              <w:jc w:val="center"/>
              <w:rPr>
                <w:sz w:val="21"/>
                <w:szCs w:val="21"/>
              </w:rPr>
            </w:pPr>
            <w:r>
              <w:rPr>
                <w:rFonts w:hint="eastAsia"/>
                <w:sz w:val="21"/>
                <w:szCs w:val="21"/>
              </w:rPr>
              <w:t>全套</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t>5</w:t>
            </w:r>
          </w:p>
        </w:tc>
        <w:tc>
          <w:tcPr>
            <w:tcW w:w="1625" w:type="dxa"/>
            <w:vAlign w:val="center"/>
          </w:tcPr>
          <w:p>
            <w:pPr>
              <w:spacing w:line="240" w:lineRule="auto"/>
              <w:ind w:firstLine="0" w:firstLineChars="0"/>
              <w:jc w:val="center"/>
              <w:rPr>
                <w:sz w:val="21"/>
                <w:szCs w:val="21"/>
              </w:rPr>
            </w:pPr>
            <w:r>
              <w:rPr>
                <w:sz w:val="21"/>
                <w:szCs w:val="21"/>
              </w:rPr>
              <w:t>防疫检验设备</w:t>
            </w:r>
          </w:p>
        </w:tc>
        <w:tc>
          <w:tcPr>
            <w:tcW w:w="1625" w:type="dxa"/>
            <w:vAlign w:val="center"/>
          </w:tcPr>
          <w:p>
            <w:pPr>
              <w:spacing w:line="240" w:lineRule="auto"/>
              <w:ind w:firstLine="0" w:firstLineChars="0"/>
              <w:jc w:val="center"/>
              <w:rPr>
                <w:sz w:val="21"/>
                <w:szCs w:val="21"/>
              </w:rPr>
            </w:pPr>
            <w:r>
              <w:rPr>
                <w:sz w:val="21"/>
                <w:szCs w:val="21"/>
              </w:rPr>
              <w:t>套</w:t>
            </w:r>
          </w:p>
        </w:tc>
        <w:tc>
          <w:tcPr>
            <w:tcW w:w="2173" w:type="dxa"/>
            <w:vAlign w:val="center"/>
          </w:tcPr>
          <w:p>
            <w:pPr>
              <w:spacing w:line="240" w:lineRule="auto"/>
              <w:ind w:firstLine="0" w:firstLineChars="0"/>
              <w:jc w:val="center"/>
              <w:rPr>
                <w:sz w:val="21"/>
                <w:szCs w:val="21"/>
              </w:rPr>
            </w:pPr>
            <w:r>
              <w:rPr>
                <w:rFonts w:hint="eastAsia"/>
                <w:sz w:val="21"/>
                <w:szCs w:val="21"/>
              </w:rPr>
              <w:t>全套</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t>6</w:t>
            </w:r>
          </w:p>
        </w:tc>
        <w:tc>
          <w:tcPr>
            <w:tcW w:w="1625" w:type="dxa"/>
            <w:vAlign w:val="center"/>
          </w:tcPr>
          <w:p>
            <w:pPr>
              <w:spacing w:line="240" w:lineRule="auto"/>
              <w:ind w:firstLine="0" w:firstLineChars="0"/>
              <w:jc w:val="center"/>
              <w:rPr>
                <w:sz w:val="21"/>
                <w:szCs w:val="21"/>
              </w:rPr>
            </w:pPr>
            <w:r>
              <w:rPr>
                <w:rFonts w:hint="eastAsia"/>
                <w:sz w:val="21"/>
                <w:szCs w:val="21"/>
              </w:rPr>
              <w:t>通风机</w:t>
            </w:r>
          </w:p>
        </w:tc>
        <w:tc>
          <w:tcPr>
            <w:tcW w:w="1625" w:type="dxa"/>
            <w:vAlign w:val="center"/>
          </w:tcPr>
          <w:p>
            <w:pPr>
              <w:spacing w:line="240" w:lineRule="auto"/>
              <w:ind w:firstLine="0" w:firstLineChars="0"/>
              <w:jc w:val="center"/>
              <w:rPr>
                <w:sz w:val="21"/>
                <w:szCs w:val="21"/>
              </w:rPr>
            </w:pPr>
            <w:r>
              <w:rPr>
                <w:rFonts w:hint="eastAsia"/>
                <w:sz w:val="21"/>
                <w:szCs w:val="21"/>
              </w:rPr>
              <w:t>个</w:t>
            </w:r>
          </w:p>
        </w:tc>
        <w:tc>
          <w:tcPr>
            <w:tcW w:w="2173" w:type="dxa"/>
            <w:vAlign w:val="center"/>
          </w:tcPr>
          <w:p>
            <w:pPr>
              <w:spacing w:line="240" w:lineRule="auto"/>
              <w:ind w:firstLine="0" w:firstLineChars="0"/>
              <w:jc w:val="center"/>
              <w:rPr>
                <w:sz w:val="21"/>
                <w:szCs w:val="21"/>
              </w:rPr>
            </w:pPr>
            <w:r>
              <w:rPr>
                <w:rFonts w:hint="eastAsia"/>
                <w:sz w:val="21"/>
                <w:szCs w:val="21"/>
              </w:rPr>
              <w:t>80</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t>7</w:t>
            </w:r>
          </w:p>
        </w:tc>
        <w:tc>
          <w:tcPr>
            <w:tcW w:w="1625" w:type="dxa"/>
            <w:vAlign w:val="center"/>
          </w:tcPr>
          <w:p>
            <w:pPr>
              <w:spacing w:line="240" w:lineRule="auto"/>
              <w:ind w:firstLine="0" w:firstLineChars="0"/>
              <w:jc w:val="center"/>
              <w:rPr>
                <w:sz w:val="21"/>
                <w:szCs w:val="21"/>
              </w:rPr>
            </w:pPr>
            <w:r>
              <w:rPr>
                <w:sz w:val="21"/>
                <w:szCs w:val="21"/>
              </w:rPr>
              <w:t>监控系统</w:t>
            </w:r>
          </w:p>
        </w:tc>
        <w:tc>
          <w:tcPr>
            <w:tcW w:w="1625" w:type="dxa"/>
            <w:vAlign w:val="center"/>
          </w:tcPr>
          <w:p>
            <w:pPr>
              <w:spacing w:line="240" w:lineRule="auto"/>
              <w:ind w:firstLine="0" w:firstLineChars="0"/>
              <w:jc w:val="center"/>
              <w:rPr>
                <w:sz w:val="21"/>
                <w:szCs w:val="21"/>
              </w:rPr>
            </w:pPr>
            <w:r>
              <w:rPr>
                <w:sz w:val="21"/>
                <w:szCs w:val="21"/>
              </w:rPr>
              <w:t>套</w:t>
            </w:r>
          </w:p>
        </w:tc>
        <w:tc>
          <w:tcPr>
            <w:tcW w:w="2173" w:type="dxa"/>
            <w:vAlign w:val="center"/>
          </w:tcPr>
          <w:p>
            <w:pPr>
              <w:spacing w:line="240" w:lineRule="auto"/>
              <w:ind w:firstLine="0" w:firstLineChars="0"/>
              <w:jc w:val="center"/>
              <w:rPr>
                <w:sz w:val="21"/>
                <w:szCs w:val="21"/>
              </w:rPr>
            </w:pPr>
            <w:r>
              <w:rPr>
                <w:rFonts w:hint="eastAsia"/>
                <w:sz w:val="21"/>
                <w:szCs w:val="21"/>
              </w:rPr>
              <w:t>全套</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8</w:t>
            </w:r>
          </w:p>
        </w:tc>
        <w:tc>
          <w:tcPr>
            <w:tcW w:w="1625" w:type="dxa"/>
            <w:vAlign w:val="center"/>
          </w:tcPr>
          <w:p>
            <w:pPr>
              <w:spacing w:line="240" w:lineRule="auto"/>
              <w:ind w:firstLine="0" w:firstLineChars="0"/>
              <w:jc w:val="center"/>
              <w:rPr>
                <w:sz w:val="21"/>
                <w:szCs w:val="21"/>
              </w:rPr>
            </w:pPr>
            <w:r>
              <w:rPr>
                <w:sz w:val="21"/>
                <w:szCs w:val="21"/>
              </w:rPr>
              <w:t>变压器</w:t>
            </w:r>
          </w:p>
        </w:tc>
        <w:tc>
          <w:tcPr>
            <w:tcW w:w="1625" w:type="dxa"/>
            <w:vAlign w:val="center"/>
          </w:tcPr>
          <w:p>
            <w:pPr>
              <w:spacing w:line="240" w:lineRule="auto"/>
              <w:ind w:firstLine="0" w:firstLineChars="0"/>
              <w:jc w:val="center"/>
              <w:rPr>
                <w:sz w:val="21"/>
                <w:szCs w:val="21"/>
              </w:rPr>
            </w:pPr>
            <w:r>
              <w:rPr>
                <w:sz w:val="21"/>
                <w:szCs w:val="21"/>
              </w:rPr>
              <w:t>台</w:t>
            </w:r>
          </w:p>
        </w:tc>
        <w:tc>
          <w:tcPr>
            <w:tcW w:w="2173" w:type="dxa"/>
            <w:vAlign w:val="center"/>
          </w:tcPr>
          <w:p>
            <w:pPr>
              <w:spacing w:line="240" w:lineRule="auto"/>
              <w:ind w:firstLine="0" w:firstLineChars="0"/>
              <w:jc w:val="center"/>
              <w:rPr>
                <w:sz w:val="21"/>
                <w:szCs w:val="21"/>
              </w:rPr>
            </w:pPr>
            <w:r>
              <w:rPr>
                <w:rFonts w:hint="eastAsia"/>
                <w:sz w:val="21"/>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9</w:t>
            </w:r>
          </w:p>
        </w:tc>
        <w:tc>
          <w:tcPr>
            <w:tcW w:w="1625" w:type="dxa"/>
            <w:vAlign w:val="center"/>
          </w:tcPr>
          <w:p>
            <w:pPr>
              <w:spacing w:line="240" w:lineRule="auto"/>
              <w:ind w:firstLine="0" w:firstLineChars="0"/>
              <w:jc w:val="center"/>
              <w:rPr>
                <w:sz w:val="21"/>
                <w:szCs w:val="21"/>
              </w:rPr>
            </w:pPr>
            <w:r>
              <w:rPr>
                <w:sz w:val="21"/>
                <w:szCs w:val="21"/>
              </w:rPr>
              <w:t>地磅</w:t>
            </w:r>
          </w:p>
        </w:tc>
        <w:tc>
          <w:tcPr>
            <w:tcW w:w="1625" w:type="dxa"/>
            <w:vAlign w:val="center"/>
          </w:tcPr>
          <w:p>
            <w:pPr>
              <w:spacing w:line="240" w:lineRule="auto"/>
              <w:ind w:firstLine="0" w:firstLineChars="0"/>
              <w:jc w:val="center"/>
              <w:rPr>
                <w:sz w:val="21"/>
                <w:szCs w:val="21"/>
              </w:rPr>
            </w:pPr>
            <w:r>
              <w:rPr>
                <w:sz w:val="21"/>
                <w:szCs w:val="21"/>
              </w:rPr>
              <w:t>台</w:t>
            </w:r>
          </w:p>
        </w:tc>
        <w:tc>
          <w:tcPr>
            <w:tcW w:w="2173" w:type="dxa"/>
            <w:vAlign w:val="center"/>
          </w:tcPr>
          <w:p>
            <w:pPr>
              <w:spacing w:line="240" w:lineRule="auto"/>
              <w:ind w:firstLine="0" w:firstLineChars="0"/>
              <w:jc w:val="center"/>
              <w:rPr>
                <w:sz w:val="21"/>
                <w:szCs w:val="21"/>
              </w:rPr>
            </w:pPr>
            <w:r>
              <w:rPr>
                <w:rFonts w:hint="eastAsia"/>
                <w:sz w:val="21"/>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10</w:t>
            </w:r>
          </w:p>
        </w:tc>
        <w:tc>
          <w:tcPr>
            <w:tcW w:w="1625" w:type="dxa"/>
            <w:vAlign w:val="center"/>
          </w:tcPr>
          <w:p>
            <w:pPr>
              <w:spacing w:line="240" w:lineRule="auto"/>
              <w:ind w:firstLine="0" w:firstLineChars="0"/>
              <w:jc w:val="center"/>
              <w:rPr>
                <w:sz w:val="21"/>
                <w:szCs w:val="21"/>
              </w:rPr>
            </w:pPr>
            <w:r>
              <w:rPr>
                <w:rFonts w:hint="eastAsia"/>
                <w:sz w:val="21"/>
                <w:szCs w:val="21"/>
              </w:rPr>
              <w:t>干湿</w:t>
            </w:r>
            <w:r>
              <w:rPr>
                <w:sz w:val="21"/>
                <w:szCs w:val="21"/>
              </w:rPr>
              <w:t>分离</w:t>
            </w:r>
            <w:r>
              <w:rPr>
                <w:rFonts w:hint="eastAsia"/>
                <w:sz w:val="21"/>
                <w:szCs w:val="21"/>
              </w:rPr>
              <w:t>机</w:t>
            </w:r>
          </w:p>
        </w:tc>
        <w:tc>
          <w:tcPr>
            <w:tcW w:w="1625" w:type="dxa"/>
            <w:vAlign w:val="center"/>
          </w:tcPr>
          <w:p>
            <w:pPr>
              <w:spacing w:line="240" w:lineRule="auto"/>
              <w:ind w:firstLine="0" w:firstLineChars="0"/>
              <w:jc w:val="center"/>
              <w:rPr>
                <w:sz w:val="21"/>
                <w:szCs w:val="21"/>
              </w:rPr>
            </w:pPr>
            <w:r>
              <w:rPr>
                <w:sz w:val="21"/>
                <w:szCs w:val="21"/>
              </w:rPr>
              <w:t>套</w:t>
            </w:r>
          </w:p>
        </w:tc>
        <w:tc>
          <w:tcPr>
            <w:tcW w:w="2173" w:type="dxa"/>
            <w:vAlign w:val="center"/>
          </w:tcPr>
          <w:p>
            <w:pPr>
              <w:spacing w:line="240" w:lineRule="auto"/>
              <w:ind w:firstLine="0" w:firstLineChars="0"/>
              <w:jc w:val="center"/>
              <w:rPr>
                <w:sz w:val="21"/>
                <w:szCs w:val="21"/>
              </w:rPr>
            </w:pPr>
            <w:r>
              <w:rPr>
                <w:sz w:val="21"/>
                <w:szCs w:val="21"/>
              </w:rPr>
              <w:t>1</w:t>
            </w:r>
          </w:p>
        </w:tc>
        <w:tc>
          <w:tcPr>
            <w:tcW w:w="2172" w:type="dxa"/>
            <w:vAlign w:val="center"/>
          </w:tcPr>
          <w:p>
            <w:pPr>
              <w:spacing w:line="240" w:lineRule="auto"/>
              <w:ind w:firstLine="0" w:firstLineChars="0"/>
              <w:jc w:val="center"/>
              <w:rPr>
                <w:sz w:val="21"/>
                <w:szCs w:val="21"/>
              </w:rPr>
            </w:pPr>
            <w:r>
              <w:rPr>
                <w:rFonts w:hint="eastAsia"/>
                <w:sz w:val="21"/>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11</w:t>
            </w:r>
          </w:p>
        </w:tc>
        <w:tc>
          <w:tcPr>
            <w:tcW w:w="1625" w:type="dxa"/>
            <w:vAlign w:val="center"/>
          </w:tcPr>
          <w:p>
            <w:pPr>
              <w:pStyle w:val="40"/>
            </w:pPr>
            <w:r>
              <w:rPr>
                <w:rFonts w:hint="eastAsia"/>
              </w:rPr>
              <w:t>厂内排污管道</w:t>
            </w:r>
          </w:p>
        </w:tc>
        <w:tc>
          <w:tcPr>
            <w:tcW w:w="1625" w:type="dxa"/>
            <w:vAlign w:val="center"/>
          </w:tcPr>
          <w:p>
            <w:pPr>
              <w:pStyle w:val="40"/>
            </w:pPr>
            <w:r>
              <w:rPr>
                <w:rFonts w:hint="eastAsia"/>
              </w:rPr>
              <w:t>m</w:t>
            </w:r>
          </w:p>
        </w:tc>
        <w:tc>
          <w:tcPr>
            <w:tcW w:w="2173" w:type="dxa"/>
            <w:vAlign w:val="center"/>
          </w:tcPr>
          <w:p>
            <w:pPr>
              <w:pStyle w:val="40"/>
            </w:pPr>
            <w:r>
              <w:rPr>
                <w:rFonts w:hint="eastAsia"/>
              </w:rPr>
              <w:t>500</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12</w:t>
            </w:r>
          </w:p>
        </w:tc>
        <w:tc>
          <w:tcPr>
            <w:tcW w:w="1625" w:type="dxa"/>
            <w:vAlign w:val="center"/>
          </w:tcPr>
          <w:p>
            <w:pPr>
              <w:spacing w:line="240" w:lineRule="auto"/>
              <w:ind w:firstLine="0" w:firstLineChars="0"/>
              <w:jc w:val="center"/>
              <w:rPr>
                <w:sz w:val="21"/>
                <w:szCs w:val="21"/>
              </w:rPr>
            </w:pPr>
            <w:r>
              <w:rPr>
                <w:sz w:val="21"/>
                <w:szCs w:val="21"/>
              </w:rPr>
              <w:t>饲料筒仓</w:t>
            </w:r>
          </w:p>
        </w:tc>
        <w:tc>
          <w:tcPr>
            <w:tcW w:w="1625" w:type="dxa"/>
            <w:vAlign w:val="center"/>
          </w:tcPr>
          <w:p>
            <w:pPr>
              <w:pStyle w:val="40"/>
            </w:pPr>
            <w:r>
              <w:rPr>
                <w:rFonts w:hint="eastAsia"/>
              </w:rPr>
              <w:t>个</w:t>
            </w:r>
          </w:p>
        </w:tc>
        <w:tc>
          <w:tcPr>
            <w:tcW w:w="2173" w:type="dxa"/>
            <w:vAlign w:val="center"/>
          </w:tcPr>
          <w:p>
            <w:pPr>
              <w:pStyle w:val="40"/>
            </w:pPr>
            <w:r>
              <w:rPr>
                <w:rFonts w:hint="eastAsia"/>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13</w:t>
            </w:r>
          </w:p>
        </w:tc>
        <w:tc>
          <w:tcPr>
            <w:tcW w:w="1625" w:type="dxa"/>
            <w:vAlign w:val="center"/>
          </w:tcPr>
          <w:p>
            <w:pPr>
              <w:spacing w:line="240" w:lineRule="auto"/>
              <w:ind w:firstLine="0" w:firstLineChars="0"/>
              <w:jc w:val="center"/>
              <w:rPr>
                <w:sz w:val="21"/>
                <w:szCs w:val="21"/>
              </w:rPr>
            </w:pPr>
            <w:r>
              <w:rPr>
                <w:rFonts w:hint="eastAsia"/>
                <w:sz w:val="21"/>
                <w:szCs w:val="21"/>
              </w:rPr>
              <w:t>消毒设备</w:t>
            </w:r>
          </w:p>
        </w:tc>
        <w:tc>
          <w:tcPr>
            <w:tcW w:w="1625" w:type="dxa"/>
            <w:vAlign w:val="center"/>
          </w:tcPr>
          <w:p>
            <w:pPr>
              <w:pStyle w:val="40"/>
              <w:rPr>
                <w:szCs w:val="21"/>
              </w:rPr>
            </w:pPr>
            <w:r>
              <w:rPr>
                <w:szCs w:val="21"/>
              </w:rPr>
              <w:t>套</w:t>
            </w:r>
          </w:p>
        </w:tc>
        <w:tc>
          <w:tcPr>
            <w:tcW w:w="2173" w:type="dxa"/>
            <w:vAlign w:val="center"/>
          </w:tcPr>
          <w:p>
            <w:pPr>
              <w:pStyle w:val="40"/>
              <w:rPr>
                <w:szCs w:val="21"/>
              </w:rPr>
            </w:pPr>
            <w:r>
              <w:rPr>
                <w:rFonts w:hint="eastAsia"/>
                <w:szCs w:val="21"/>
              </w:rPr>
              <w:t>2</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14</w:t>
            </w:r>
          </w:p>
        </w:tc>
        <w:tc>
          <w:tcPr>
            <w:tcW w:w="1625" w:type="dxa"/>
            <w:vAlign w:val="center"/>
          </w:tcPr>
          <w:p>
            <w:pPr>
              <w:spacing w:line="240" w:lineRule="auto"/>
              <w:ind w:firstLine="0" w:firstLineChars="0"/>
              <w:jc w:val="center"/>
              <w:rPr>
                <w:sz w:val="21"/>
                <w:szCs w:val="21"/>
              </w:rPr>
            </w:pPr>
            <w:r>
              <w:rPr>
                <w:rFonts w:hint="eastAsia"/>
                <w:sz w:val="21"/>
                <w:szCs w:val="21"/>
              </w:rPr>
              <w:t>圈舍清洗设备</w:t>
            </w:r>
          </w:p>
        </w:tc>
        <w:tc>
          <w:tcPr>
            <w:tcW w:w="1625" w:type="dxa"/>
            <w:vAlign w:val="center"/>
          </w:tcPr>
          <w:p>
            <w:pPr>
              <w:pStyle w:val="40"/>
              <w:rPr>
                <w:szCs w:val="21"/>
              </w:rPr>
            </w:pPr>
            <w:r>
              <w:rPr>
                <w:szCs w:val="21"/>
              </w:rPr>
              <w:t>套</w:t>
            </w:r>
          </w:p>
        </w:tc>
        <w:tc>
          <w:tcPr>
            <w:tcW w:w="2173" w:type="dxa"/>
            <w:vAlign w:val="center"/>
          </w:tcPr>
          <w:p>
            <w:pPr>
              <w:pStyle w:val="40"/>
              <w:rPr>
                <w:szCs w:val="21"/>
              </w:rPr>
            </w:pPr>
            <w:r>
              <w:rPr>
                <w:rFonts w:hint="eastAsia"/>
                <w:szCs w:val="21"/>
              </w:rPr>
              <w:t>15</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15</w:t>
            </w:r>
          </w:p>
        </w:tc>
        <w:tc>
          <w:tcPr>
            <w:tcW w:w="1625" w:type="dxa"/>
            <w:vAlign w:val="center"/>
          </w:tcPr>
          <w:p>
            <w:pPr>
              <w:pStyle w:val="40"/>
              <w:rPr>
                <w:szCs w:val="21"/>
              </w:rPr>
            </w:pPr>
            <w:r>
              <w:rPr>
                <w:rFonts w:hint="eastAsia"/>
                <w:szCs w:val="21"/>
              </w:rPr>
              <w:t>运输车辆</w:t>
            </w:r>
          </w:p>
        </w:tc>
        <w:tc>
          <w:tcPr>
            <w:tcW w:w="1625" w:type="dxa"/>
            <w:vAlign w:val="center"/>
          </w:tcPr>
          <w:p>
            <w:pPr>
              <w:pStyle w:val="40"/>
              <w:rPr>
                <w:szCs w:val="21"/>
              </w:rPr>
            </w:pPr>
            <w:r>
              <w:rPr>
                <w:rFonts w:hint="eastAsia"/>
                <w:szCs w:val="21"/>
              </w:rPr>
              <w:t>辆</w:t>
            </w:r>
          </w:p>
        </w:tc>
        <w:tc>
          <w:tcPr>
            <w:tcW w:w="2173" w:type="dxa"/>
            <w:vAlign w:val="center"/>
          </w:tcPr>
          <w:p>
            <w:pPr>
              <w:pStyle w:val="40"/>
              <w:rPr>
                <w:szCs w:val="21"/>
              </w:rPr>
            </w:pPr>
            <w:r>
              <w:rPr>
                <w:rFonts w:hint="eastAsia"/>
                <w:szCs w:val="21"/>
              </w:rPr>
              <w:t>2</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16</w:t>
            </w:r>
          </w:p>
        </w:tc>
        <w:tc>
          <w:tcPr>
            <w:tcW w:w="1625" w:type="dxa"/>
            <w:vAlign w:val="center"/>
          </w:tcPr>
          <w:p>
            <w:pPr>
              <w:pStyle w:val="40"/>
              <w:rPr>
                <w:szCs w:val="21"/>
              </w:rPr>
            </w:pPr>
            <w:r>
              <w:rPr>
                <w:szCs w:val="21"/>
              </w:rPr>
              <w:t>仔猪摆渡车</w:t>
            </w:r>
          </w:p>
        </w:tc>
        <w:tc>
          <w:tcPr>
            <w:tcW w:w="1625" w:type="dxa"/>
            <w:vAlign w:val="center"/>
          </w:tcPr>
          <w:p>
            <w:pPr>
              <w:pStyle w:val="40"/>
              <w:rPr>
                <w:szCs w:val="21"/>
              </w:rPr>
            </w:pPr>
            <w:r>
              <w:rPr>
                <w:rFonts w:hint="eastAsia"/>
                <w:szCs w:val="21"/>
              </w:rPr>
              <w:t>辆</w:t>
            </w:r>
          </w:p>
        </w:tc>
        <w:tc>
          <w:tcPr>
            <w:tcW w:w="2173" w:type="dxa"/>
            <w:vAlign w:val="center"/>
          </w:tcPr>
          <w:p>
            <w:pPr>
              <w:pStyle w:val="40"/>
              <w:rPr>
                <w:szCs w:val="21"/>
              </w:rPr>
            </w:pPr>
            <w:r>
              <w:rPr>
                <w:rFonts w:hint="eastAsia"/>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17</w:t>
            </w:r>
          </w:p>
        </w:tc>
        <w:tc>
          <w:tcPr>
            <w:tcW w:w="1625" w:type="dxa"/>
            <w:vAlign w:val="center"/>
          </w:tcPr>
          <w:p>
            <w:pPr>
              <w:pStyle w:val="40"/>
              <w:rPr>
                <w:szCs w:val="21"/>
              </w:rPr>
            </w:pPr>
            <w:r>
              <w:rPr>
                <w:rFonts w:hint="eastAsia"/>
                <w:szCs w:val="21"/>
              </w:rPr>
              <w:t>填埋井</w:t>
            </w:r>
          </w:p>
        </w:tc>
        <w:tc>
          <w:tcPr>
            <w:tcW w:w="1625" w:type="dxa"/>
            <w:vAlign w:val="center"/>
          </w:tcPr>
          <w:p>
            <w:pPr>
              <w:pStyle w:val="40"/>
              <w:rPr>
                <w:szCs w:val="21"/>
              </w:rPr>
            </w:pPr>
            <w:r>
              <w:rPr>
                <w:rFonts w:hint="eastAsia"/>
                <w:szCs w:val="21"/>
              </w:rPr>
              <w:t>个</w:t>
            </w:r>
          </w:p>
        </w:tc>
        <w:tc>
          <w:tcPr>
            <w:tcW w:w="2173" w:type="dxa"/>
            <w:vAlign w:val="center"/>
          </w:tcPr>
          <w:p>
            <w:pPr>
              <w:pStyle w:val="40"/>
              <w:rPr>
                <w:szCs w:val="21"/>
              </w:rPr>
            </w:pPr>
            <w:r>
              <w:rPr>
                <w:szCs w:val="21"/>
              </w:rPr>
              <w:t>2</w:t>
            </w:r>
          </w:p>
        </w:tc>
        <w:tc>
          <w:tcPr>
            <w:tcW w:w="2172" w:type="dxa"/>
          </w:tcPr>
          <w:p>
            <w:pPr>
              <w:pStyle w:val="89"/>
              <w:rPr>
                <w:b/>
              </w:rPr>
            </w:pPr>
            <w:r>
              <w:rPr>
                <w:rFonts w:hint="eastAsia"/>
                <w:b/>
              </w:rPr>
              <w:t>已建1个</w:t>
            </w:r>
            <w:r>
              <w:rPr>
                <w:b/>
              </w:rPr>
              <w:t>，未建</w:t>
            </w:r>
            <w:r>
              <w:rPr>
                <w:rFonts w:hint="eastAsia"/>
                <w:b/>
              </w:rPr>
              <w:t>1个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18</w:t>
            </w:r>
          </w:p>
        </w:tc>
        <w:tc>
          <w:tcPr>
            <w:tcW w:w="1625" w:type="dxa"/>
            <w:vAlign w:val="center"/>
          </w:tcPr>
          <w:p>
            <w:pPr>
              <w:pStyle w:val="40"/>
              <w:rPr>
                <w:szCs w:val="21"/>
              </w:rPr>
            </w:pPr>
            <w:r>
              <w:rPr>
                <w:szCs w:val="21"/>
              </w:rPr>
              <w:t>集粪池</w:t>
            </w:r>
          </w:p>
        </w:tc>
        <w:tc>
          <w:tcPr>
            <w:tcW w:w="1625" w:type="dxa"/>
            <w:vAlign w:val="center"/>
          </w:tcPr>
          <w:p>
            <w:pPr>
              <w:pStyle w:val="40"/>
              <w:rPr>
                <w:szCs w:val="21"/>
              </w:rPr>
            </w:pPr>
            <w:r>
              <w:rPr>
                <w:rFonts w:hint="eastAsia"/>
                <w:szCs w:val="21"/>
              </w:rPr>
              <w:t>座</w:t>
            </w:r>
          </w:p>
        </w:tc>
        <w:tc>
          <w:tcPr>
            <w:tcW w:w="2173" w:type="dxa"/>
            <w:vAlign w:val="center"/>
          </w:tcPr>
          <w:p>
            <w:pPr>
              <w:pStyle w:val="40"/>
              <w:rPr>
                <w:szCs w:val="21"/>
              </w:rPr>
            </w:pPr>
            <w:r>
              <w:rPr>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19</w:t>
            </w:r>
          </w:p>
        </w:tc>
        <w:tc>
          <w:tcPr>
            <w:tcW w:w="1625" w:type="dxa"/>
            <w:vAlign w:val="center"/>
          </w:tcPr>
          <w:p>
            <w:pPr>
              <w:pStyle w:val="40"/>
              <w:rPr>
                <w:szCs w:val="21"/>
              </w:rPr>
            </w:pPr>
            <w:r>
              <w:rPr>
                <w:szCs w:val="21"/>
              </w:rPr>
              <w:t>化粪池</w:t>
            </w:r>
          </w:p>
        </w:tc>
        <w:tc>
          <w:tcPr>
            <w:tcW w:w="1625" w:type="dxa"/>
            <w:vAlign w:val="center"/>
          </w:tcPr>
          <w:p>
            <w:pPr>
              <w:pStyle w:val="40"/>
              <w:rPr>
                <w:szCs w:val="21"/>
              </w:rPr>
            </w:pPr>
            <w:r>
              <w:rPr>
                <w:rFonts w:hint="eastAsia"/>
                <w:szCs w:val="21"/>
              </w:rPr>
              <w:t>座</w:t>
            </w:r>
          </w:p>
        </w:tc>
        <w:tc>
          <w:tcPr>
            <w:tcW w:w="2173" w:type="dxa"/>
            <w:vAlign w:val="center"/>
          </w:tcPr>
          <w:p>
            <w:pPr>
              <w:pStyle w:val="40"/>
              <w:rPr>
                <w:szCs w:val="21"/>
              </w:rPr>
            </w:pPr>
            <w:r>
              <w:rPr>
                <w:rFonts w:hint="eastAsia"/>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20</w:t>
            </w:r>
          </w:p>
        </w:tc>
        <w:tc>
          <w:tcPr>
            <w:tcW w:w="1625" w:type="dxa"/>
            <w:vAlign w:val="center"/>
          </w:tcPr>
          <w:p>
            <w:pPr>
              <w:pStyle w:val="40"/>
              <w:rPr>
                <w:szCs w:val="21"/>
              </w:rPr>
            </w:pPr>
            <w:r>
              <w:rPr>
                <w:rFonts w:hint="eastAsia"/>
                <w:szCs w:val="21"/>
              </w:rPr>
              <w:t>厌氧发酵池</w:t>
            </w:r>
          </w:p>
        </w:tc>
        <w:tc>
          <w:tcPr>
            <w:tcW w:w="1625" w:type="dxa"/>
            <w:vAlign w:val="center"/>
          </w:tcPr>
          <w:p>
            <w:pPr>
              <w:pStyle w:val="40"/>
              <w:rPr>
                <w:szCs w:val="21"/>
              </w:rPr>
            </w:pPr>
            <w:r>
              <w:rPr>
                <w:rFonts w:hint="eastAsia"/>
                <w:szCs w:val="21"/>
              </w:rPr>
              <w:t>座</w:t>
            </w:r>
          </w:p>
        </w:tc>
        <w:tc>
          <w:tcPr>
            <w:tcW w:w="2173" w:type="dxa"/>
            <w:vAlign w:val="center"/>
          </w:tcPr>
          <w:p>
            <w:pPr>
              <w:pStyle w:val="40"/>
              <w:rPr>
                <w:szCs w:val="21"/>
              </w:rPr>
            </w:pPr>
            <w:r>
              <w:rPr>
                <w:rFonts w:hint="eastAsia"/>
                <w:szCs w:val="21"/>
              </w:rPr>
              <w:t>1</w:t>
            </w:r>
          </w:p>
        </w:tc>
        <w:tc>
          <w:tcPr>
            <w:tcW w:w="2172" w:type="dxa"/>
            <w:vAlign w:val="center"/>
          </w:tcPr>
          <w:p>
            <w:pPr>
              <w:pStyle w:val="40"/>
              <w:rPr>
                <w:szCs w:val="21"/>
              </w:rPr>
            </w:pPr>
            <w:r>
              <w:rPr>
                <w:rFonts w:hint="eastAsia"/>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21</w:t>
            </w:r>
          </w:p>
        </w:tc>
        <w:tc>
          <w:tcPr>
            <w:tcW w:w="1625" w:type="dxa"/>
            <w:vAlign w:val="center"/>
          </w:tcPr>
          <w:p>
            <w:pPr>
              <w:pStyle w:val="40"/>
              <w:rPr>
                <w:szCs w:val="21"/>
              </w:rPr>
            </w:pPr>
            <w:r>
              <w:rPr>
                <w:rFonts w:hint="eastAsia"/>
                <w:szCs w:val="21"/>
              </w:rPr>
              <w:t>危废暂存间</w:t>
            </w:r>
          </w:p>
        </w:tc>
        <w:tc>
          <w:tcPr>
            <w:tcW w:w="1625" w:type="dxa"/>
            <w:vAlign w:val="center"/>
          </w:tcPr>
          <w:p>
            <w:pPr>
              <w:pStyle w:val="40"/>
              <w:rPr>
                <w:szCs w:val="21"/>
              </w:rPr>
            </w:pPr>
            <w:r>
              <w:rPr>
                <w:rFonts w:hint="eastAsia"/>
                <w:szCs w:val="21"/>
              </w:rPr>
              <w:t>座</w:t>
            </w:r>
          </w:p>
        </w:tc>
        <w:tc>
          <w:tcPr>
            <w:tcW w:w="2173" w:type="dxa"/>
            <w:vAlign w:val="center"/>
          </w:tcPr>
          <w:p>
            <w:pPr>
              <w:pStyle w:val="40"/>
              <w:rPr>
                <w:szCs w:val="21"/>
              </w:rPr>
            </w:pPr>
            <w:r>
              <w:rPr>
                <w:rFonts w:hint="eastAsia"/>
                <w:szCs w:val="21"/>
              </w:rPr>
              <w:t>1</w:t>
            </w:r>
          </w:p>
        </w:tc>
        <w:tc>
          <w:tcPr>
            <w:tcW w:w="2172" w:type="dxa"/>
            <w:vAlign w:val="center"/>
          </w:tcPr>
          <w:p>
            <w:pPr>
              <w:pStyle w:val="40"/>
              <w:rPr>
                <w:b/>
                <w:szCs w:val="21"/>
              </w:rPr>
            </w:pPr>
            <w:r>
              <w:rPr>
                <w:rFonts w:hint="eastAsia"/>
                <w:b/>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22</w:t>
            </w:r>
          </w:p>
        </w:tc>
        <w:tc>
          <w:tcPr>
            <w:tcW w:w="1625" w:type="dxa"/>
            <w:vAlign w:val="center"/>
          </w:tcPr>
          <w:p>
            <w:pPr>
              <w:pStyle w:val="40"/>
              <w:rPr>
                <w:szCs w:val="21"/>
              </w:rPr>
            </w:pPr>
            <w:r>
              <w:rPr>
                <w:rFonts w:hint="eastAsia"/>
                <w:szCs w:val="21"/>
              </w:rPr>
              <w:t>圈舍换气扇</w:t>
            </w:r>
          </w:p>
        </w:tc>
        <w:tc>
          <w:tcPr>
            <w:tcW w:w="1625" w:type="dxa"/>
            <w:vAlign w:val="center"/>
          </w:tcPr>
          <w:p>
            <w:pPr>
              <w:pStyle w:val="40"/>
              <w:rPr>
                <w:szCs w:val="21"/>
              </w:rPr>
            </w:pPr>
            <w:r>
              <w:rPr>
                <w:rFonts w:hint="eastAsia"/>
                <w:szCs w:val="21"/>
              </w:rPr>
              <w:t>个</w:t>
            </w:r>
          </w:p>
        </w:tc>
        <w:tc>
          <w:tcPr>
            <w:tcW w:w="2173" w:type="dxa"/>
            <w:vAlign w:val="center"/>
          </w:tcPr>
          <w:p>
            <w:pPr>
              <w:pStyle w:val="40"/>
              <w:rPr>
                <w:szCs w:val="21"/>
              </w:rPr>
            </w:pPr>
            <w:r>
              <w:rPr>
                <w:rFonts w:hint="eastAsia"/>
                <w:szCs w:val="21"/>
              </w:rPr>
              <w:t>80</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23</w:t>
            </w:r>
          </w:p>
        </w:tc>
        <w:tc>
          <w:tcPr>
            <w:tcW w:w="1625" w:type="dxa"/>
            <w:vAlign w:val="center"/>
          </w:tcPr>
          <w:p>
            <w:pPr>
              <w:pStyle w:val="40"/>
              <w:rPr>
                <w:szCs w:val="21"/>
              </w:rPr>
            </w:pPr>
            <w:r>
              <w:rPr>
                <w:rFonts w:hint="eastAsia"/>
                <w:szCs w:val="21"/>
              </w:rPr>
              <w:t>食堂抽油烟机</w:t>
            </w:r>
          </w:p>
        </w:tc>
        <w:tc>
          <w:tcPr>
            <w:tcW w:w="1625" w:type="dxa"/>
            <w:vAlign w:val="center"/>
          </w:tcPr>
          <w:p>
            <w:pPr>
              <w:pStyle w:val="40"/>
              <w:rPr>
                <w:szCs w:val="21"/>
              </w:rPr>
            </w:pPr>
            <w:r>
              <w:rPr>
                <w:rFonts w:hint="eastAsia"/>
                <w:szCs w:val="21"/>
              </w:rPr>
              <w:t>个</w:t>
            </w:r>
          </w:p>
        </w:tc>
        <w:tc>
          <w:tcPr>
            <w:tcW w:w="2173" w:type="dxa"/>
            <w:vAlign w:val="center"/>
          </w:tcPr>
          <w:p>
            <w:pPr>
              <w:pStyle w:val="40"/>
              <w:rPr>
                <w:szCs w:val="21"/>
              </w:rPr>
            </w:pPr>
            <w:r>
              <w:rPr>
                <w:rFonts w:hint="eastAsia"/>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24</w:t>
            </w:r>
          </w:p>
        </w:tc>
        <w:tc>
          <w:tcPr>
            <w:tcW w:w="1625" w:type="dxa"/>
            <w:vAlign w:val="center"/>
          </w:tcPr>
          <w:p>
            <w:pPr>
              <w:pStyle w:val="40"/>
              <w:rPr>
                <w:szCs w:val="21"/>
              </w:rPr>
            </w:pPr>
            <w:r>
              <w:rPr>
                <w:szCs w:val="21"/>
              </w:rPr>
              <w:t>分体式空调</w:t>
            </w:r>
          </w:p>
        </w:tc>
        <w:tc>
          <w:tcPr>
            <w:tcW w:w="1625" w:type="dxa"/>
            <w:vAlign w:val="center"/>
          </w:tcPr>
          <w:p>
            <w:pPr>
              <w:pStyle w:val="40"/>
              <w:rPr>
                <w:szCs w:val="21"/>
              </w:rPr>
            </w:pPr>
            <w:r>
              <w:rPr>
                <w:szCs w:val="21"/>
              </w:rPr>
              <w:t>台</w:t>
            </w:r>
          </w:p>
        </w:tc>
        <w:tc>
          <w:tcPr>
            <w:tcW w:w="2173" w:type="dxa"/>
            <w:vAlign w:val="center"/>
          </w:tcPr>
          <w:p>
            <w:pPr>
              <w:pStyle w:val="40"/>
              <w:rPr>
                <w:szCs w:val="21"/>
              </w:rPr>
            </w:pPr>
            <w:r>
              <w:rPr>
                <w:rFonts w:hint="eastAsia"/>
                <w:szCs w:val="21"/>
              </w:rPr>
              <w:t>12</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25</w:t>
            </w:r>
          </w:p>
        </w:tc>
        <w:tc>
          <w:tcPr>
            <w:tcW w:w="1625" w:type="dxa"/>
            <w:vAlign w:val="center"/>
          </w:tcPr>
          <w:p>
            <w:pPr>
              <w:pStyle w:val="40"/>
              <w:rPr>
                <w:szCs w:val="21"/>
              </w:rPr>
            </w:pPr>
            <w:r>
              <w:rPr>
                <w:szCs w:val="21"/>
              </w:rPr>
              <w:t>精密酸度计</w:t>
            </w:r>
          </w:p>
        </w:tc>
        <w:tc>
          <w:tcPr>
            <w:tcW w:w="1625" w:type="dxa"/>
            <w:vAlign w:val="center"/>
          </w:tcPr>
          <w:p>
            <w:pPr>
              <w:pStyle w:val="40"/>
              <w:rPr>
                <w:szCs w:val="21"/>
              </w:rPr>
            </w:pPr>
            <w:r>
              <w:rPr>
                <w:szCs w:val="21"/>
              </w:rPr>
              <w:t>台</w:t>
            </w:r>
          </w:p>
        </w:tc>
        <w:tc>
          <w:tcPr>
            <w:tcW w:w="2173" w:type="dxa"/>
            <w:vAlign w:val="center"/>
          </w:tcPr>
          <w:p>
            <w:pPr>
              <w:pStyle w:val="40"/>
              <w:rPr>
                <w:szCs w:val="21"/>
              </w:rPr>
            </w:pPr>
            <w:r>
              <w:rPr>
                <w:rFonts w:hint="eastAsia"/>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26</w:t>
            </w:r>
          </w:p>
        </w:tc>
        <w:tc>
          <w:tcPr>
            <w:tcW w:w="1625" w:type="dxa"/>
            <w:vAlign w:val="center"/>
          </w:tcPr>
          <w:p>
            <w:pPr>
              <w:pStyle w:val="40"/>
              <w:rPr>
                <w:szCs w:val="21"/>
              </w:rPr>
            </w:pPr>
            <w:r>
              <w:rPr>
                <w:szCs w:val="21"/>
              </w:rPr>
              <w:t>生物显微镜</w:t>
            </w:r>
          </w:p>
        </w:tc>
        <w:tc>
          <w:tcPr>
            <w:tcW w:w="1625" w:type="dxa"/>
            <w:vAlign w:val="center"/>
          </w:tcPr>
          <w:p>
            <w:pPr>
              <w:pStyle w:val="40"/>
              <w:rPr>
                <w:szCs w:val="21"/>
              </w:rPr>
            </w:pPr>
            <w:r>
              <w:rPr>
                <w:szCs w:val="21"/>
              </w:rPr>
              <w:t>台</w:t>
            </w:r>
          </w:p>
        </w:tc>
        <w:tc>
          <w:tcPr>
            <w:tcW w:w="2173" w:type="dxa"/>
            <w:vAlign w:val="center"/>
          </w:tcPr>
          <w:p>
            <w:pPr>
              <w:pStyle w:val="40"/>
              <w:rPr>
                <w:szCs w:val="21"/>
              </w:rPr>
            </w:pPr>
            <w:r>
              <w:rPr>
                <w:rFonts w:hint="eastAsia"/>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27</w:t>
            </w:r>
          </w:p>
        </w:tc>
        <w:tc>
          <w:tcPr>
            <w:tcW w:w="1625" w:type="dxa"/>
            <w:vAlign w:val="center"/>
          </w:tcPr>
          <w:p>
            <w:pPr>
              <w:pStyle w:val="40"/>
              <w:rPr>
                <w:szCs w:val="21"/>
              </w:rPr>
            </w:pPr>
            <w:r>
              <w:rPr>
                <w:szCs w:val="21"/>
              </w:rPr>
              <w:t>妊娠诊断仪</w:t>
            </w:r>
          </w:p>
        </w:tc>
        <w:tc>
          <w:tcPr>
            <w:tcW w:w="1625" w:type="dxa"/>
            <w:vAlign w:val="center"/>
          </w:tcPr>
          <w:p>
            <w:pPr>
              <w:pStyle w:val="40"/>
              <w:rPr>
                <w:szCs w:val="21"/>
              </w:rPr>
            </w:pPr>
            <w:r>
              <w:rPr>
                <w:szCs w:val="21"/>
              </w:rPr>
              <w:t>台</w:t>
            </w:r>
          </w:p>
        </w:tc>
        <w:tc>
          <w:tcPr>
            <w:tcW w:w="2173" w:type="dxa"/>
            <w:vAlign w:val="center"/>
          </w:tcPr>
          <w:p>
            <w:pPr>
              <w:pStyle w:val="40"/>
              <w:rPr>
                <w:szCs w:val="21"/>
              </w:rPr>
            </w:pPr>
            <w:r>
              <w:rPr>
                <w:rFonts w:hint="eastAsia"/>
                <w:szCs w:val="21"/>
              </w:rPr>
              <w:t>1</w:t>
            </w:r>
          </w:p>
        </w:tc>
        <w:tc>
          <w:tcPr>
            <w:tcW w:w="2172" w:type="dxa"/>
          </w:tcPr>
          <w:p>
            <w:pPr>
              <w:pStyle w:val="89"/>
            </w:pPr>
            <w:r>
              <w:rPr>
                <w:rFonts w:hint="eastAsia"/>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Align w:val="center"/>
          </w:tcPr>
          <w:p>
            <w:pPr>
              <w:pStyle w:val="40"/>
            </w:pPr>
            <w:r>
              <w:rPr>
                <w:rFonts w:hint="eastAsia"/>
              </w:rPr>
              <w:t>28</w:t>
            </w:r>
          </w:p>
        </w:tc>
        <w:tc>
          <w:tcPr>
            <w:tcW w:w="1625" w:type="dxa"/>
            <w:vAlign w:val="center"/>
          </w:tcPr>
          <w:p>
            <w:pPr>
              <w:pStyle w:val="40"/>
              <w:rPr>
                <w:szCs w:val="21"/>
              </w:rPr>
            </w:pPr>
            <w:r>
              <w:rPr>
                <w:rFonts w:hint="eastAsia"/>
                <w:szCs w:val="21"/>
              </w:rPr>
              <w:t>饲料</w:t>
            </w:r>
            <w:r>
              <w:rPr>
                <w:szCs w:val="21"/>
              </w:rPr>
              <w:t>粉碎机</w:t>
            </w:r>
          </w:p>
        </w:tc>
        <w:tc>
          <w:tcPr>
            <w:tcW w:w="1625" w:type="dxa"/>
            <w:vAlign w:val="center"/>
          </w:tcPr>
          <w:p>
            <w:pPr>
              <w:pStyle w:val="40"/>
              <w:rPr>
                <w:szCs w:val="21"/>
              </w:rPr>
            </w:pPr>
            <w:r>
              <w:rPr>
                <w:rFonts w:hint="eastAsia"/>
                <w:szCs w:val="21"/>
              </w:rPr>
              <w:t>台</w:t>
            </w:r>
          </w:p>
        </w:tc>
        <w:tc>
          <w:tcPr>
            <w:tcW w:w="2173" w:type="dxa"/>
            <w:vAlign w:val="center"/>
          </w:tcPr>
          <w:p>
            <w:pPr>
              <w:pStyle w:val="40"/>
              <w:rPr>
                <w:szCs w:val="21"/>
              </w:rPr>
            </w:pPr>
            <w:r>
              <w:rPr>
                <w:rFonts w:hint="eastAsia"/>
                <w:szCs w:val="21"/>
              </w:rPr>
              <w:t>2</w:t>
            </w:r>
          </w:p>
        </w:tc>
        <w:tc>
          <w:tcPr>
            <w:tcW w:w="2172" w:type="dxa"/>
          </w:tcPr>
          <w:p>
            <w:pPr>
              <w:pStyle w:val="89"/>
            </w:pPr>
            <w:r>
              <w:rPr>
                <w:rFonts w:hint="eastAsia"/>
              </w:rPr>
              <w:t>已建</w:t>
            </w:r>
          </w:p>
        </w:tc>
      </w:tr>
    </w:tbl>
    <w:p>
      <w:pPr>
        <w:pStyle w:val="4"/>
      </w:pPr>
      <w:r>
        <w:t>项目主要原辅材料</w:t>
      </w:r>
    </w:p>
    <w:p>
      <w:pPr>
        <w:pStyle w:val="79"/>
        <w:ind w:firstLine="480"/>
      </w:pPr>
      <w:r>
        <w:rPr>
          <w:rFonts w:hint="eastAsia"/>
        </w:rPr>
        <w:t>项目</w:t>
      </w:r>
      <w:r>
        <w:t>饲料消耗表见表</w:t>
      </w:r>
      <w:r>
        <w:rPr>
          <w:rFonts w:hint="eastAsia"/>
        </w:rPr>
        <w:t>3.1-4，</w:t>
      </w:r>
      <w:r>
        <w:t>原辅材料消耗表见表</w:t>
      </w:r>
      <w:r>
        <w:rPr>
          <w:rFonts w:hint="eastAsia"/>
        </w:rPr>
        <w:t>3.1-5。</w:t>
      </w:r>
    </w:p>
    <w:p>
      <w:pPr>
        <w:pStyle w:val="41"/>
        <w:rPr>
          <w:rFonts w:hAnsi="Times New Roman"/>
        </w:rPr>
      </w:pPr>
      <w:r>
        <w:rPr>
          <w:rFonts w:hint="eastAsia"/>
        </w:rPr>
        <w:t>表</w:t>
      </w:r>
      <w:r>
        <w:rPr>
          <w:rFonts w:hint="eastAsia" w:eastAsiaTheme="minorEastAsia"/>
        </w:rPr>
        <w:t>3.1-4</w:t>
      </w:r>
      <w:r>
        <w:rPr>
          <w:rFonts w:eastAsiaTheme="minorEastAsia"/>
        </w:rPr>
        <w:t xml:space="preserve">  </w:t>
      </w:r>
      <w:r>
        <w:rPr>
          <w:rFonts w:hAnsi="宋体" w:eastAsia="宋体"/>
        </w:rPr>
        <w:t>项目饲料消耗表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458"/>
        <w:gridCol w:w="1971"/>
        <w:gridCol w:w="1713"/>
        <w:gridCol w:w="17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26" w:type="dxa"/>
            <w:vMerge w:val="restart"/>
            <w:vAlign w:val="center"/>
          </w:tcPr>
          <w:p>
            <w:pPr>
              <w:pStyle w:val="89"/>
            </w:pPr>
            <w:r>
              <w:t>名称</w:t>
            </w:r>
          </w:p>
        </w:tc>
        <w:tc>
          <w:tcPr>
            <w:tcW w:w="1458" w:type="dxa"/>
            <w:vMerge w:val="restart"/>
            <w:vAlign w:val="center"/>
          </w:tcPr>
          <w:p>
            <w:pPr>
              <w:pStyle w:val="89"/>
            </w:pPr>
            <w:r>
              <w:t>数量（头）</w:t>
            </w:r>
          </w:p>
        </w:tc>
        <w:tc>
          <w:tcPr>
            <w:tcW w:w="5398" w:type="dxa"/>
            <w:gridSpan w:val="3"/>
            <w:vAlign w:val="center"/>
          </w:tcPr>
          <w:p>
            <w:pPr>
              <w:pStyle w:val="89"/>
            </w:pPr>
            <w:r>
              <w:t>饲料消耗量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26" w:type="dxa"/>
            <w:vMerge w:val="continue"/>
            <w:vAlign w:val="center"/>
          </w:tcPr>
          <w:p>
            <w:pPr>
              <w:pStyle w:val="89"/>
            </w:pPr>
          </w:p>
        </w:tc>
        <w:tc>
          <w:tcPr>
            <w:tcW w:w="1458" w:type="dxa"/>
            <w:vMerge w:val="continue"/>
            <w:vAlign w:val="center"/>
          </w:tcPr>
          <w:p>
            <w:pPr>
              <w:pStyle w:val="89"/>
            </w:pPr>
          </w:p>
        </w:tc>
        <w:tc>
          <w:tcPr>
            <w:tcW w:w="1971" w:type="dxa"/>
            <w:vAlign w:val="center"/>
          </w:tcPr>
          <w:p>
            <w:pPr>
              <w:pStyle w:val="89"/>
              <w:jc w:val="both"/>
            </w:pPr>
            <w:r>
              <w:t>饲料定额（kg/头·d）</w:t>
            </w:r>
          </w:p>
        </w:tc>
        <w:tc>
          <w:tcPr>
            <w:tcW w:w="1713" w:type="dxa"/>
            <w:vAlign w:val="center"/>
          </w:tcPr>
          <w:p>
            <w:pPr>
              <w:pStyle w:val="89"/>
              <w:jc w:val="both"/>
            </w:pPr>
            <w:r>
              <w:t>日消耗量（kg/d）</w:t>
            </w:r>
          </w:p>
        </w:tc>
        <w:tc>
          <w:tcPr>
            <w:tcW w:w="1714" w:type="dxa"/>
            <w:vAlign w:val="center"/>
          </w:tcPr>
          <w:p>
            <w:pPr>
              <w:pStyle w:val="89"/>
            </w:pPr>
            <w:r>
              <w:t>年消耗量（t/a）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6" w:type="dxa"/>
            <w:vAlign w:val="center"/>
          </w:tcPr>
          <w:p>
            <w:pPr>
              <w:pStyle w:val="89"/>
            </w:pPr>
            <w:r>
              <w:rPr>
                <w:szCs w:val="21"/>
              </w:rPr>
              <w:t>妊娠母猪</w:t>
            </w:r>
          </w:p>
        </w:tc>
        <w:tc>
          <w:tcPr>
            <w:tcW w:w="1458" w:type="dxa"/>
            <w:vAlign w:val="center"/>
          </w:tcPr>
          <w:p>
            <w:pPr>
              <w:pStyle w:val="89"/>
            </w:pPr>
            <w:r>
              <w:rPr>
                <w:rFonts w:hint="eastAsia"/>
              </w:rPr>
              <w:t>300</w:t>
            </w:r>
          </w:p>
        </w:tc>
        <w:tc>
          <w:tcPr>
            <w:tcW w:w="1971" w:type="dxa"/>
            <w:vAlign w:val="center"/>
          </w:tcPr>
          <w:p>
            <w:pPr>
              <w:pStyle w:val="89"/>
            </w:pPr>
            <w:r>
              <w:t>2.5</w:t>
            </w:r>
          </w:p>
        </w:tc>
        <w:tc>
          <w:tcPr>
            <w:tcW w:w="1713" w:type="dxa"/>
            <w:vAlign w:val="center"/>
          </w:tcPr>
          <w:p>
            <w:pPr>
              <w:pStyle w:val="89"/>
            </w:pPr>
            <w:r>
              <w:t>750</w:t>
            </w:r>
          </w:p>
        </w:tc>
        <w:tc>
          <w:tcPr>
            <w:tcW w:w="1714" w:type="dxa"/>
            <w:vAlign w:val="center"/>
          </w:tcPr>
          <w:p>
            <w:pPr>
              <w:pStyle w:val="89"/>
            </w:pPr>
            <w:r>
              <w:t>273.75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6" w:type="dxa"/>
            <w:vAlign w:val="center"/>
          </w:tcPr>
          <w:p>
            <w:pPr>
              <w:pStyle w:val="89"/>
            </w:pPr>
            <w:r>
              <w:rPr>
                <w:szCs w:val="21"/>
              </w:rPr>
              <w:t>哺乳母猪</w:t>
            </w:r>
          </w:p>
        </w:tc>
        <w:tc>
          <w:tcPr>
            <w:tcW w:w="1458" w:type="dxa"/>
            <w:vAlign w:val="center"/>
          </w:tcPr>
          <w:p>
            <w:pPr>
              <w:pStyle w:val="89"/>
            </w:pPr>
            <w:r>
              <w:rPr>
                <w:rFonts w:hint="eastAsia"/>
              </w:rPr>
              <w:t>250</w:t>
            </w:r>
          </w:p>
        </w:tc>
        <w:tc>
          <w:tcPr>
            <w:tcW w:w="1971" w:type="dxa"/>
            <w:vAlign w:val="center"/>
          </w:tcPr>
          <w:p>
            <w:pPr>
              <w:pStyle w:val="89"/>
            </w:pPr>
            <w:r>
              <w:t>5.5</w:t>
            </w:r>
          </w:p>
        </w:tc>
        <w:tc>
          <w:tcPr>
            <w:tcW w:w="1713" w:type="dxa"/>
            <w:vAlign w:val="center"/>
          </w:tcPr>
          <w:p>
            <w:pPr>
              <w:pStyle w:val="89"/>
            </w:pPr>
            <w:r>
              <w:t>1375</w:t>
            </w:r>
          </w:p>
        </w:tc>
        <w:tc>
          <w:tcPr>
            <w:tcW w:w="1714" w:type="dxa"/>
            <w:vAlign w:val="center"/>
          </w:tcPr>
          <w:p>
            <w:pPr>
              <w:pStyle w:val="89"/>
            </w:pPr>
            <w:r>
              <w:t>501.88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6" w:type="dxa"/>
            <w:vAlign w:val="center"/>
          </w:tcPr>
          <w:p>
            <w:pPr>
              <w:pStyle w:val="89"/>
            </w:pPr>
            <w:r>
              <w:rPr>
                <w:szCs w:val="21"/>
              </w:rPr>
              <w:t>空怀母猪</w:t>
            </w:r>
          </w:p>
        </w:tc>
        <w:tc>
          <w:tcPr>
            <w:tcW w:w="1458" w:type="dxa"/>
            <w:vAlign w:val="center"/>
          </w:tcPr>
          <w:p>
            <w:pPr>
              <w:pStyle w:val="89"/>
            </w:pPr>
            <w:r>
              <w:rPr>
                <w:rFonts w:hint="eastAsia"/>
              </w:rPr>
              <w:t>50</w:t>
            </w:r>
          </w:p>
        </w:tc>
        <w:tc>
          <w:tcPr>
            <w:tcW w:w="1971" w:type="dxa"/>
            <w:vAlign w:val="center"/>
          </w:tcPr>
          <w:p>
            <w:pPr>
              <w:pStyle w:val="89"/>
            </w:pPr>
            <w:r>
              <w:rPr>
                <w:rFonts w:hint="eastAsia"/>
              </w:rPr>
              <w:t>3.5</w:t>
            </w:r>
          </w:p>
        </w:tc>
        <w:tc>
          <w:tcPr>
            <w:tcW w:w="1713" w:type="dxa"/>
            <w:vAlign w:val="center"/>
          </w:tcPr>
          <w:p>
            <w:pPr>
              <w:pStyle w:val="89"/>
            </w:pPr>
            <w:r>
              <w:t>175</w:t>
            </w:r>
          </w:p>
        </w:tc>
        <w:tc>
          <w:tcPr>
            <w:tcW w:w="1714" w:type="dxa"/>
            <w:vAlign w:val="center"/>
          </w:tcPr>
          <w:p>
            <w:pPr>
              <w:pStyle w:val="89"/>
            </w:pPr>
            <w:r>
              <w:t>63.88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6" w:type="dxa"/>
            <w:vAlign w:val="center"/>
          </w:tcPr>
          <w:p>
            <w:pPr>
              <w:pStyle w:val="89"/>
            </w:pPr>
            <w:r>
              <w:t>公猪</w:t>
            </w:r>
          </w:p>
        </w:tc>
        <w:tc>
          <w:tcPr>
            <w:tcW w:w="1458" w:type="dxa"/>
            <w:vAlign w:val="center"/>
          </w:tcPr>
          <w:p>
            <w:pPr>
              <w:pStyle w:val="89"/>
            </w:pPr>
            <w:r>
              <w:rPr>
                <w:rFonts w:hint="eastAsia"/>
              </w:rPr>
              <w:t>8</w:t>
            </w:r>
          </w:p>
        </w:tc>
        <w:tc>
          <w:tcPr>
            <w:tcW w:w="1971" w:type="dxa"/>
            <w:vAlign w:val="center"/>
          </w:tcPr>
          <w:p>
            <w:pPr>
              <w:pStyle w:val="89"/>
            </w:pPr>
            <w:r>
              <w:t>2.2</w:t>
            </w:r>
          </w:p>
        </w:tc>
        <w:tc>
          <w:tcPr>
            <w:tcW w:w="1713" w:type="dxa"/>
            <w:vAlign w:val="center"/>
          </w:tcPr>
          <w:p>
            <w:pPr>
              <w:pStyle w:val="89"/>
            </w:pPr>
            <w:r>
              <w:t>17.6</w:t>
            </w:r>
          </w:p>
        </w:tc>
        <w:tc>
          <w:tcPr>
            <w:tcW w:w="1714" w:type="dxa"/>
            <w:vAlign w:val="center"/>
          </w:tcPr>
          <w:p>
            <w:pPr>
              <w:pStyle w:val="89"/>
            </w:pPr>
            <w:r>
              <w:t>6.42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6" w:type="dxa"/>
            <w:vAlign w:val="center"/>
          </w:tcPr>
          <w:p>
            <w:pPr>
              <w:pStyle w:val="89"/>
            </w:pPr>
            <w:r>
              <w:t>育肥猪</w:t>
            </w:r>
          </w:p>
        </w:tc>
        <w:tc>
          <w:tcPr>
            <w:tcW w:w="1458" w:type="dxa"/>
            <w:vAlign w:val="center"/>
          </w:tcPr>
          <w:p>
            <w:pPr>
              <w:pStyle w:val="89"/>
            </w:pPr>
            <w:r>
              <w:t>3200</w:t>
            </w:r>
          </w:p>
        </w:tc>
        <w:tc>
          <w:tcPr>
            <w:tcW w:w="1971" w:type="dxa"/>
            <w:vAlign w:val="center"/>
          </w:tcPr>
          <w:p>
            <w:pPr>
              <w:pStyle w:val="89"/>
            </w:pPr>
            <w:r>
              <w:t>2</w:t>
            </w:r>
          </w:p>
        </w:tc>
        <w:tc>
          <w:tcPr>
            <w:tcW w:w="1713" w:type="dxa"/>
            <w:vAlign w:val="center"/>
          </w:tcPr>
          <w:p>
            <w:pPr>
              <w:pStyle w:val="89"/>
            </w:pPr>
            <w:r>
              <w:t>6400</w:t>
            </w:r>
          </w:p>
        </w:tc>
        <w:tc>
          <w:tcPr>
            <w:tcW w:w="1714" w:type="dxa"/>
            <w:vAlign w:val="center"/>
          </w:tcPr>
          <w:p>
            <w:pPr>
              <w:pStyle w:val="89"/>
            </w:pPr>
            <w:r>
              <w:t>2336.0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6" w:type="dxa"/>
            <w:vAlign w:val="center"/>
          </w:tcPr>
          <w:p>
            <w:pPr>
              <w:pStyle w:val="89"/>
            </w:pPr>
            <w:r>
              <w:t>保育猪</w:t>
            </w:r>
          </w:p>
        </w:tc>
        <w:tc>
          <w:tcPr>
            <w:tcW w:w="1458" w:type="dxa"/>
            <w:vAlign w:val="center"/>
          </w:tcPr>
          <w:p>
            <w:pPr>
              <w:pStyle w:val="89"/>
            </w:pPr>
            <w:r>
              <w:t>1192</w:t>
            </w:r>
          </w:p>
        </w:tc>
        <w:tc>
          <w:tcPr>
            <w:tcW w:w="1971" w:type="dxa"/>
            <w:vAlign w:val="center"/>
          </w:tcPr>
          <w:p>
            <w:pPr>
              <w:pStyle w:val="89"/>
            </w:pPr>
            <w:r>
              <w:t>0.5</w:t>
            </w:r>
          </w:p>
        </w:tc>
        <w:tc>
          <w:tcPr>
            <w:tcW w:w="1713" w:type="dxa"/>
            <w:vAlign w:val="center"/>
          </w:tcPr>
          <w:p>
            <w:pPr>
              <w:pStyle w:val="89"/>
            </w:pPr>
            <w:r>
              <w:t>596</w:t>
            </w:r>
          </w:p>
        </w:tc>
        <w:tc>
          <w:tcPr>
            <w:tcW w:w="1714" w:type="dxa"/>
            <w:vAlign w:val="center"/>
          </w:tcPr>
          <w:p>
            <w:pPr>
              <w:pStyle w:val="89"/>
            </w:pPr>
            <w:r>
              <w:t>217.54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84" w:type="dxa"/>
            <w:gridSpan w:val="2"/>
            <w:vAlign w:val="center"/>
          </w:tcPr>
          <w:p>
            <w:pPr>
              <w:pStyle w:val="89"/>
            </w:pPr>
            <w:r>
              <w:t>合计</w:t>
            </w:r>
          </w:p>
        </w:tc>
        <w:tc>
          <w:tcPr>
            <w:tcW w:w="1971" w:type="dxa"/>
            <w:vAlign w:val="center"/>
          </w:tcPr>
          <w:p>
            <w:pPr>
              <w:pStyle w:val="89"/>
            </w:pPr>
            <w:r>
              <w:rPr>
                <w:rFonts w:hint="eastAsia"/>
              </w:rPr>
              <w:t>/</w:t>
            </w:r>
          </w:p>
        </w:tc>
        <w:tc>
          <w:tcPr>
            <w:tcW w:w="1713" w:type="dxa"/>
            <w:vAlign w:val="center"/>
          </w:tcPr>
          <w:p>
            <w:pPr>
              <w:pStyle w:val="89"/>
            </w:pPr>
            <w:r>
              <w:rPr>
                <w:rFonts w:hint="eastAsia"/>
              </w:rPr>
              <w:t>/</w:t>
            </w:r>
          </w:p>
        </w:tc>
        <w:tc>
          <w:tcPr>
            <w:tcW w:w="1714" w:type="dxa"/>
            <w:vAlign w:val="center"/>
          </w:tcPr>
          <w:p>
            <w:pPr>
              <w:pStyle w:val="89"/>
            </w:pPr>
            <w:r>
              <w:t>3399.46</w:t>
            </w:r>
          </w:p>
        </w:tc>
      </w:tr>
    </w:tbl>
    <w:p>
      <w:pPr>
        <w:pStyle w:val="41"/>
        <w:rPr>
          <w:rFonts w:hAnsi="Times New Roman"/>
        </w:rPr>
      </w:pPr>
      <w:r>
        <w:rPr>
          <w:rFonts w:hint="eastAsia"/>
        </w:rPr>
        <w:t>表</w:t>
      </w:r>
      <w:r>
        <w:fldChar w:fldCharType="begin"/>
      </w:r>
      <w:r>
        <w:rPr>
          <w:rFonts w:hint="eastAsia"/>
        </w:rPr>
        <w:instrText xml:space="preserve">STYLEREF 2 \s</w:instrText>
      </w:r>
      <w:r>
        <w:fldChar w:fldCharType="separate"/>
      </w:r>
      <w:r>
        <w:t>3.1</w:t>
      </w:r>
      <w:r>
        <w:fldChar w:fldCharType="end"/>
      </w:r>
      <w:r>
        <w:noBreakHyphen/>
      </w:r>
      <w:r>
        <w:t xml:space="preserve">5  </w:t>
      </w:r>
      <w:r>
        <w:rPr>
          <w:rFonts w:hAnsi="Times New Roman" w:eastAsia="宋体"/>
        </w:rPr>
        <w:t>项目主要原辅材料及能源消耗一览表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693"/>
        <w:gridCol w:w="1376"/>
        <w:gridCol w:w="1376"/>
        <w:gridCol w:w="1376"/>
        <w:gridCol w:w="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t>序号</w:t>
            </w:r>
          </w:p>
        </w:tc>
        <w:tc>
          <w:tcPr>
            <w:tcW w:w="693" w:type="dxa"/>
            <w:vAlign w:val="center"/>
          </w:tcPr>
          <w:p>
            <w:pPr>
              <w:pStyle w:val="40"/>
            </w:pPr>
            <w:r>
              <w:rPr>
                <w:rFonts w:hint="eastAsia"/>
              </w:rPr>
              <w:t>类别</w:t>
            </w:r>
          </w:p>
        </w:tc>
        <w:tc>
          <w:tcPr>
            <w:tcW w:w="1376" w:type="dxa"/>
            <w:vAlign w:val="center"/>
          </w:tcPr>
          <w:p>
            <w:pPr>
              <w:pStyle w:val="40"/>
            </w:pPr>
            <w:r>
              <w:t>项目名称</w:t>
            </w:r>
          </w:p>
        </w:tc>
        <w:tc>
          <w:tcPr>
            <w:tcW w:w="1376" w:type="dxa"/>
            <w:vAlign w:val="center"/>
          </w:tcPr>
          <w:p>
            <w:pPr>
              <w:pStyle w:val="40"/>
            </w:pPr>
            <w:r>
              <w:t>单位</w:t>
            </w:r>
          </w:p>
        </w:tc>
        <w:tc>
          <w:tcPr>
            <w:tcW w:w="1376" w:type="dxa"/>
            <w:vAlign w:val="center"/>
          </w:tcPr>
          <w:p>
            <w:pPr>
              <w:pStyle w:val="40"/>
            </w:pPr>
            <w:r>
              <w:t>年消耗量</w:t>
            </w:r>
          </w:p>
        </w:tc>
        <w:tc>
          <w:tcPr>
            <w:tcW w:w="2667" w:type="dxa"/>
            <w:vAlign w:val="center"/>
          </w:tcPr>
          <w:p>
            <w:pPr>
              <w:pStyle w:val="40"/>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Merge w:val="restart"/>
            <w:vAlign w:val="center"/>
          </w:tcPr>
          <w:p>
            <w:pPr>
              <w:pStyle w:val="40"/>
            </w:pPr>
            <w:r>
              <w:t>1</w:t>
            </w:r>
          </w:p>
        </w:tc>
        <w:tc>
          <w:tcPr>
            <w:tcW w:w="693" w:type="dxa"/>
            <w:vMerge w:val="restart"/>
            <w:vAlign w:val="center"/>
          </w:tcPr>
          <w:p>
            <w:pPr>
              <w:pStyle w:val="40"/>
            </w:pPr>
            <w:r>
              <w:t>饲料</w:t>
            </w:r>
          </w:p>
        </w:tc>
        <w:tc>
          <w:tcPr>
            <w:tcW w:w="1376" w:type="dxa"/>
            <w:vAlign w:val="center"/>
          </w:tcPr>
          <w:p>
            <w:pPr>
              <w:pStyle w:val="40"/>
            </w:pPr>
            <w:r>
              <w:rPr>
                <w:rFonts w:hint="eastAsia"/>
              </w:rPr>
              <w:t>玉米</w:t>
            </w:r>
          </w:p>
        </w:tc>
        <w:tc>
          <w:tcPr>
            <w:tcW w:w="1376" w:type="dxa"/>
            <w:vAlign w:val="center"/>
          </w:tcPr>
          <w:p>
            <w:pPr>
              <w:pStyle w:val="40"/>
            </w:pPr>
            <w:r>
              <w:t>t/a</w:t>
            </w:r>
          </w:p>
        </w:tc>
        <w:tc>
          <w:tcPr>
            <w:tcW w:w="1376" w:type="dxa"/>
            <w:vAlign w:val="center"/>
          </w:tcPr>
          <w:p>
            <w:pPr>
              <w:pStyle w:val="40"/>
              <w:rPr>
                <w:highlight w:val="yellow"/>
              </w:rPr>
            </w:pPr>
            <w:r>
              <w:rPr>
                <w:rFonts w:hint="eastAsia"/>
              </w:rPr>
              <w:t>1500</w:t>
            </w:r>
          </w:p>
        </w:tc>
        <w:tc>
          <w:tcPr>
            <w:tcW w:w="2667" w:type="dxa"/>
            <w:vAlign w:val="center"/>
          </w:tcPr>
          <w:p>
            <w:pPr>
              <w:pStyle w:val="40"/>
            </w:pPr>
            <w:r>
              <w:rPr>
                <w:rFonts w:hint="eastAsia"/>
              </w:rPr>
              <w:t>外购，二次加工破碎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Merge w:val="continue"/>
            <w:vAlign w:val="center"/>
          </w:tcPr>
          <w:p>
            <w:pPr>
              <w:pStyle w:val="40"/>
            </w:pPr>
          </w:p>
        </w:tc>
        <w:tc>
          <w:tcPr>
            <w:tcW w:w="693" w:type="dxa"/>
            <w:vMerge w:val="continue"/>
            <w:vAlign w:val="center"/>
          </w:tcPr>
          <w:p>
            <w:pPr>
              <w:pStyle w:val="40"/>
            </w:pPr>
          </w:p>
        </w:tc>
        <w:tc>
          <w:tcPr>
            <w:tcW w:w="1376" w:type="dxa"/>
            <w:vAlign w:val="center"/>
          </w:tcPr>
          <w:p>
            <w:pPr>
              <w:pStyle w:val="40"/>
            </w:pPr>
            <w:r>
              <w:rPr>
                <w:rFonts w:hint="eastAsia"/>
              </w:rPr>
              <w:t>麸皮</w:t>
            </w:r>
          </w:p>
        </w:tc>
        <w:tc>
          <w:tcPr>
            <w:tcW w:w="1376" w:type="dxa"/>
            <w:vAlign w:val="center"/>
          </w:tcPr>
          <w:p>
            <w:pPr>
              <w:pStyle w:val="40"/>
            </w:pPr>
            <w:r>
              <w:rPr>
                <w:rFonts w:hint="eastAsia"/>
              </w:rPr>
              <w:t>t/a</w:t>
            </w:r>
          </w:p>
        </w:tc>
        <w:tc>
          <w:tcPr>
            <w:tcW w:w="1376" w:type="dxa"/>
            <w:vAlign w:val="center"/>
          </w:tcPr>
          <w:p>
            <w:pPr>
              <w:pStyle w:val="40"/>
            </w:pPr>
            <w:r>
              <w:rPr>
                <w:rFonts w:hint="eastAsia"/>
              </w:rPr>
              <w:t>1890</w:t>
            </w:r>
          </w:p>
        </w:tc>
        <w:tc>
          <w:tcPr>
            <w:tcW w:w="2667" w:type="dxa"/>
            <w:vAlign w:val="center"/>
          </w:tcPr>
          <w:p>
            <w:pPr>
              <w:pStyle w:val="40"/>
            </w:pPr>
            <w:r>
              <w:rPr>
                <w:rFonts w:hint="eastAsi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Merge w:val="continue"/>
            <w:vAlign w:val="center"/>
          </w:tcPr>
          <w:p>
            <w:pPr>
              <w:pStyle w:val="40"/>
            </w:pPr>
          </w:p>
        </w:tc>
        <w:tc>
          <w:tcPr>
            <w:tcW w:w="693" w:type="dxa"/>
            <w:vMerge w:val="continue"/>
            <w:vAlign w:val="center"/>
          </w:tcPr>
          <w:p>
            <w:pPr>
              <w:pStyle w:val="40"/>
            </w:pPr>
          </w:p>
        </w:tc>
        <w:tc>
          <w:tcPr>
            <w:tcW w:w="1376" w:type="dxa"/>
            <w:vAlign w:val="center"/>
          </w:tcPr>
          <w:p>
            <w:pPr>
              <w:pStyle w:val="40"/>
            </w:pPr>
            <w:r>
              <w:rPr>
                <w:rFonts w:hint="eastAsia"/>
              </w:rPr>
              <w:t>微量</w:t>
            </w:r>
            <w:r>
              <w:t>元素</w:t>
            </w:r>
          </w:p>
        </w:tc>
        <w:tc>
          <w:tcPr>
            <w:tcW w:w="1376" w:type="dxa"/>
            <w:vAlign w:val="center"/>
          </w:tcPr>
          <w:p>
            <w:pPr>
              <w:pStyle w:val="40"/>
            </w:pPr>
            <w:r>
              <w:rPr>
                <w:rFonts w:hint="eastAsia"/>
              </w:rPr>
              <w:t>t/a</w:t>
            </w:r>
          </w:p>
        </w:tc>
        <w:tc>
          <w:tcPr>
            <w:tcW w:w="1376" w:type="dxa"/>
            <w:vAlign w:val="center"/>
          </w:tcPr>
          <w:p>
            <w:pPr>
              <w:pStyle w:val="40"/>
            </w:pPr>
            <w:r>
              <w:t>9.46</w:t>
            </w:r>
          </w:p>
        </w:tc>
        <w:tc>
          <w:tcPr>
            <w:tcW w:w="2667" w:type="dxa"/>
            <w:vAlign w:val="center"/>
          </w:tcPr>
          <w:p>
            <w:pPr>
              <w:pStyle w:val="40"/>
            </w:pPr>
            <w:r>
              <w:rPr>
                <w:rFonts w:hint="eastAsi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t>2</w:t>
            </w:r>
          </w:p>
        </w:tc>
        <w:tc>
          <w:tcPr>
            <w:tcW w:w="693" w:type="dxa"/>
            <w:vMerge w:val="restart"/>
            <w:vAlign w:val="center"/>
          </w:tcPr>
          <w:p>
            <w:pPr>
              <w:pStyle w:val="40"/>
            </w:pPr>
            <w:r>
              <w:rPr>
                <w:rFonts w:hint="eastAsia"/>
              </w:rPr>
              <w:t>能源</w:t>
            </w:r>
          </w:p>
        </w:tc>
        <w:tc>
          <w:tcPr>
            <w:tcW w:w="1376" w:type="dxa"/>
            <w:vAlign w:val="center"/>
          </w:tcPr>
          <w:p>
            <w:pPr>
              <w:pStyle w:val="40"/>
            </w:pPr>
            <w:r>
              <w:t>新鲜水</w:t>
            </w:r>
          </w:p>
        </w:tc>
        <w:tc>
          <w:tcPr>
            <w:tcW w:w="1376" w:type="dxa"/>
            <w:vAlign w:val="center"/>
          </w:tcPr>
          <w:p>
            <w:pPr>
              <w:pStyle w:val="40"/>
            </w:pPr>
            <w:r>
              <w:t>t/a</w:t>
            </w:r>
          </w:p>
        </w:tc>
        <w:tc>
          <w:tcPr>
            <w:tcW w:w="1376" w:type="dxa"/>
            <w:vAlign w:val="center"/>
          </w:tcPr>
          <w:p>
            <w:pPr>
              <w:pStyle w:val="40"/>
              <w:rPr>
                <w:highlight w:val="yellow"/>
              </w:rPr>
            </w:pPr>
            <w:r>
              <w:t>15136.2</w:t>
            </w:r>
          </w:p>
        </w:tc>
        <w:tc>
          <w:tcPr>
            <w:tcW w:w="2667" w:type="dxa"/>
            <w:vAlign w:val="center"/>
          </w:tcPr>
          <w:p>
            <w:pPr>
              <w:pStyle w:val="40"/>
            </w:pPr>
            <w:r>
              <w:rPr>
                <w:rFonts w:hint="eastAsia"/>
              </w:rPr>
              <w:t>自来水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t>3</w:t>
            </w:r>
          </w:p>
        </w:tc>
        <w:tc>
          <w:tcPr>
            <w:tcW w:w="693" w:type="dxa"/>
            <w:vMerge w:val="continue"/>
            <w:vAlign w:val="center"/>
          </w:tcPr>
          <w:p>
            <w:pPr>
              <w:pStyle w:val="40"/>
            </w:pPr>
          </w:p>
        </w:tc>
        <w:tc>
          <w:tcPr>
            <w:tcW w:w="1376" w:type="dxa"/>
            <w:vAlign w:val="center"/>
          </w:tcPr>
          <w:p>
            <w:pPr>
              <w:pStyle w:val="40"/>
            </w:pPr>
            <w:r>
              <w:t>电</w:t>
            </w:r>
          </w:p>
        </w:tc>
        <w:tc>
          <w:tcPr>
            <w:tcW w:w="1376" w:type="dxa"/>
            <w:vAlign w:val="center"/>
          </w:tcPr>
          <w:p>
            <w:pPr>
              <w:pStyle w:val="40"/>
            </w:pPr>
            <w:r>
              <w:rPr>
                <w:rFonts w:hint="eastAsia"/>
              </w:rPr>
              <w:t>万</w:t>
            </w:r>
            <w:r>
              <w:t>kw·h</w:t>
            </w:r>
          </w:p>
        </w:tc>
        <w:tc>
          <w:tcPr>
            <w:tcW w:w="1376" w:type="dxa"/>
            <w:vAlign w:val="center"/>
          </w:tcPr>
          <w:p>
            <w:pPr>
              <w:pStyle w:val="40"/>
            </w:pPr>
            <w:r>
              <w:rPr>
                <w:rFonts w:hint="eastAsia"/>
              </w:rPr>
              <w:t>2</w:t>
            </w:r>
          </w:p>
        </w:tc>
        <w:tc>
          <w:tcPr>
            <w:tcW w:w="2667" w:type="dxa"/>
            <w:vAlign w:val="center"/>
          </w:tcPr>
          <w:p>
            <w:pPr>
              <w:pStyle w:val="40"/>
            </w:pPr>
            <w:r>
              <w:rPr>
                <w:rFonts w:hint="eastAsia"/>
              </w:rPr>
              <w:t>市政供电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t>5</w:t>
            </w:r>
          </w:p>
        </w:tc>
        <w:tc>
          <w:tcPr>
            <w:tcW w:w="693" w:type="dxa"/>
            <w:vMerge w:val="restart"/>
            <w:vAlign w:val="center"/>
          </w:tcPr>
          <w:p>
            <w:pPr>
              <w:pStyle w:val="40"/>
            </w:pPr>
            <w:r>
              <w:rPr>
                <w:rFonts w:hint="eastAsia"/>
              </w:rPr>
              <w:t>辅料</w:t>
            </w:r>
          </w:p>
        </w:tc>
        <w:tc>
          <w:tcPr>
            <w:tcW w:w="1376" w:type="dxa"/>
            <w:vAlign w:val="center"/>
          </w:tcPr>
          <w:p>
            <w:pPr>
              <w:pStyle w:val="40"/>
            </w:pPr>
            <w:r>
              <w:t>防疫药品</w:t>
            </w:r>
          </w:p>
        </w:tc>
        <w:tc>
          <w:tcPr>
            <w:tcW w:w="1376" w:type="dxa"/>
            <w:vAlign w:val="center"/>
          </w:tcPr>
          <w:p>
            <w:pPr>
              <w:pStyle w:val="40"/>
            </w:pPr>
            <w:r>
              <w:t>t/a</w:t>
            </w:r>
          </w:p>
        </w:tc>
        <w:tc>
          <w:tcPr>
            <w:tcW w:w="1376" w:type="dxa"/>
            <w:vAlign w:val="center"/>
          </w:tcPr>
          <w:p>
            <w:pPr>
              <w:pStyle w:val="40"/>
            </w:pPr>
            <w:r>
              <w:rPr>
                <w:rFonts w:hint="eastAsia"/>
              </w:rPr>
              <w:t>0.4</w:t>
            </w:r>
          </w:p>
        </w:tc>
        <w:tc>
          <w:tcPr>
            <w:tcW w:w="2667" w:type="dxa"/>
            <w:vAlign w:val="center"/>
          </w:tcPr>
          <w:p>
            <w:pPr>
              <w:pStyle w:val="40"/>
            </w:pPr>
            <w:r>
              <w:rPr>
                <w:rFonts w:hint="eastAsia"/>
              </w:rPr>
              <w:t>外购，由公路运输至厂内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rPr>
                <w:rFonts w:hint="eastAsia"/>
              </w:rPr>
              <w:t>6</w:t>
            </w:r>
          </w:p>
        </w:tc>
        <w:tc>
          <w:tcPr>
            <w:tcW w:w="693" w:type="dxa"/>
            <w:vMerge w:val="continue"/>
            <w:vAlign w:val="center"/>
          </w:tcPr>
          <w:p>
            <w:pPr>
              <w:pStyle w:val="40"/>
              <w:rPr>
                <w:highlight w:val="yellow"/>
              </w:rPr>
            </w:pPr>
          </w:p>
        </w:tc>
        <w:tc>
          <w:tcPr>
            <w:tcW w:w="1376" w:type="dxa"/>
            <w:vAlign w:val="center"/>
          </w:tcPr>
          <w:p>
            <w:pPr>
              <w:pStyle w:val="40"/>
            </w:pPr>
            <w:r>
              <w:t>兽药</w:t>
            </w:r>
          </w:p>
        </w:tc>
        <w:tc>
          <w:tcPr>
            <w:tcW w:w="1376" w:type="dxa"/>
            <w:vAlign w:val="center"/>
          </w:tcPr>
          <w:p>
            <w:pPr>
              <w:pStyle w:val="40"/>
            </w:pPr>
            <w:r>
              <w:rPr>
                <w:rFonts w:hint="eastAsia"/>
              </w:rPr>
              <w:t>份</w:t>
            </w:r>
            <w:r>
              <w:t>/a</w:t>
            </w:r>
          </w:p>
        </w:tc>
        <w:tc>
          <w:tcPr>
            <w:tcW w:w="1376" w:type="dxa"/>
            <w:vAlign w:val="center"/>
          </w:tcPr>
          <w:p>
            <w:pPr>
              <w:pStyle w:val="40"/>
            </w:pPr>
            <w:r>
              <w:rPr>
                <w:rFonts w:hint="eastAsia"/>
              </w:rPr>
              <w:t>9000</w:t>
            </w:r>
          </w:p>
        </w:tc>
        <w:tc>
          <w:tcPr>
            <w:tcW w:w="2667" w:type="dxa"/>
            <w:vAlign w:val="center"/>
          </w:tcPr>
          <w:p>
            <w:pPr>
              <w:spacing w:line="240" w:lineRule="auto"/>
              <w:ind w:firstLine="0" w:firstLineChars="0"/>
              <w:jc w:val="center"/>
              <w:rPr>
                <w:sz w:val="21"/>
                <w:szCs w:val="20"/>
              </w:rPr>
            </w:pPr>
            <w:r>
              <w:rPr>
                <w:rFonts w:hint="eastAsia"/>
                <w:sz w:val="21"/>
                <w:szCs w:val="20"/>
              </w:rPr>
              <w:t>外购，由公路运输至厂内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rPr>
                <w:rFonts w:hint="eastAsia"/>
              </w:rPr>
              <w:t>7</w:t>
            </w:r>
          </w:p>
        </w:tc>
        <w:tc>
          <w:tcPr>
            <w:tcW w:w="693" w:type="dxa"/>
            <w:vMerge w:val="continue"/>
            <w:vAlign w:val="center"/>
          </w:tcPr>
          <w:p>
            <w:pPr>
              <w:pStyle w:val="40"/>
              <w:rPr>
                <w:highlight w:val="yellow"/>
              </w:rPr>
            </w:pPr>
          </w:p>
        </w:tc>
        <w:tc>
          <w:tcPr>
            <w:tcW w:w="1376" w:type="dxa"/>
            <w:vAlign w:val="center"/>
          </w:tcPr>
          <w:p>
            <w:pPr>
              <w:pStyle w:val="40"/>
            </w:pPr>
            <w:r>
              <w:t>除臭剂</w:t>
            </w:r>
          </w:p>
        </w:tc>
        <w:tc>
          <w:tcPr>
            <w:tcW w:w="1376" w:type="dxa"/>
            <w:vAlign w:val="center"/>
          </w:tcPr>
          <w:p>
            <w:pPr>
              <w:pStyle w:val="40"/>
            </w:pPr>
            <w:r>
              <w:t>t/a</w:t>
            </w:r>
          </w:p>
        </w:tc>
        <w:tc>
          <w:tcPr>
            <w:tcW w:w="1376" w:type="dxa"/>
            <w:vAlign w:val="center"/>
          </w:tcPr>
          <w:p>
            <w:pPr>
              <w:pStyle w:val="40"/>
            </w:pPr>
            <w:r>
              <w:rPr>
                <w:rFonts w:hint="eastAsia"/>
              </w:rPr>
              <w:t>2</w:t>
            </w:r>
          </w:p>
        </w:tc>
        <w:tc>
          <w:tcPr>
            <w:tcW w:w="2667" w:type="dxa"/>
            <w:vAlign w:val="center"/>
          </w:tcPr>
          <w:p>
            <w:pPr>
              <w:spacing w:line="240" w:lineRule="auto"/>
              <w:ind w:firstLine="0" w:firstLineChars="0"/>
              <w:jc w:val="center"/>
              <w:rPr>
                <w:sz w:val="21"/>
                <w:szCs w:val="20"/>
              </w:rPr>
            </w:pPr>
            <w:r>
              <w:rPr>
                <w:rFonts w:hint="eastAsia"/>
                <w:sz w:val="21"/>
                <w:szCs w:val="20"/>
              </w:rPr>
              <w:t>外购，由公路运输至厂内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rPr>
                <w:rFonts w:hint="eastAsia"/>
              </w:rPr>
              <w:t>8</w:t>
            </w:r>
          </w:p>
        </w:tc>
        <w:tc>
          <w:tcPr>
            <w:tcW w:w="693" w:type="dxa"/>
            <w:vMerge w:val="continue"/>
            <w:vAlign w:val="center"/>
          </w:tcPr>
          <w:p>
            <w:pPr>
              <w:pStyle w:val="40"/>
              <w:rPr>
                <w:highlight w:val="yellow"/>
              </w:rPr>
            </w:pPr>
          </w:p>
        </w:tc>
        <w:tc>
          <w:tcPr>
            <w:tcW w:w="1376" w:type="dxa"/>
            <w:vAlign w:val="center"/>
          </w:tcPr>
          <w:p>
            <w:pPr>
              <w:pStyle w:val="40"/>
            </w:pPr>
            <w:r>
              <w:t>杀虫剂</w:t>
            </w:r>
          </w:p>
        </w:tc>
        <w:tc>
          <w:tcPr>
            <w:tcW w:w="1376" w:type="dxa"/>
            <w:vAlign w:val="center"/>
          </w:tcPr>
          <w:p>
            <w:pPr>
              <w:pStyle w:val="40"/>
            </w:pPr>
            <w:r>
              <w:rPr>
                <w:rFonts w:hint="eastAsia"/>
              </w:rPr>
              <w:t>L</w:t>
            </w:r>
            <w:r>
              <w:t>/a</w:t>
            </w:r>
          </w:p>
        </w:tc>
        <w:tc>
          <w:tcPr>
            <w:tcW w:w="1376" w:type="dxa"/>
            <w:vAlign w:val="center"/>
          </w:tcPr>
          <w:p>
            <w:pPr>
              <w:pStyle w:val="40"/>
            </w:pPr>
            <w:r>
              <w:rPr>
                <w:rFonts w:hint="eastAsia"/>
              </w:rPr>
              <w:t>150</w:t>
            </w:r>
          </w:p>
        </w:tc>
        <w:tc>
          <w:tcPr>
            <w:tcW w:w="2667" w:type="dxa"/>
            <w:vAlign w:val="center"/>
          </w:tcPr>
          <w:p>
            <w:pPr>
              <w:pStyle w:val="40"/>
            </w:pPr>
            <w:r>
              <w:rPr>
                <w:rFonts w:hint="eastAsia"/>
              </w:rPr>
              <w:t>针对蚊蝇，夏秋季节使用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rPr>
                <w:highlight w:val="yellow"/>
              </w:rPr>
            </w:pPr>
            <w:r>
              <w:rPr>
                <w:rFonts w:hint="eastAsia"/>
              </w:rPr>
              <w:t>9</w:t>
            </w:r>
          </w:p>
        </w:tc>
        <w:tc>
          <w:tcPr>
            <w:tcW w:w="693" w:type="dxa"/>
            <w:vMerge w:val="continue"/>
            <w:vAlign w:val="center"/>
          </w:tcPr>
          <w:p>
            <w:pPr>
              <w:pStyle w:val="40"/>
              <w:rPr>
                <w:highlight w:val="yellow"/>
              </w:rPr>
            </w:pPr>
          </w:p>
        </w:tc>
        <w:tc>
          <w:tcPr>
            <w:tcW w:w="1376" w:type="dxa"/>
            <w:vAlign w:val="center"/>
          </w:tcPr>
          <w:p>
            <w:pPr>
              <w:pStyle w:val="40"/>
            </w:pPr>
            <w:r>
              <w:t>消毒药品</w:t>
            </w:r>
          </w:p>
        </w:tc>
        <w:tc>
          <w:tcPr>
            <w:tcW w:w="1376" w:type="dxa"/>
            <w:vAlign w:val="center"/>
          </w:tcPr>
          <w:p>
            <w:pPr>
              <w:pStyle w:val="40"/>
            </w:pPr>
            <w:r>
              <w:rPr>
                <w:rFonts w:hint="eastAsia"/>
              </w:rPr>
              <w:t>L</w:t>
            </w:r>
            <w:r>
              <w:t xml:space="preserve"> /a</w:t>
            </w:r>
          </w:p>
        </w:tc>
        <w:tc>
          <w:tcPr>
            <w:tcW w:w="1376" w:type="dxa"/>
            <w:vAlign w:val="center"/>
          </w:tcPr>
          <w:p>
            <w:pPr>
              <w:pStyle w:val="40"/>
            </w:pPr>
            <w:r>
              <w:rPr>
                <w:rFonts w:hint="eastAsia"/>
              </w:rPr>
              <w:t>1500</w:t>
            </w:r>
          </w:p>
        </w:tc>
        <w:tc>
          <w:tcPr>
            <w:tcW w:w="2667" w:type="dxa"/>
            <w:vAlign w:val="center"/>
          </w:tcPr>
          <w:p>
            <w:pPr>
              <w:spacing w:line="240" w:lineRule="auto"/>
              <w:ind w:firstLine="0" w:firstLineChars="0"/>
              <w:jc w:val="center"/>
              <w:rPr>
                <w:sz w:val="21"/>
                <w:szCs w:val="20"/>
              </w:rPr>
            </w:pPr>
            <w:r>
              <w:rPr>
                <w:rFonts w:hint="eastAsia"/>
                <w:sz w:val="21"/>
                <w:szCs w:val="20"/>
              </w:rPr>
              <w:t>外购，由公路运输至厂内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4" w:type="dxa"/>
            <w:vAlign w:val="center"/>
          </w:tcPr>
          <w:p>
            <w:pPr>
              <w:pStyle w:val="40"/>
            </w:pPr>
            <w:r>
              <w:rPr>
                <w:rFonts w:hint="eastAsia"/>
              </w:rPr>
              <w:t>10</w:t>
            </w:r>
          </w:p>
        </w:tc>
        <w:tc>
          <w:tcPr>
            <w:tcW w:w="693" w:type="dxa"/>
            <w:vMerge w:val="continue"/>
            <w:vAlign w:val="center"/>
          </w:tcPr>
          <w:p>
            <w:pPr>
              <w:pStyle w:val="40"/>
              <w:rPr>
                <w:highlight w:val="yellow"/>
              </w:rPr>
            </w:pPr>
          </w:p>
        </w:tc>
        <w:tc>
          <w:tcPr>
            <w:tcW w:w="1376" w:type="dxa"/>
            <w:vAlign w:val="center"/>
          </w:tcPr>
          <w:p>
            <w:pPr>
              <w:pStyle w:val="40"/>
            </w:pPr>
            <w:r>
              <w:rPr>
                <w:rFonts w:hint="eastAsia"/>
              </w:rPr>
              <w:t>脱硫剂</w:t>
            </w:r>
          </w:p>
        </w:tc>
        <w:tc>
          <w:tcPr>
            <w:tcW w:w="1376" w:type="dxa"/>
            <w:vAlign w:val="center"/>
          </w:tcPr>
          <w:p>
            <w:pPr>
              <w:pStyle w:val="40"/>
            </w:pPr>
            <w:r>
              <w:t>t/a</w:t>
            </w:r>
          </w:p>
        </w:tc>
        <w:tc>
          <w:tcPr>
            <w:tcW w:w="1376" w:type="dxa"/>
            <w:vAlign w:val="center"/>
          </w:tcPr>
          <w:p>
            <w:pPr>
              <w:pStyle w:val="40"/>
            </w:pPr>
            <w:r>
              <w:rPr>
                <w:rFonts w:hint="eastAsia"/>
              </w:rPr>
              <w:t>0.6</w:t>
            </w:r>
          </w:p>
        </w:tc>
        <w:tc>
          <w:tcPr>
            <w:tcW w:w="2667" w:type="dxa"/>
            <w:vAlign w:val="center"/>
          </w:tcPr>
          <w:p>
            <w:pPr>
              <w:spacing w:line="240" w:lineRule="auto"/>
              <w:ind w:firstLine="0" w:firstLineChars="0"/>
              <w:jc w:val="center"/>
              <w:rPr>
                <w:sz w:val="21"/>
                <w:szCs w:val="20"/>
              </w:rPr>
            </w:pPr>
            <w:r>
              <w:rPr>
                <w:rFonts w:hint="eastAsia"/>
                <w:sz w:val="21"/>
                <w:szCs w:val="20"/>
              </w:rPr>
              <w:t>外购，由公路运输至厂内</w:t>
            </w:r>
          </w:p>
        </w:tc>
      </w:tr>
    </w:tbl>
    <w:p>
      <w:pPr>
        <w:pStyle w:val="4"/>
      </w:pPr>
      <w:bookmarkStart w:id="53" w:name="_Toc488102155"/>
      <w:r>
        <w:t>主要经济技术指标</w:t>
      </w:r>
      <w:bookmarkEnd w:id="53"/>
    </w:p>
    <w:p>
      <w:pPr>
        <w:ind w:firstLine="480"/>
      </w:pPr>
      <w:r>
        <w:t>本项目主要经济技术指标详见表3.1-6。</w:t>
      </w:r>
      <w:bookmarkStart w:id="54" w:name="_Toc212601619"/>
      <w:bookmarkStart w:id="55" w:name="_Toc267641160"/>
      <w:bookmarkStart w:id="56" w:name="_Toc216171975"/>
      <w:bookmarkStart w:id="57" w:name="_Toc216171785"/>
      <w:bookmarkStart w:id="58" w:name="_Toc213605901"/>
    </w:p>
    <w:p>
      <w:pPr>
        <w:pStyle w:val="41"/>
        <w:rPr>
          <w:rFonts w:hAnsi="宋体" w:eastAsia="宋体"/>
        </w:rPr>
      </w:pPr>
      <w:r>
        <w:rPr>
          <w:rFonts w:hint="eastAsia"/>
        </w:rPr>
        <w:t>表</w:t>
      </w:r>
      <w:r>
        <w:fldChar w:fldCharType="begin"/>
      </w:r>
      <w:r>
        <w:rPr>
          <w:rFonts w:hint="eastAsia"/>
        </w:rPr>
        <w:instrText xml:space="preserve">STYLEREF 2 \s</w:instrText>
      </w:r>
      <w:r>
        <w:fldChar w:fldCharType="separate"/>
      </w:r>
      <w:r>
        <w:t>3.1</w:t>
      </w:r>
      <w:r>
        <w:fldChar w:fldCharType="end"/>
      </w:r>
      <w:r>
        <w:noBreakHyphen/>
      </w:r>
      <w:r>
        <w:t xml:space="preserve">6 </w:t>
      </w:r>
      <w:r>
        <w:rPr>
          <w:rFonts w:hAnsi="宋体" w:eastAsia="宋体"/>
        </w:rPr>
        <w:t>工程主要经济技术指标一览表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2203"/>
        <w:gridCol w:w="1641"/>
        <w:gridCol w:w="2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1670" w:type="dxa"/>
            <w:vAlign w:val="center"/>
          </w:tcPr>
          <w:p>
            <w:pPr>
              <w:pStyle w:val="40"/>
            </w:pPr>
            <w:r>
              <w:t>序号</w:t>
            </w:r>
          </w:p>
        </w:tc>
        <w:tc>
          <w:tcPr>
            <w:tcW w:w="2203" w:type="dxa"/>
            <w:vAlign w:val="center"/>
          </w:tcPr>
          <w:p>
            <w:pPr>
              <w:pStyle w:val="40"/>
            </w:pPr>
            <w:r>
              <w:t>指标名称</w:t>
            </w:r>
          </w:p>
        </w:tc>
        <w:tc>
          <w:tcPr>
            <w:tcW w:w="1641" w:type="dxa"/>
            <w:vAlign w:val="center"/>
          </w:tcPr>
          <w:p>
            <w:pPr>
              <w:pStyle w:val="40"/>
            </w:pPr>
            <w:r>
              <w:t>单位</w:t>
            </w:r>
          </w:p>
        </w:tc>
        <w:tc>
          <w:tcPr>
            <w:tcW w:w="2768" w:type="dxa"/>
            <w:vAlign w:val="center"/>
          </w:tcPr>
          <w:p>
            <w:pPr>
              <w:pStyle w:val="40"/>
            </w:pPr>
            <w:r>
              <w:t>数量</w:t>
            </w:r>
          </w:p>
        </w:tc>
      </w:tr>
      <w:bookmarkEnd w:id="54"/>
      <w:bookmarkEnd w:id="55"/>
      <w:bookmarkEnd w:id="56"/>
      <w:bookmarkEnd w:id="57"/>
      <w:bookmarkEnd w:id="58"/>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rPr>
                <w:rFonts w:hint="eastAsia"/>
              </w:rPr>
              <w:t>1</w:t>
            </w:r>
          </w:p>
        </w:tc>
        <w:tc>
          <w:tcPr>
            <w:tcW w:w="2203" w:type="dxa"/>
            <w:vAlign w:val="center"/>
          </w:tcPr>
          <w:p>
            <w:pPr>
              <w:pStyle w:val="40"/>
            </w:pPr>
            <w:r>
              <w:t>年出栏生猪量</w:t>
            </w:r>
          </w:p>
        </w:tc>
        <w:tc>
          <w:tcPr>
            <w:tcW w:w="1641" w:type="dxa"/>
            <w:vAlign w:val="center"/>
          </w:tcPr>
          <w:p>
            <w:pPr>
              <w:pStyle w:val="40"/>
            </w:pPr>
            <w:r>
              <w:t>头</w:t>
            </w:r>
          </w:p>
        </w:tc>
        <w:tc>
          <w:tcPr>
            <w:tcW w:w="2768" w:type="dxa"/>
            <w:vAlign w:val="center"/>
          </w:tcPr>
          <w:p>
            <w:pPr>
              <w:pStyle w:val="40"/>
            </w:pPr>
            <w:r>
              <w:rPr>
                <w:rFonts w:hint="eastAsia"/>
              </w:rPr>
              <w:t>1</w:t>
            </w:r>
            <w:r>
              <w:t>1</w:t>
            </w:r>
            <w:r>
              <w:rPr>
                <w:rFonts w:hint="eastAsia"/>
              </w:rPr>
              <w:t>000（其中</w:t>
            </w:r>
            <w:r>
              <w:t>育肥猪</w:t>
            </w:r>
            <w:r>
              <w:rPr>
                <w:rFonts w:hint="eastAsia"/>
              </w:rPr>
              <w:t>8000头</w:t>
            </w:r>
            <w:r>
              <w:t>，保育猪</w:t>
            </w:r>
            <w:r>
              <w:rPr>
                <w:rFonts w:hint="eastAsia"/>
              </w:rPr>
              <w:t>3000头）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rPr>
                <w:rFonts w:hint="eastAsia"/>
              </w:rPr>
              <w:t>2</w:t>
            </w:r>
          </w:p>
        </w:tc>
        <w:tc>
          <w:tcPr>
            <w:tcW w:w="2203" w:type="dxa"/>
            <w:vAlign w:val="center"/>
          </w:tcPr>
          <w:p>
            <w:pPr>
              <w:pStyle w:val="40"/>
            </w:pPr>
            <w:r>
              <w:t>总占地面积</w:t>
            </w:r>
          </w:p>
        </w:tc>
        <w:tc>
          <w:tcPr>
            <w:tcW w:w="1641" w:type="dxa"/>
            <w:vAlign w:val="center"/>
          </w:tcPr>
          <w:p>
            <w:pPr>
              <w:pStyle w:val="40"/>
            </w:pPr>
            <w:r>
              <w:t>m</w:t>
            </w:r>
            <w:r>
              <w:rPr>
                <w:vertAlign w:val="superscript"/>
              </w:rPr>
              <w:t>2</w:t>
            </w:r>
          </w:p>
        </w:tc>
        <w:tc>
          <w:tcPr>
            <w:tcW w:w="2768" w:type="dxa"/>
            <w:vAlign w:val="center"/>
          </w:tcPr>
          <w:p>
            <w:pPr>
              <w:pStyle w:val="40"/>
            </w:pPr>
            <w:r>
              <w:t>27737.7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rPr>
                <w:rFonts w:hint="eastAsia"/>
              </w:rPr>
              <w:t>3</w:t>
            </w:r>
          </w:p>
        </w:tc>
        <w:tc>
          <w:tcPr>
            <w:tcW w:w="2203" w:type="dxa"/>
            <w:vAlign w:val="center"/>
          </w:tcPr>
          <w:p>
            <w:pPr>
              <w:pStyle w:val="40"/>
            </w:pPr>
            <w:r>
              <w:t>绿化面积</w:t>
            </w:r>
          </w:p>
        </w:tc>
        <w:tc>
          <w:tcPr>
            <w:tcW w:w="1641" w:type="dxa"/>
            <w:vAlign w:val="center"/>
          </w:tcPr>
          <w:p>
            <w:pPr>
              <w:pStyle w:val="40"/>
            </w:pPr>
            <w:r>
              <w:t>m</w:t>
            </w:r>
            <w:r>
              <w:rPr>
                <w:vertAlign w:val="superscript"/>
              </w:rPr>
              <w:t>2</w:t>
            </w:r>
          </w:p>
        </w:tc>
        <w:tc>
          <w:tcPr>
            <w:tcW w:w="2768" w:type="dxa"/>
            <w:vAlign w:val="center"/>
          </w:tcPr>
          <w:p>
            <w:pPr>
              <w:pStyle w:val="40"/>
            </w:pPr>
            <w:r>
              <w:rPr>
                <w:rFonts w:hint="eastAsia"/>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rPr>
                <w:rFonts w:hint="eastAsia"/>
              </w:rPr>
              <w:t>4</w:t>
            </w:r>
          </w:p>
        </w:tc>
        <w:tc>
          <w:tcPr>
            <w:tcW w:w="2203" w:type="dxa"/>
            <w:vAlign w:val="center"/>
          </w:tcPr>
          <w:p>
            <w:pPr>
              <w:pStyle w:val="40"/>
            </w:pPr>
            <w:r>
              <w:t>动力消耗</w:t>
            </w:r>
          </w:p>
        </w:tc>
        <w:tc>
          <w:tcPr>
            <w:tcW w:w="1641" w:type="dxa"/>
            <w:vAlign w:val="center"/>
          </w:tcPr>
          <w:p>
            <w:pPr>
              <w:pStyle w:val="40"/>
            </w:pPr>
            <w:r>
              <w:rPr>
                <w:rFonts w:hint="eastAsia"/>
              </w:rPr>
              <w:t>/</w:t>
            </w:r>
          </w:p>
        </w:tc>
        <w:tc>
          <w:tcPr>
            <w:tcW w:w="2768" w:type="dxa"/>
            <w:vAlign w:val="center"/>
          </w:tcPr>
          <w:p>
            <w:pPr>
              <w:pStyle w:val="4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t>4.1</w:t>
            </w:r>
          </w:p>
        </w:tc>
        <w:tc>
          <w:tcPr>
            <w:tcW w:w="2203" w:type="dxa"/>
            <w:vAlign w:val="center"/>
          </w:tcPr>
          <w:p>
            <w:pPr>
              <w:pStyle w:val="40"/>
            </w:pPr>
            <w:r>
              <w:t>水</w:t>
            </w:r>
          </w:p>
        </w:tc>
        <w:tc>
          <w:tcPr>
            <w:tcW w:w="1641" w:type="dxa"/>
            <w:vAlign w:val="center"/>
          </w:tcPr>
          <w:p>
            <w:pPr>
              <w:pStyle w:val="40"/>
            </w:pPr>
            <w:r>
              <w:t>t/a</w:t>
            </w:r>
          </w:p>
        </w:tc>
        <w:tc>
          <w:tcPr>
            <w:tcW w:w="2768" w:type="dxa"/>
            <w:vAlign w:val="center"/>
          </w:tcPr>
          <w:p>
            <w:pPr>
              <w:pStyle w:val="40"/>
            </w:pPr>
            <w:r>
              <w:t>15136.2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t>4.2</w:t>
            </w:r>
          </w:p>
        </w:tc>
        <w:tc>
          <w:tcPr>
            <w:tcW w:w="2203" w:type="dxa"/>
            <w:vAlign w:val="center"/>
          </w:tcPr>
          <w:p>
            <w:pPr>
              <w:pStyle w:val="40"/>
            </w:pPr>
            <w:r>
              <w:t>电</w:t>
            </w:r>
          </w:p>
        </w:tc>
        <w:tc>
          <w:tcPr>
            <w:tcW w:w="1641" w:type="dxa"/>
            <w:vAlign w:val="center"/>
          </w:tcPr>
          <w:p>
            <w:pPr>
              <w:pStyle w:val="40"/>
            </w:pPr>
            <w:r>
              <w:rPr>
                <w:bCs/>
              </w:rPr>
              <w:t>万KWh/a</w:t>
            </w:r>
          </w:p>
        </w:tc>
        <w:tc>
          <w:tcPr>
            <w:tcW w:w="2768" w:type="dxa"/>
            <w:vAlign w:val="center"/>
          </w:tcPr>
          <w:p>
            <w:pPr>
              <w:pStyle w:val="40"/>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t>5</w:t>
            </w:r>
          </w:p>
        </w:tc>
        <w:tc>
          <w:tcPr>
            <w:tcW w:w="2203" w:type="dxa"/>
            <w:vAlign w:val="center"/>
          </w:tcPr>
          <w:p>
            <w:pPr>
              <w:pStyle w:val="40"/>
            </w:pPr>
            <w:r>
              <w:t>劳动定员</w:t>
            </w:r>
          </w:p>
        </w:tc>
        <w:tc>
          <w:tcPr>
            <w:tcW w:w="1641" w:type="dxa"/>
            <w:vAlign w:val="center"/>
          </w:tcPr>
          <w:p>
            <w:pPr>
              <w:pStyle w:val="40"/>
            </w:pPr>
            <w:r>
              <w:t>人</w:t>
            </w:r>
          </w:p>
        </w:tc>
        <w:tc>
          <w:tcPr>
            <w:tcW w:w="2768" w:type="dxa"/>
            <w:vAlign w:val="center"/>
          </w:tcPr>
          <w:p>
            <w:pPr>
              <w:pStyle w:val="40"/>
            </w:pP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t>6</w:t>
            </w:r>
          </w:p>
        </w:tc>
        <w:tc>
          <w:tcPr>
            <w:tcW w:w="2203" w:type="dxa"/>
            <w:vAlign w:val="center"/>
          </w:tcPr>
          <w:p>
            <w:pPr>
              <w:pStyle w:val="40"/>
            </w:pPr>
            <w:r>
              <w:t>工作制度</w:t>
            </w:r>
          </w:p>
        </w:tc>
        <w:tc>
          <w:tcPr>
            <w:tcW w:w="1641" w:type="dxa"/>
            <w:vAlign w:val="center"/>
          </w:tcPr>
          <w:p>
            <w:pPr>
              <w:pStyle w:val="40"/>
            </w:pPr>
            <w:r>
              <w:t>h</w:t>
            </w:r>
          </w:p>
        </w:tc>
        <w:tc>
          <w:tcPr>
            <w:tcW w:w="2768" w:type="dxa"/>
            <w:vAlign w:val="center"/>
          </w:tcPr>
          <w:p>
            <w:pPr>
              <w:pStyle w:val="40"/>
            </w:pPr>
            <w:r>
              <w:rPr>
                <w:rFonts w:hint="eastAsia"/>
              </w:rPr>
              <w:t>8</w:t>
            </w:r>
            <w:r>
              <w:t>h/</w:t>
            </w:r>
            <w:r>
              <w:rPr>
                <w:rFonts w:hint="eastAsia"/>
              </w:rPr>
              <w:t>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t>6.1</w:t>
            </w:r>
          </w:p>
        </w:tc>
        <w:tc>
          <w:tcPr>
            <w:tcW w:w="2203" w:type="dxa"/>
            <w:vAlign w:val="center"/>
          </w:tcPr>
          <w:p>
            <w:pPr>
              <w:pStyle w:val="40"/>
            </w:pPr>
            <w:r>
              <w:t>年工作日</w:t>
            </w:r>
          </w:p>
        </w:tc>
        <w:tc>
          <w:tcPr>
            <w:tcW w:w="1641" w:type="dxa"/>
            <w:vAlign w:val="center"/>
          </w:tcPr>
          <w:p>
            <w:pPr>
              <w:pStyle w:val="40"/>
            </w:pPr>
            <w:r>
              <w:t>天</w:t>
            </w:r>
          </w:p>
        </w:tc>
        <w:tc>
          <w:tcPr>
            <w:tcW w:w="2768" w:type="dxa"/>
            <w:vAlign w:val="center"/>
          </w:tcPr>
          <w:p>
            <w:pPr>
              <w:pStyle w:val="40"/>
            </w:pPr>
            <w:r>
              <w:t>365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t>6.2</w:t>
            </w:r>
          </w:p>
        </w:tc>
        <w:tc>
          <w:tcPr>
            <w:tcW w:w="2203" w:type="dxa"/>
            <w:vAlign w:val="center"/>
          </w:tcPr>
          <w:p>
            <w:pPr>
              <w:pStyle w:val="40"/>
            </w:pPr>
            <w:r>
              <w:t>班制</w:t>
            </w:r>
          </w:p>
        </w:tc>
        <w:tc>
          <w:tcPr>
            <w:tcW w:w="1641" w:type="dxa"/>
            <w:vAlign w:val="center"/>
          </w:tcPr>
          <w:p>
            <w:pPr>
              <w:pStyle w:val="40"/>
            </w:pPr>
            <w:r>
              <w:t>班</w:t>
            </w:r>
          </w:p>
        </w:tc>
        <w:tc>
          <w:tcPr>
            <w:tcW w:w="2768" w:type="dxa"/>
            <w:vAlign w:val="center"/>
          </w:tcPr>
          <w:p>
            <w:pPr>
              <w:pStyle w:val="40"/>
            </w:pPr>
            <w: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670" w:type="dxa"/>
            <w:vAlign w:val="center"/>
          </w:tcPr>
          <w:p>
            <w:pPr>
              <w:pStyle w:val="40"/>
            </w:pPr>
            <w:r>
              <w:t>7</w:t>
            </w:r>
          </w:p>
        </w:tc>
        <w:tc>
          <w:tcPr>
            <w:tcW w:w="2203" w:type="dxa"/>
            <w:vAlign w:val="center"/>
          </w:tcPr>
          <w:p>
            <w:pPr>
              <w:pStyle w:val="40"/>
            </w:pPr>
            <w:r>
              <w:t>总投资</w:t>
            </w:r>
          </w:p>
        </w:tc>
        <w:tc>
          <w:tcPr>
            <w:tcW w:w="1641" w:type="dxa"/>
            <w:vAlign w:val="center"/>
          </w:tcPr>
          <w:p>
            <w:pPr>
              <w:pStyle w:val="40"/>
            </w:pPr>
            <w:r>
              <w:t>万元</w:t>
            </w:r>
          </w:p>
        </w:tc>
        <w:tc>
          <w:tcPr>
            <w:tcW w:w="2768" w:type="dxa"/>
            <w:vAlign w:val="center"/>
          </w:tcPr>
          <w:p>
            <w:pPr>
              <w:pStyle w:val="40"/>
              <w:rPr>
                <w:highlight w:val="yellow"/>
              </w:rPr>
            </w:pPr>
            <w:r>
              <w:rPr>
                <w:rFonts w:hint="eastAsia"/>
              </w:rPr>
              <w:t>2985</w:t>
            </w:r>
          </w:p>
        </w:tc>
      </w:tr>
    </w:tbl>
    <w:p>
      <w:pPr>
        <w:pStyle w:val="4"/>
      </w:pPr>
      <w:bookmarkStart w:id="59" w:name="_Toc488102156"/>
      <w:r>
        <w:t>总平面布置及场地利用</w:t>
      </w:r>
      <w:bookmarkEnd w:id="59"/>
    </w:p>
    <w:p>
      <w:pPr>
        <w:ind w:firstLine="480"/>
        <w:rPr>
          <w:kern w:val="0"/>
        </w:rPr>
      </w:pPr>
      <w:r>
        <w:t>根据项目生产需求，结合用地地形、工程地质、气象等自然条件，因地制宜地对厂区构筑物、道路、管线等进行总体规划，力求构筑物之间紧凑合理，节约用地，有利生产，方便管理。</w:t>
      </w:r>
      <w:r>
        <w:rPr>
          <w:rFonts w:hint="eastAsia"/>
        </w:rPr>
        <w:t>本项目</w:t>
      </w:r>
      <w:r>
        <w:t>共</w:t>
      </w:r>
      <w:r>
        <w:rPr>
          <w:rFonts w:hint="eastAsia"/>
        </w:rPr>
        <w:t>设计1个</w:t>
      </w:r>
      <w:r>
        <w:t>养殖</w:t>
      </w:r>
      <w:r>
        <w:rPr>
          <w:rFonts w:hint="eastAsia"/>
        </w:rPr>
        <w:t>区域</w:t>
      </w:r>
      <w:r>
        <w:t>，</w:t>
      </w:r>
      <w:r>
        <w:rPr>
          <w:rFonts w:hint="eastAsia"/>
        </w:rPr>
        <w:t>1个种植</w:t>
      </w:r>
      <w:r>
        <w:t>区域</w:t>
      </w:r>
      <w:r>
        <w:rPr>
          <w:rFonts w:hint="eastAsia"/>
        </w:rPr>
        <w:t>。</w:t>
      </w:r>
      <w:r>
        <w:t>每个</w:t>
      </w:r>
      <w:r>
        <w:rPr>
          <w:rFonts w:hint="eastAsia"/>
        </w:rPr>
        <w:t>区域</w:t>
      </w:r>
      <w:r>
        <w:t>单独设计，养殖区域</w:t>
      </w:r>
      <w:r>
        <w:rPr>
          <w:kern w:val="0"/>
        </w:rPr>
        <w:t>内各建筑物按照生活办公区、生产区、</w:t>
      </w:r>
      <w:r>
        <w:rPr>
          <w:rFonts w:hint="eastAsia"/>
          <w:kern w:val="0"/>
        </w:rPr>
        <w:t>污水处理</w:t>
      </w:r>
      <w:r>
        <w:rPr>
          <w:kern w:val="0"/>
        </w:rPr>
        <w:t>区三个功能区分区布置，在各功能区之间保持一定的距离，各功能区中间绿化起到缓冲区的作用，各功能区被场区道路连接在一起。</w:t>
      </w:r>
      <w:r>
        <w:rPr>
          <w:rFonts w:hint="eastAsia"/>
          <w:kern w:val="0"/>
        </w:rPr>
        <w:t>整体</w:t>
      </w:r>
      <w:r>
        <w:rPr>
          <w:kern w:val="0"/>
        </w:rPr>
        <w:t>平面布局中</w:t>
      </w:r>
      <w:r>
        <w:rPr>
          <w:rFonts w:hint="eastAsia"/>
          <w:kern w:val="0"/>
        </w:rPr>
        <w:t>根据地势北高南低设置</w:t>
      </w:r>
      <w:r>
        <w:rPr>
          <w:kern w:val="0"/>
        </w:rPr>
        <w:t>，</w:t>
      </w:r>
      <w:r>
        <w:rPr>
          <w:rFonts w:hint="eastAsia"/>
          <w:kern w:val="0"/>
        </w:rPr>
        <w:t>生产区</w:t>
      </w:r>
      <w:r>
        <w:rPr>
          <w:kern w:val="0"/>
        </w:rPr>
        <w:t>位于西北侧，</w:t>
      </w:r>
      <w:r>
        <w:rPr>
          <w:rFonts w:hint="eastAsia"/>
        </w:rPr>
        <w:t>建设</w:t>
      </w:r>
      <w:r>
        <w:t>有3</w:t>
      </w:r>
      <w:r>
        <w:rPr>
          <w:rFonts w:hint="eastAsia"/>
        </w:rPr>
        <w:t>个种猪舍</w:t>
      </w:r>
      <w:r>
        <w:t>、</w:t>
      </w:r>
      <w:r>
        <w:rPr>
          <w:rFonts w:hint="eastAsia"/>
        </w:rPr>
        <w:t>4</w:t>
      </w:r>
      <w:r>
        <w:t>个</w:t>
      </w:r>
      <w:r>
        <w:rPr>
          <w:rFonts w:hint="eastAsia"/>
        </w:rPr>
        <w:t>配怀舍、3个分娩舍、2个保育舍、4个</w:t>
      </w:r>
      <w:r>
        <w:t>育肥</w:t>
      </w:r>
      <w:r>
        <w:rPr>
          <w:rFonts w:hint="eastAsia"/>
        </w:rPr>
        <w:t>舍，</w:t>
      </w:r>
      <w:r>
        <w:rPr>
          <w:kern w:val="0"/>
        </w:rPr>
        <w:t>其中种猪</w:t>
      </w:r>
      <w:r>
        <w:rPr>
          <w:rFonts w:hint="eastAsia"/>
          <w:kern w:val="0"/>
        </w:rPr>
        <w:t>舍</w:t>
      </w:r>
      <w:r>
        <w:rPr>
          <w:kern w:val="0"/>
        </w:rPr>
        <w:t>位于</w:t>
      </w:r>
      <w:r>
        <w:rPr>
          <w:rFonts w:hint="eastAsia"/>
          <w:kern w:val="0"/>
        </w:rPr>
        <w:t>北侧（最高</w:t>
      </w:r>
      <w:r>
        <w:rPr>
          <w:kern w:val="0"/>
        </w:rPr>
        <w:t>处</w:t>
      </w:r>
      <w:r>
        <w:rPr>
          <w:rFonts w:hint="eastAsia"/>
          <w:kern w:val="0"/>
        </w:rPr>
        <w:t>），种猪舍南</w:t>
      </w:r>
      <w:r>
        <w:rPr>
          <w:kern w:val="0"/>
        </w:rPr>
        <w:t>侧</w:t>
      </w:r>
      <w:r>
        <w:rPr>
          <w:rFonts w:hint="eastAsia"/>
          <w:kern w:val="0"/>
        </w:rPr>
        <w:t>区域依次为配怀舍、分娩舍、保育舍及</w:t>
      </w:r>
      <w:r>
        <w:rPr>
          <w:kern w:val="0"/>
        </w:rPr>
        <w:t>育肥舍</w:t>
      </w:r>
      <w:r>
        <w:rPr>
          <w:rFonts w:hint="eastAsia"/>
          <w:kern w:val="0"/>
        </w:rPr>
        <w:t>，办公生活区位于东北侧，饲料加工、库房紧邻办公室生活区南侧，污水处理</w:t>
      </w:r>
      <w:r>
        <w:rPr>
          <w:kern w:val="0"/>
        </w:rPr>
        <w:t>区</w:t>
      </w:r>
      <w:r>
        <w:rPr>
          <w:rFonts w:hint="eastAsia"/>
          <w:kern w:val="0"/>
        </w:rPr>
        <w:t>位于西南侧、</w:t>
      </w:r>
      <w:r>
        <w:rPr>
          <w:kern w:val="0"/>
        </w:rPr>
        <w:t>育肥舍</w:t>
      </w:r>
      <w:r>
        <w:rPr>
          <w:rFonts w:hint="eastAsia"/>
          <w:kern w:val="0"/>
        </w:rPr>
        <w:t>以南区域，厌氧发酵池</w:t>
      </w:r>
      <w:r>
        <w:rPr>
          <w:kern w:val="0"/>
        </w:rPr>
        <w:t>及</w:t>
      </w:r>
      <w:r>
        <w:rPr>
          <w:rFonts w:hint="eastAsia"/>
          <w:kern w:val="0"/>
        </w:rPr>
        <w:t>集粪池</w:t>
      </w:r>
      <w:r>
        <w:rPr>
          <w:kern w:val="0"/>
        </w:rPr>
        <w:t>位于整体布局的下风向，各个</w:t>
      </w:r>
      <w:r>
        <w:rPr>
          <w:rFonts w:hint="eastAsia"/>
          <w:kern w:val="0"/>
        </w:rPr>
        <w:t>区域的</w:t>
      </w:r>
      <w:r>
        <w:rPr>
          <w:kern w:val="0"/>
        </w:rPr>
        <w:t>四周现状均为</w:t>
      </w:r>
      <w:r>
        <w:rPr>
          <w:rFonts w:hint="eastAsia"/>
          <w:kern w:val="0"/>
        </w:rPr>
        <w:t>空地。厂区大门位于东北角，入口出设置消毒间和保安室，项目</w:t>
      </w:r>
      <w:r>
        <w:rPr>
          <w:kern w:val="0"/>
        </w:rPr>
        <w:t>厂区布置紧凑，布局合理</w:t>
      </w:r>
      <w:r>
        <w:rPr>
          <w:rFonts w:hint="eastAsia"/>
          <w:kern w:val="0"/>
        </w:rPr>
        <w:t>。种植区</w:t>
      </w:r>
      <w:r>
        <w:rPr>
          <w:kern w:val="0"/>
        </w:rPr>
        <w:t>位于</w:t>
      </w:r>
      <w:r>
        <w:rPr>
          <w:rFonts w:hint="eastAsia"/>
          <w:kern w:val="0"/>
        </w:rPr>
        <w:t>养殖厂区</w:t>
      </w:r>
      <w:r>
        <w:rPr>
          <w:kern w:val="0"/>
        </w:rPr>
        <w:t>整体</w:t>
      </w:r>
      <w:r>
        <w:rPr>
          <w:rFonts w:hint="eastAsia"/>
          <w:kern w:val="0"/>
        </w:rPr>
        <w:t>东侧</w:t>
      </w:r>
      <w:r>
        <w:rPr>
          <w:kern w:val="0"/>
        </w:rPr>
        <w:t>，</w:t>
      </w:r>
      <w:r>
        <w:rPr>
          <w:rFonts w:hint="eastAsia"/>
          <w:kern w:val="0"/>
        </w:rPr>
        <w:t>养殖区</w:t>
      </w:r>
      <w:r>
        <w:rPr>
          <w:kern w:val="0"/>
        </w:rPr>
        <w:t>处理后的粪污废水经管道输送至</w:t>
      </w:r>
      <w:r>
        <w:rPr>
          <w:rFonts w:hint="eastAsia"/>
          <w:kern w:val="0"/>
        </w:rPr>
        <w:t>种植</w:t>
      </w:r>
      <w:r>
        <w:rPr>
          <w:kern w:val="0"/>
        </w:rPr>
        <w:t>区域，</w:t>
      </w:r>
      <w:r>
        <w:rPr>
          <w:rFonts w:hint="eastAsia"/>
          <w:kern w:val="0"/>
        </w:rPr>
        <w:t>施肥沼液</w:t>
      </w:r>
      <w:r>
        <w:rPr>
          <w:kern w:val="0"/>
        </w:rPr>
        <w:t>管道</w:t>
      </w:r>
      <w:r>
        <w:rPr>
          <w:rFonts w:hint="eastAsia"/>
          <w:kern w:val="0"/>
        </w:rPr>
        <w:t>长度</w:t>
      </w:r>
      <w:r>
        <w:rPr>
          <w:kern w:val="0"/>
        </w:rPr>
        <w:t>约</w:t>
      </w:r>
      <w:r>
        <w:rPr>
          <w:rFonts w:hint="eastAsia"/>
          <w:kern w:val="0"/>
        </w:rPr>
        <w:t>500</w:t>
      </w:r>
      <w:r>
        <w:rPr>
          <w:kern w:val="0"/>
        </w:rPr>
        <w:t>m</w:t>
      </w:r>
      <w:r>
        <w:rPr>
          <w:rFonts w:hint="eastAsia"/>
          <w:kern w:val="0"/>
        </w:rPr>
        <w:t>，</w:t>
      </w:r>
      <w:r>
        <w:rPr>
          <w:kern w:val="0"/>
        </w:rPr>
        <w:t>便于处理后粪污</w:t>
      </w:r>
      <w:r>
        <w:rPr>
          <w:rFonts w:hint="eastAsia"/>
          <w:kern w:val="0"/>
        </w:rPr>
        <w:t>沼液</w:t>
      </w:r>
      <w:r>
        <w:rPr>
          <w:kern w:val="0"/>
        </w:rPr>
        <w:t>输送</w:t>
      </w:r>
      <w:r>
        <w:rPr>
          <w:rFonts w:hint="eastAsia"/>
          <w:kern w:val="0"/>
        </w:rPr>
        <w:t>。</w:t>
      </w:r>
    </w:p>
    <w:p>
      <w:pPr>
        <w:ind w:firstLine="480"/>
        <w:jc w:val="left"/>
      </w:pPr>
      <w:r>
        <w:rPr>
          <w:kern w:val="0"/>
        </w:rPr>
        <w:t>本</w:t>
      </w:r>
      <w:r>
        <w:t>项目</w:t>
      </w:r>
      <w:r>
        <w:rPr>
          <w:rFonts w:hint="eastAsia"/>
        </w:rPr>
        <w:t>养殖区</w:t>
      </w:r>
      <w:r>
        <w:t>平面布置图见图3.1-2。</w:t>
      </w:r>
    </w:p>
    <w:p>
      <w:pPr>
        <w:pStyle w:val="4"/>
      </w:pPr>
      <w:bookmarkStart w:id="60" w:name="_Toc488102157"/>
      <w:r>
        <w:t>公用工程</w:t>
      </w:r>
      <w:bookmarkEnd w:id="60"/>
    </w:p>
    <w:p>
      <w:pPr>
        <w:pStyle w:val="5"/>
      </w:pPr>
      <w:r>
        <w:t>给排水</w:t>
      </w:r>
    </w:p>
    <w:p>
      <w:pPr>
        <w:ind w:firstLine="480"/>
      </w:pPr>
      <w:r>
        <w:rPr>
          <w:rFonts w:hint="eastAsia"/>
        </w:rPr>
        <w:t>1、给水</w:t>
      </w:r>
      <w:r>
        <w:t>系统</w:t>
      </w:r>
    </w:p>
    <w:p>
      <w:pPr>
        <w:ind w:firstLine="480"/>
      </w:pPr>
      <w:r>
        <w:t>项目用水主要包括生活用水</w:t>
      </w:r>
      <w:r>
        <w:rPr>
          <w:rFonts w:hint="eastAsia"/>
        </w:rPr>
        <w:t>、</w:t>
      </w:r>
      <w:r>
        <w:t>猪饮用水、猪舍冲洗用水、</w:t>
      </w:r>
      <w:r>
        <w:rPr>
          <w:rFonts w:hint="eastAsia"/>
        </w:rPr>
        <w:t>消毒</w:t>
      </w:r>
      <w:r>
        <w:t>用水等</w:t>
      </w:r>
      <w:r>
        <w:rPr>
          <w:rFonts w:hint="eastAsia"/>
        </w:rPr>
        <w:t>，</w:t>
      </w:r>
      <w:r>
        <w:t>项目用水总量为15136.2m</w:t>
      </w:r>
      <w:r>
        <w:rPr>
          <w:vertAlign w:val="superscript"/>
        </w:rPr>
        <w:t>3</w:t>
      </w:r>
      <w:r>
        <w:t>/a。</w:t>
      </w:r>
    </w:p>
    <w:p>
      <w:pPr>
        <w:ind w:firstLine="480"/>
      </w:pPr>
      <w:r>
        <w:rPr>
          <w:rFonts w:hint="eastAsia"/>
        </w:rPr>
        <w:t>（1）</w:t>
      </w:r>
      <w:r>
        <w:t>生活用水</w:t>
      </w:r>
    </w:p>
    <w:p>
      <w:pPr>
        <w:ind w:firstLine="480"/>
        <w:rPr>
          <w:lang w:val="zh-CN"/>
        </w:rPr>
      </w:pPr>
      <w:r>
        <w:rPr>
          <w:rFonts w:hint="eastAsia"/>
        </w:rPr>
        <w:t>项目劳动定员为50人，20人在厂区就餐，根据陕西省地方标准《行业用水定额》》（</w:t>
      </w:r>
      <w:r>
        <w:rPr>
          <w:lang w:val="zh-CN"/>
        </w:rPr>
        <w:t>DB61/T 943-2020</w:t>
      </w:r>
      <w:r>
        <w:rPr>
          <w:rFonts w:hint="eastAsia"/>
        </w:rPr>
        <w:t>），农村居民生活用水定额为</w:t>
      </w:r>
      <w:r>
        <w:t>8</w:t>
      </w:r>
      <w:r>
        <w:rPr>
          <w:rFonts w:hint="eastAsia"/>
        </w:rPr>
        <w:t>0L/人·d，行政办公用水定额通用值为6</w:t>
      </w:r>
      <w:r>
        <w:t>8</w:t>
      </w:r>
      <w:r>
        <w:rPr>
          <w:rFonts w:hint="eastAsia"/>
        </w:rPr>
        <w:t>L/人·d，则员工生活用水量合计为3.6</w:t>
      </w:r>
      <w:r>
        <w:t>4</w:t>
      </w:r>
      <w:r>
        <w:rPr>
          <w:rFonts w:hint="eastAsia"/>
        </w:rPr>
        <w:t>m</w:t>
      </w:r>
      <w:r>
        <w:rPr>
          <w:rFonts w:hint="eastAsia"/>
          <w:vertAlign w:val="superscript"/>
        </w:rPr>
        <w:t>3</w:t>
      </w:r>
      <w:r>
        <w:rPr>
          <w:rFonts w:hint="eastAsia"/>
        </w:rPr>
        <w:t>/d（1328.6m</w:t>
      </w:r>
      <w:r>
        <w:rPr>
          <w:rFonts w:hint="eastAsia"/>
          <w:vertAlign w:val="superscript"/>
        </w:rPr>
        <w:t>3</w:t>
      </w:r>
      <w:r>
        <w:rPr>
          <w:rFonts w:hint="eastAsia"/>
        </w:rPr>
        <w:t>/a）。</w:t>
      </w:r>
    </w:p>
    <w:p>
      <w:pPr>
        <w:ind w:firstLine="480"/>
      </w:pPr>
      <w:r>
        <w:rPr>
          <w:rFonts w:hint="eastAsia"/>
        </w:rPr>
        <w:t>（2）猪只</w:t>
      </w:r>
      <w:r>
        <w:t>饮水</w:t>
      </w:r>
    </w:p>
    <w:p>
      <w:pPr>
        <w:ind w:firstLine="480"/>
      </w:pPr>
      <w:r>
        <w:rPr>
          <w:rFonts w:hint="eastAsia"/>
        </w:rPr>
        <w:t>项目常年存栏量</w:t>
      </w:r>
      <w:r>
        <w:t>5000</w:t>
      </w:r>
      <w:r>
        <w:rPr>
          <w:rFonts w:hint="eastAsia"/>
        </w:rPr>
        <w:t>头，其中保育猪</w:t>
      </w:r>
      <w:r>
        <w:t>1192</w:t>
      </w:r>
      <w:r>
        <w:rPr>
          <w:rFonts w:hint="eastAsia"/>
        </w:rPr>
        <w:t>头、育肥猪</w:t>
      </w:r>
      <w:r>
        <w:t>3200</w:t>
      </w:r>
      <w:r>
        <w:rPr>
          <w:rFonts w:hint="eastAsia"/>
        </w:rPr>
        <w:t>头、母猪600头、公猪8头。</w:t>
      </w:r>
    </w:p>
    <w:p>
      <w:pPr>
        <w:ind w:firstLine="480"/>
      </w:pPr>
      <w:r>
        <w:rPr>
          <w:rFonts w:hint="eastAsia"/>
        </w:rPr>
        <w:t>参照《畜禽养殖污染防治最佳可行技术指南（试行）》编制说明（征求意见稿），保育猪、育肥猪、母猪、公猪的饮水量分别按照5.12L/（头·d）、6.96L/（头·d）、12.29L/（头·d）、10.69L/（头·d）进行计算，则项目保育猪、育肥猪、母猪、公猪的饮用水总量约为</w:t>
      </w:r>
      <w:r>
        <w:t>35.83</w:t>
      </w:r>
      <w:r>
        <w:rPr>
          <w:rFonts w:hint="eastAsia"/>
        </w:rPr>
        <w:t>m</w:t>
      </w:r>
      <w:r>
        <w:rPr>
          <w:rFonts w:hint="eastAsia"/>
          <w:vertAlign w:val="superscript"/>
        </w:rPr>
        <w:t>3</w:t>
      </w:r>
      <w:r>
        <w:rPr>
          <w:rFonts w:hint="eastAsia"/>
        </w:rPr>
        <w:t>/d（</w:t>
      </w:r>
      <w:r>
        <w:t>13079.6</w:t>
      </w:r>
      <w:r>
        <w:rPr>
          <w:rFonts w:hint="eastAsia"/>
        </w:rPr>
        <w:t>m</w:t>
      </w:r>
      <w:r>
        <w:rPr>
          <w:rFonts w:hint="eastAsia"/>
          <w:vertAlign w:val="superscript"/>
        </w:rPr>
        <w:t>3</w:t>
      </w:r>
      <w:r>
        <w:rPr>
          <w:rFonts w:hint="eastAsia"/>
        </w:rPr>
        <w:t>/a）。</w:t>
      </w:r>
    </w:p>
    <w:p>
      <w:pPr>
        <w:pStyle w:val="85"/>
        <w:spacing w:line="360" w:lineRule="auto"/>
        <w:ind w:firstLine="480" w:firstLineChars="200"/>
        <w:jc w:val="both"/>
        <w:rPr>
          <w:rFonts w:hAnsi="Times New Roman"/>
          <w:b w:val="0"/>
          <w:sz w:val="24"/>
          <w:szCs w:val="22"/>
        </w:rPr>
      </w:pPr>
      <w:r>
        <w:rPr>
          <w:rFonts w:hint="eastAsia" w:hAnsi="Times New Roman"/>
          <w:b w:val="0"/>
          <w:sz w:val="24"/>
          <w:szCs w:val="22"/>
        </w:rPr>
        <w:t>项目</w:t>
      </w:r>
      <w:r>
        <w:rPr>
          <w:rFonts w:hAnsi="Times New Roman"/>
          <w:b w:val="0"/>
          <w:sz w:val="24"/>
          <w:szCs w:val="22"/>
        </w:rPr>
        <w:t>猪只饮水计算结果统计</w:t>
      </w:r>
      <w:r>
        <w:rPr>
          <w:rFonts w:hint="eastAsia" w:hAnsi="Times New Roman"/>
          <w:b w:val="0"/>
          <w:sz w:val="24"/>
          <w:szCs w:val="22"/>
        </w:rPr>
        <w:t>表见表3.1-7。</w:t>
      </w:r>
    </w:p>
    <w:p>
      <w:pPr>
        <w:pStyle w:val="85"/>
      </w:pPr>
      <w:bookmarkStart w:id="61" w:name="_Ref36743652"/>
      <w:r>
        <w:rPr>
          <w:rFonts w:hint="eastAsia"/>
        </w:rPr>
        <w:t>表</w:t>
      </w:r>
      <w:bookmarkEnd w:id="61"/>
      <w:r>
        <w:rPr>
          <w:rFonts w:hint="eastAsia"/>
        </w:rPr>
        <w:t>3.1-7项目猪</w:t>
      </w:r>
      <w:r>
        <w:t>只饮水计算结果统计</w:t>
      </w:r>
    </w:p>
    <w:tbl>
      <w:tblPr>
        <w:tblStyle w:val="27"/>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434"/>
        <w:gridCol w:w="1424"/>
        <w:gridCol w:w="1388"/>
        <w:gridCol w:w="1371"/>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261" w:type="dxa"/>
            <w:vAlign w:val="center"/>
          </w:tcPr>
          <w:p>
            <w:pPr>
              <w:pStyle w:val="89"/>
            </w:pPr>
            <w:r>
              <w:rPr>
                <w:rFonts w:hint="eastAsia"/>
              </w:rPr>
              <w:t>用水</w:t>
            </w:r>
            <w:r>
              <w:t>项目</w:t>
            </w:r>
          </w:p>
        </w:tc>
        <w:tc>
          <w:tcPr>
            <w:tcW w:w="1434" w:type="dxa"/>
            <w:vAlign w:val="center"/>
          </w:tcPr>
          <w:p>
            <w:pPr>
              <w:pStyle w:val="89"/>
            </w:pPr>
            <w:r>
              <w:rPr>
                <w:rFonts w:hint="eastAsia"/>
              </w:rPr>
              <w:t>猪只数量</w:t>
            </w:r>
            <w:r>
              <w:t>（</w:t>
            </w:r>
            <w:r>
              <w:rPr>
                <w:rFonts w:hint="eastAsia"/>
              </w:rPr>
              <w:t>头</w:t>
            </w:r>
            <w:r>
              <w:t>）</w:t>
            </w:r>
          </w:p>
        </w:tc>
        <w:tc>
          <w:tcPr>
            <w:tcW w:w="1424" w:type="dxa"/>
            <w:vAlign w:val="center"/>
          </w:tcPr>
          <w:p>
            <w:pPr>
              <w:pStyle w:val="89"/>
            </w:pPr>
            <w:r>
              <w:rPr>
                <w:rFonts w:hint="eastAsia"/>
              </w:rPr>
              <w:t>用水</w:t>
            </w:r>
            <w:r>
              <w:t>定额</w:t>
            </w:r>
          </w:p>
          <w:p>
            <w:pPr>
              <w:pStyle w:val="89"/>
            </w:pPr>
            <w:r>
              <w:rPr>
                <w:rFonts w:hint="eastAsia"/>
              </w:rPr>
              <w:t>L/（头·d）</w:t>
            </w:r>
          </w:p>
        </w:tc>
        <w:tc>
          <w:tcPr>
            <w:tcW w:w="1388" w:type="dxa"/>
            <w:vAlign w:val="center"/>
          </w:tcPr>
          <w:p>
            <w:pPr>
              <w:pStyle w:val="89"/>
            </w:pPr>
            <w:r>
              <w:rPr>
                <w:rFonts w:hint="eastAsia"/>
              </w:rPr>
              <w:t>日用水量</w:t>
            </w:r>
          </w:p>
          <w:p>
            <w:pPr>
              <w:pStyle w:val="89"/>
            </w:pPr>
            <w:r>
              <w:rPr>
                <w:rFonts w:hint="eastAsia"/>
              </w:rPr>
              <w:t>（m</w:t>
            </w:r>
            <w:r>
              <w:rPr>
                <w:rFonts w:hint="eastAsia"/>
                <w:vertAlign w:val="superscript"/>
              </w:rPr>
              <w:t>3</w:t>
            </w:r>
            <w:r>
              <w:rPr>
                <w:rFonts w:hint="eastAsia"/>
              </w:rPr>
              <w:t>/d）</w:t>
            </w:r>
          </w:p>
        </w:tc>
        <w:tc>
          <w:tcPr>
            <w:tcW w:w="1371" w:type="dxa"/>
            <w:vAlign w:val="center"/>
          </w:tcPr>
          <w:p>
            <w:pPr>
              <w:pStyle w:val="89"/>
              <w:jc w:val="both"/>
            </w:pPr>
            <w:r>
              <w:rPr>
                <w:rFonts w:hint="eastAsia"/>
              </w:rPr>
              <w:t>年用水</w:t>
            </w:r>
            <w:r>
              <w:t>天数</w:t>
            </w:r>
            <w:r>
              <w:rPr>
                <w:rFonts w:hint="eastAsia"/>
              </w:rPr>
              <w:t>（d/a）</w:t>
            </w:r>
          </w:p>
        </w:tc>
        <w:tc>
          <w:tcPr>
            <w:tcW w:w="1404" w:type="dxa"/>
            <w:vAlign w:val="center"/>
          </w:tcPr>
          <w:p>
            <w:pPr>
              <w:pStyle w:val="89"/>
            </w:pPr>
            <w:r>
              <w:rPr>
                <w:rFonts w:hint="eastAsia"/>
              </w:rPr>
              <w:t>年用水量</w:t>
            </w:r>
          </w:p>
          <w:p>
            <w:pPr>
              <w:pStyle w:val="89"/>
            </w:pPr>
            <w:r>
              <w:rPr>
                <w:rFonts w:hint="eastAsia"/>
              </w:rPr>
              <w:t>（m</w:t>
            </w:r>
            <w:r>
              <w:rPr>
                <w:rFonts w:hint="eastAsia"/>
                <w:vertAlign w:val="superscript"/>
              </w:rPr>
              <w:t>3</w:t>
            </w:r>
            <w:r>
              <w:rPr>
                <w:rFonts w:hint="eastAsi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1" w:type="dxa"/>
            <w:vAlign w:val="center"/>
          </w:tcPr>
          <w:p>
            <w:pPr>
              <w:pStyle w:val="89"/>
            </w:pPr>
            <w:r>
              <w:rPr>
                <w:rFonts w:hint="eastAsia"/>
              </w:rPr>
              <w:t>保育猪</w:t>
            </w:r>
          </w:p>
        </w:tc>
        <w:tc>
          <w:tcPr>
            <w:tcW w:w="1434" w:type="dxa"/>
            <w:vAlign w:val="center"/>
          </w:tcPr>
          <w:p>
            <w:pPr>
              <w:pStyle w:val="89"/>
              <w:rPr>
                <w:sz w:val="22"/>
                <w:szCs w:val="22"/>
              </w:rPr>
            </w:pPr>
            <w:r>
              <w:rPr>
                <w:sz w:val="22"/>
                <w:szCs w:val="22"/>
              </w:rPr>
              <w:t>1192</w:t>
            </w:r>
          </w:p>
        </w:tc>
        <w:tc>
          <w:tcPr>
            <w:tcW w:w="1424" w:type="dxa"/>
            <w:vAlign w:val="center"/>
          </w:tcPr>
          <w:p>
            <w:pPr>
              <w:pStyle w:val="89"/>
              <w:rPr>
                <w:sz w:val="22"/>
                <w:szCs w:val="22"/>
              </w:rPr>
            </w:pPr>
            <w:r>
              <w:rPr>
                <w:rFonts w:hint="eastAsia"/>
                <w:sz w:val="22"/>
                <w:szCs w:val="22"/>
              </w:rPr>
              <w:t>5.12</w:t>
            </w:r>
          </w:p>
        </w:tc>
        <w:tc>
          <w:tcPr>
            <w:tcW w:w="1388" w:type="dxa"/>
            <w:vAlign w:val="bottom"/>
          </w:tcPr>
          <w:p>
            <w:pPr>
              <w:pStyle w:val="89"/>
              <w:rPr>
                <w:sz w:val="22"/>
                <w:szCs w:val="22"/>
              </w:rPr>
            </w:pPr>
            <w:r>
              <w:rPr>
                <w:sz w:val="22"/>
                <w:szCs w:val="22"/>
              </w:rPr>
              <w:t>6.1</w:t>
            </w:r>
          </w:p>
        </w:tc>
        <w:tc>
          <w:tcPr>
            <w:tcW w:w="1371" w:type="dxa"/>
            <w:vAlign w:val="center"/>
          </w:tcPr>
          <w:p>
            <w:pPr>
              <w:pStyle w:val="89"/>
              <w:rPr>
                <w:sz w:val="22"/>
                <w:szCs w:val="22"/>
              </w:rPr>
            </w:pPr>
            <w:r>
              <w:rPr>
                <w:rFonts w:hint="eastAsia"/>
                <w:sz w:val="22"/>
                <w:szCs w:val="22"/>
              </w:rPr>
              <w:t>365</w:t>
            </w:r>
          </w:p>
        </w:tc>
        <w:tc>
          <w:tcPr>
            <w:tcW w:w="1404" w:type="dxa"/>
            <w:vAlign w:val="center"/>
          </w:tcPr>
          <w:p>
            <w:pPr>
              <w:spacing w:line="240" w:lineRule="auto"/>
              <w:ind w:firstLine="0" w:firstLineChars="0"/>
              <w:jc w:val="center"/>
              <w:rPr>
                <w:kern w:val="0"/>
                <w:sz w:val="22"/>
              </w:rPr>
            </w:pPr>
            <w:r>
              <w:rPr>
                <w:rFonts w:hint="eastAsia"/>
                <w:kern w:val="0"/>
                <w:sz w:val="22"/>
              </w:rPr>
              <w:t>2227.61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1" w:type="dxa"/>
            <w:vAlign w:val="center"/>
          </w:tcPr>
          <w:p>
            <w:pPr>
              <w:pStyle w:val="89"/>
            </w:pPr>
            <w:r>
              <w:rPr>
                <w:rFonts w:hint="eastAsia"/>
              </w:rPr>
              <w:t>育肥猪</w:t>
            </w:r>
          </w:p>
        </w:tc>
        <w:tc>
          <w:tcPr>
            <w:tcW w:w="1434" w:type="dxa"/>
            <w:vAlign w:val="center"/>
          </w:tcPr>
          <w:p>
            <w:pPr>
              <w:pStyle w:val="89"/>
              <w:rPr>
                <w:sz w:val="22"/>
                <w:szCs w:val="22"/>
              </w:rPr>
            </w:pPr>
            <w:r>
              <w:rPr>
                <w:sz w:val="22"/>
                <w:szCs w:val="22"/>
              </w:rPr>
              <w:t>3200</w:t>
            </w:r>
          </w:p>
        </w:tc>
        <w:tc>
          <w:tcPr>
            <w:tcW w:w="1424" w:type="dxa"/>
            <w:vAlign w:val="center"/>
          </w:tcPr>
          <w:p>
            <w:pPr>
              <w:pStyle w:val="89"/>
              <w:rPr>
                <w:sz w:val="22"/>
                <w:szCs w:val="22"/>
              </w:rPr>
            </w:pPr>
            <w:r>
              <w:rPr>
                <w:rFonts w:hint="eastAsia"/>
                <w:sz w:val="22"/>
                <w:szCs w:val="22"/>
              </w:rPr>
              <w:t>6.96</w:t>
            </w:r>
          </w:p>
        </w:tc>
        <w:tc>
          <w:tcPr>
            <w:tcW w:w="1388" w:type="dxa"/>
            <w:vAlign w:val="bottom"/>
          </w:tcPr>
          <w:p>
            <w:pPr>
              <w:pStyle w:val="89"/>
              <w:rPr>
                <w:sz w:val="22"/>
                <w:szCs w:val="22"/>
              </w:rPr>
            </w:pPr>
            <w:r>
              <w:rPr>
                <w:sz w:val="22"/>
                <w:szCs w:val="22"/>
              </w:rPr>
              <w:t>22.3</w:t>
            </w:r>
          </w:p>
        </w:tc>
        <w:tc>
          <w:tcPr>
            <w:tcW w:w="1371" w:type="dxa"/>
          </w:tcPr>
          <w:p>
            <w:pPr>
              <w:pStyle w:val="89"/>
              <w:rPr>
                <w:sz w:val="22"/>
                <w:szCs w:val="22"/>
              </w:rPr>
            </w:pPr>
            <w:r>
              <w:rPr>
                <w:rFonts w:hint="eastAsia"/>
                <w:sz w:val="22"/>
                <w:szCs w:val="22"/>
              </w:rPr>
              <w:t>365</w:t>
            </w:r>
          </w:p>
        </w:tc>
        <w:tc>
          <w:tcPr>
            <w:tcW w:w="1404" w:type="dxa"/>
            <w:vAlign w:val="center"/>
          </w:tcPr>
          <w:p>
            <w:pPr>
              <w:pStyle w:val="89"/>
              <w:rPr>
                <w:sz w:val="22"/>
                <w:szCs w:val="22"/>
              </w:rPr>
            </w:pPr>
            <w:r>
              <w:rPr>
                <w:rFonts w:hint="eastAsia"/>
                <w:sz w:val="22"/>
                <w:szCs w:val="22"/>
              </w:rPr>
              <w:t>8129.28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1" w:type="dxa"/>
            <w:vAlign w:val="center"/>
          </w:tcPr>
          <w:p>
            <w:pPr>
              <w:pStyle w:val="89"/>
            </w:pPr>
            <w:r>
              <w:rPr>
                <w:rFonts w:hint="eastAsia"/>
              </w:rPr>
              <w:t>母猪</w:t>
            </w:r>
          </w:p>
        </w:tc>
        <w:tc>
          <w:tcPr>
            <w:tcW w:w="1434" w:type="dxa"/>
            <w:vAlign w:val="center"/>
          </w:tcPr>
          <w:p>
            <w:pPr>
              <w:pStyle w:val="89"/>
              <w:rPr>
                <w:sz w:val="22"/>
                <w:szCs w:val="22"/>
              </w:rPr>
            </w:pPr>
            <w:r>
              <w:rPr>
                <w:rFonts w:hint="eastAsia"/>
                <w:sz w:val="22"/>
                <w:szCs w:val="22"/>
              </w:rPr>
              <w:t>600</w:t>
            </w:r>
          </w:p>
        </w:tc>
        <w:tc>
          <w:tcPr>
            <w:tcW w:w="1424" w:type="dxa"/>
            <w:vAlign w:val="center"/>
          </w:tcPr>
          <w:p>
            <w:pPr>
              <w:pStyle w:val="89"/>
              <w:rPr>
                <w:sz w:val="22"/>
                <w:szCs w:val="22"/>
              </w:rPr>
            </w:pPr>
            <w:r>
              <w:rPr>
                <w:rFonts w:hint="eastAsia"/>
                <w:sz w:val="22"/>
                <w:szCs w:val="22"/>
              </w:rPr>
              <w:t>12.29</w:t>
            </w:r>
          </w:p>
        </w:tc>
        <w:tc>
          <w:tcPr>
            <w:tcW w:w="1388" w:type="dxa"/>
            <w:vAlign w:val="bottom"/>
          </w:tcPr>
          <w:p>
            <w:pPr>
              <w:pStyle w:val="89"/>
              <w:rPr>
                <w:sz w:val="22"/>
                <w:szCs w:val="22"/>
              </w:rPr>
            </w:pPr>
            <w:r>
              <w:rPr>
                <w:rFonts w:hint="eastAsia"/>
                <w:sz w:val="22"/>
                <w:szCs w:val="22"/>
              </w:rPr>
              <w:t>7.4</w:t>
            </w:r>
          </w:p>
        </w:tc>
        <w:tc>
          <w:tcPr>
            <w:tcW w:w="1371" w:type="dxa"/>
          </w:tcPr>
          <w:p>
            <w:pPr>
              <w:pStyle w:val="89"/>
              <w:rPr>
                <w:sz w:val="22"/>
                <w:szCs w:val="22"/>
              </w:rPr>
            </w:pPr>
            <w:r>
              <w:rPr>
                <w:rFonts w:hint="eastAsia"/>
                <w:sz w:val="22"/>
                <w:szCs w:val="22"/>
              </w:rPr>
              <w:t>365</w:t>
            </w:r>
          </w:p>
        </w:tc>
        <w:tc>
          <w:tcPr>
            <w:tcW w:w="1404" w:type="dxa"/>
            <w:vAlign w:val="center"/>
          </w:tcPr>
          <w:p>
            <w:pPr>
              <w:pStyle w:val="89"/>
              <w:rPr>
                <w:sz w:val="22"/>
                <w:szCs w:val="22"/>
              </w:rPr>
            </w:pPr>
            <w:r>
              <w:rPr>
                <w:rFonts w:hint="eastAsia"/>
                <w:sz w:val="22"/>
                <w:szCs w:val="22"/>
              </w:rPr>
              <w:t>2691.51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1" w:type="dxa"/>
            <w:vAlign w:val="center"/>
          </w:tcPr>
          <w:p>
            <w:pPr>
              <w:pStyle w:val="89"/>
            </w:pPr>
            <w:r>
              <w:rPr>
                <w:rFonts w:hint="eastAsia"/>
              </w:rPr>
              <w:t>公猪</w:t>
            </w:r>
          </w:p>
        </w:tc>
        <w:tc>
          <w:tcPr>
            <w:tcW w:w="1434" w:type="dxa"/>
            <w:vAlign w:val="center"/>
          </w:tcPr>
          <w:p>
            <w:pPr>
              <w:pStyle w:val="89"/>
              <w:rPr>
                <w:sz w:val="22"/>
                <w:szCs w:val="22"/>
              </w:rPr>
            </w:pPr>
            <w:r>
              <w:rPr>
                <w:rFonts w:hint="eastAsia"/>
                <w:sz w:val="22"/>
                <w:szCs w:val="22"/>
              </w:rPr>
              <w:t>8</w:t>
            </w:r>
          </w:p>
        </w:tc>
        <w:tc>
          <w:tcPr>
            <w:tcW w:w="1424" w:type="dxa"/>
            <w:vAlign w:val="center"/>
          </w:tcPr>
          <w:p>
            <w:pPr>
              <w:pStyle w:val="89"/>
              <w:rPr>
                <w:sz w:val="22"/>
                <w:szCs w:val="22"/>
              </w:rPr>
            </w:pPr>
            <w:r>
              <w:rPr>
                <w:rFonts w:hint="eastAsia"/>
                <w:sz w:val="22"/>
                <w:szCs w:val="22"/>
              </w:rPr>
              <w:t>10.69</w:t>
            </w:r>
          </w:p>
        </w:tc>
        <w:tc>
          <w:tcPr>
            <w:tcW w:w="1388" w:type="dxa"/>
            <w:vAlign w:val="bottom"/>
          </w:tcPr>
          <w:p>
            <w:pPr>
              <w:pStyle w:val="89"/>
              <w:rPr>
                <w:sz w:val="22"/>
                <w:szCs w:val="22"/>
              </w:rPr>
            </w:pPr>
            <w:r>
              <w:rPr>
                <w:rFonts w:hint="eastAsia"/>
                <w:sz w:val="22"/>
                <w:szCs w:val="22"/>
              </w:rPr>
              <w:t>0.1</w:t>
            </w:r>
          </w:p>
        </w:tc>
        <w:tc>
          <w:tcPr>
            <w:tcW w:w="1371" w:type="dxa"/>
          </w:tcPr>
          <w:p>
            <w:pPr>
              <w:pStyle w:val="89"/>
              <w:rPr>
                <w:sz w:val="22"/>
                <w:szCs w:val="22"/>
              </w:rPr>
            </w:pPr>
            <w:r>
              <w:rPr>
                <w:rFonts w:hint="eastAsia"/>
                <w:sz w:val="22"/>
                <w:szCs w:val="22"/>
              </w:rPr>
              <w:t>365</w:t>
            </w:r>
          </w:p>
        </w:tc>
        <w:tc>
          <w:tcPr>
            <w:tcW w:w="1404" w:type="dxa"/>
            <w:vAlign w:val="bottom"/>
          </w:tcPr>
          <w:p>
            <w:pPr>
              <w:pStyle w:val="89"/>
              <w:rPr>
                <w:sz w:val="22"/>
                <w:szCs w:val="22"/>
              </w:rPr>
            </w:pPr>
            <w:r>
              <w:rPr>
                <w:rFonts w:hint="eastAsia"/>
                <w:sz w:val="22"/>
                <w:szCs w:val="22"/>
              </w:rPr>
              <w:t>31.21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1" w:type="dxa"/>
            <w:vAlign w:val="center"/>
          </w:tcPr>
          <w:p>
            <w:pPr>
              <w:pStyle w:val="89"/>
              <w:rPr>
                <w:sz w:val="22"/>
                <w:szCs w:val="22"/>
              </w:rPr>
            </w:pPr>
            <w:r>
              <w:rPr>
                <w:rFonts w:hint="eastAsia"/>
              </w:rPr>
              <w:t>合计</w:t>
            </w:r>
          </w:p>
        </w:tc>
        <w:tc>
          <w:tcPr>
            <w:tcW w:w="1434" w:type="dxa"/>
            <w:vAlign w:val="center"/>
          </w:tcPr>
          <w:p>
            <w:pPr>
              <w:pStyle w:val="89"/>
              <w:rPr>
                <w:sz w:val="22"/>
                <w:szCs w:val="22"/>
              </w:rPr>
            </w:pPr>
            <w:r>
              <w:rPr>
                <w:rFonts w:hint="eastAsia"/>
                <w:sz w:val="22"/>
                <w:szCs w:val="22"/>
              </w:rPr>
              <w:t>5000</w:t>
            </w:r>
          </w:p>
        </w:tc>
        <w:tc>
          <w:tcPr>
            <w:tcW w:w="1424" w:type="dxa"/>
            <w:vAlign w:val="center"/>
          </w:tcPr>
          <w:p>
            <w:pPr>
              <w:pStyle w:val="89"/>
              <w:rPr>
                <w:sz w:val="22"/>
                <w:szCs w:val="22"/>
              </w:rPr>
            </w:pPr>
            <w:r>
              <w:rPr>
                <w:rFonts w:hint="eastAsia"/>
                <w:sz w:val="22"/>
                <w:szCs w:val="22"/>
              </w:rPr>
              <w:t>/</w:t>
            </w:r>
          </w:p>
        </w:tc>
        <w:tc>
          <w:tcPr>
            <w:tcW w:w="1388" w:type="dxa"/>
            <w:vAlign w:val="center"/>
          </w:tcPr>
          <w:p>
            <w:pPr>
              <w:pStyle w:val="89"/>
              <w:rPr>
                <w:sz w:val="22"/>
                <w:szCs w:val="22"/>
              </w:rPr>
            </w:pPr>
            <w:r>
              <w:rPr>
                <w:rFonts w:hint="eastAsia"/>
                <w:sz w:val="22"/>
                <w:szCs w:val="22"/>
              </w:rPr>
              <w:t>35.83</w:t>
            </w:r>
          </w:p>
        </w:tc>
        <w:tc>
          <w:tcPr>
            <w:tcW w:w="1371" w:type="dxa"/>
            <w:vAlign w:val="center"/>
          </w:tcPr>
          <w:p>
            <w:pPr>
              <w:pStyle w:val="89"/>
              <w:rPr>
                <w:sz w:val="22"/>
                <w:szCs w:val="22"/>
              </w:rPr>
            </w:pPr>
            <w:r>
              <w:rPr>
                <w:rFonts w:hint="eastAsia"/>
                <w:sz w:val="22"/>
                <w:szCs w:val="22"/>
              </w:rPr>
              <w:t>365</w:t>
            </w:r>
          </w:p>
        </w:tc>
        <w:tc>
          <w:tcPr>
            <w:tcW w:w="1404" w:type="dxa"/>
            <w:vAlign w:val="center"/>
          </w:tcPr>
          <w:p>
            <w:pPr>
              <w:pStyle w:val="89"/>
              <w:rPr>
                <w:sz w:val="22"/>
                <w:szCs w:val="22"/>
              </w:rPr>
            </w:pPr>
            <w:r>
              <w:rPr>
                <w:sz w:val="22"/>
                <w:szCs w:val="22"/>
              </w:rPr>
              <w:t>13079.6</w:t>
            </w:r>
          </w:p>
        </w:tc>
      </w:tr>
    </w:tbl>
    <w:p>
      <w:pPr>
        <w:ind w:firstLine="480"/>
      </w:pPr>
      <w:r>
        <w:rPr>
          <w:rFonts w:hint="eastAsia"/>
        </w:rPr>
        <w:t>（3）猪舍</w:t>
      </w:r>
      <w:r>
        <w:t>冲洗用水</w:t>
      </w:r>
    </w:p>
    <w:p>
      <w:pPr>
        <w:pStyle w:val="79"/>
        <w:ind w:firstLine="480"/>
      </w:pPr>
      <w:r>
        <w:rPr>
          <w:rFonts w:hint="eastAsia"/>
        </w:rPr>
        <w:t>根据</w:t>
      </w:r>
      <w:r>
        <w:t>建设单位提供实际情况，项目只对</w:t>
      </w:r>
      <w:r>
        <w:rPr>
          <w:rFonts w:hint="eastAsia"/>
        </w:rPr>
        <w:t>配怀舍进行</w:t>
      </w:r>
      <w:r>
        <w:t>冲洗，</w:t>
      </w:r>
      <w:r>
        <w:rPr>
          <w:rFonts w:hint="eastAsia"/>
        </w:rPr>
        <w:t>年冲洗40次，冲洗</w:t>
      </w:r>
      <w:r>
        <w:t>用水</w:t>
      </w:r>
      <w:r>
        <w:rPr>
          <w:rFonts w:hint="eastAsia"/>
        </w:rPr>
        <w:t>总量</w:t>
      </w:r>
      <w:r>
        <w:t>为624m</w:t>
      </w:r>
      <w:r>
        <w:rPr>
          <w:vertAlign w:val="superscript"/>
        </w:rPr>
        <w:t>3/</w:t>
      </w:r>
      <w:r>
        <w:t>a，项目猪舍冲洗用水量见</w:t>
      </w:r>
      <w:r>
        <w:rPr>
          <w:rFonts w:hint="eastAsia"/>
        </w:rPr>
        <w:t>表3.1-8。</w:t>
      </w:r>
    </w:p>
    <w:p>
      <w:pPr>
        <w:pStyle w:val="85"/>
      </w:pPr>
      <w:bookmarkStart w:id="62" w:name="_Ref36730794"/>
      <w:bookmarkStart w:id="63" w:name="_Ref36730765"/>
      <w:r>
        <w:rPr>
          <w:rFonts w:hint="eastAsia"/>
        </w:rPr>
        <w:t>表</w:t>
      </w:r>
      <w:r>
        <w:fldChar w:fldCharType="begin"/>
      </w:r>
      <w:r>
        <w:rPr>
          <w:rFonts w:hint="eastAsia"/>
        </w:rPr>
        <w:instrText xml:space="preserve">STYLEREF 2 \s</w:instrText>
      </w:r>
      <w:r>
        <w:fldChar w:fldCharType="separate"/>
      </w:r>
      <w:r>
        <w:t>3.1</w:t>
      </w:r>
      <w:r>
        <w:fldChar w:fldCharType="end"/>
      </w:r>
      <w:r>
        <w:noBreakHyphen/>
      </w:r>
      <w:bookmarkEnd w:id="62"/>
      <w:r>
        <w:t xml:space="preserve">8 </w:t>
      </w:r>
      <w:r>
        <w:rPr>
          <w:rFonts w:hint="eastAsia"/>
        </w:rPr>
        <w:t>猪舍冲洗用水量计算结果表</w:t>
      </w:r>
      <w:bookmarkEnd w:id="63"/>
    </w:p>
    <w:tbl>
      <w:tblPr>
        <w:tblStyle w:val="27"/>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657"/>
        <w:gridCol w:w="1697"/>
        <w:gridCol w:w="1638"/>
        <w:gridCol w:w="1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19" w:type="dxa"/>
            <w:vAlign w:val="center"/>
          </w:tcPr>
          <w:p>
            <w:pPr>
              <w:pStyle w:val="89"/>
              <w:ind w:left="115" w:right="170"/>
            </w:pPr>
            <w:r>
              <w:rPr>
                <w:rFonts w:hint="eastAsia"/>
              </w:rPr>
              <w:t>猪舍</w:t>
            </w:r>
            <w:r>
              <w:t>种类</w:t>
            </w:r>
          </w:p>
        </w:tc>
        <w:tc>
          <w:tcPr>
            <w:tcW w:w="1657" w:type="dxa"/>
            <w:vAlign w:val="center"/>
          </w:tcPr>
          <w:p>
            <w:pPr>
              <w:pStyle w:val="89"/>
              <w:ind w:left="115" w:right="170"/>
            </w:pPr>
            <w:r>
              <w:rPr>
                <w:rFonts w:hint="eastAsia"/>
              </w:rPr>
              <w:t>建筑</w:t>
            </w:r>
            <w:r>
              <w:t>面积</w:t>
            </w:r>
            <w:r>
              <w:rPr>
                <w:rFonts w:hint="eastAsia"/>
              </w:rPr>
              <w:t>（m</w:t>
            </w:r>
            <w:r>
              <w:rPr>
                <w:rFonts w:hint="eastAsia"/>
                <w:vertAlign w:val="superscript"/>
              </w:rPr>
              <w:t>2</w:t>
            </w:r>
            <w:r>
              <w:rPr>
                <w:rFonts w:hint="eastAsia"/>
              </w:rPr>
              <w:t>）</w:t>
            </w:r>
          </w:p>
        </w:tc>
        <w:tc>
          <w:tcPr>
            <w:tcW w:w="1697" w:type="dxa"/>
            <w:vAlign w:val="center"/>
          </w:tcPr>
          <w:p>
            <w:pPr>
              <w:pStyle w:val="89"/>
              <w:ind w:left="115" w:right="170"/>
            </w:pPr>
            <w:r>
              <w:rPr>
                <w:rFonts w:hint="eastAsia"/>
              </w:rPr>
              <w:t>用水</w:t>
            </w:r>
            <w:r>
              <w:t>参数</w:t>
            </w:r>
          </w:p>
          <w:p>
            <w:pPr>
              <w:pStyle w:val="89"/>
              <w:ind w:left="115" w:right="170"/>
            </w:pPr>
            <w:r>
              <w:rPr>
                <w:rFonts w:hint="eastAsia"/>
              </w:rPr>
              <w:t>（L/</w:t>
            </w:r>
            <w:r>
              <w:t>m</w:t>
            </w:r>
            <w:r>
              <w:rPr>
                <w:vertAlign w:val="superscript"/>
              </w:rPr>
              <w:t>2</w:t>
            </w:r>
            <w:r>
              <w:t>·次</w:t>
            </w:r>
            <w:r>
              <w:rPr>
                <w:rFonts w:hint="eastAsia"/>
              </w:rPr>
              <w:t>）</w:t>
            </w:r>
          </w:p>
        </w:tc>
        <w:tc>
          <w:tcPr>
            <w:tcW w:w="1638" w:type="dxa"/>
            <w:vAlign w:val="center"/>
          </w:tcPr>
          <w:p>
            <w:pPr>
              <w:pStyle w:val="89"/>
              <w:ind w:left="115" w:right="170"/>
            </w:pPr>
            <w:r>
              <w:rPr>
                <w:rFonts w:hint="eastAsia"/>
              </w:rPr>
              <w:t>清</w:t>
            </w:r>
            <w:r>
              <w:t>舍</w:t>
            </w:r>
            <w:r>
              <w:rPr>
                <w:rFonts w:hint="eastAsia"/>
              </w:rPr>
              <w:t>次数（次/</w:t>
            </w:r>
            <w:r>
              <w:t>a</w:t>
            </w:r>
            <w:r>
              <w:rPr>
                <w:rFonts w:hint="eastAsia"/>
              </w:rPr>
              <w:t>）</w:t>
            </w:r>
          </w:p>
        </w:tc>
        <w:tc>
          <w:tcPr>
            <w:tcW w:w="1671" w:type="dxa"/>
            <w:vAlign w:val="center"/>
          </w:tcPr>
          <w:p>
            <w:pPr>
              <w:pStyle w:val="89"/>
              <w:ind w:left="115" w:right="170"/>
            </w:pPr>
            <w:r>
              <w:rPr>
                <w:rFonts w:hint="eastAsia"/>
              </w:rPr>
              <w:t>用水量</w:t>
            </w:r>
          </w:p>
          <w:p>
            <w:pPr>
              <w:pStyle w:val="89"/>
              <w:ind w:left="115" w:right="170"/>
            </w:pPr>
            <w:r>
              <w:rPr>
                <w:rFonts w:hint="eastAsia"/>
              </w:rPr>
              <w:t>（m</w:t>
            </w:r>
            <w:r>
              <w:rPr>
                <w:rFonts w:hint="eastAsia"/>
                <w:vertAlign w:val="superscript"/>
              </w:rPr>
              <w:t>3</w:t>
            </w:r>
            <w:r>
              <w:rPr>
                <w:rFonts w:hint="eastAsi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19" w:type="dxa"/>
            <w:vAlign w:val="center"/>
          </w:tcPr>
          <w:p>
            <w:pPr>
              <w:pStyle w:val="89"/>
              <w:ind w:left="115" w:right="170"/>
            </w:pPr>
            <w:r>
              <w:rPr>
                <w:rFonts w:hint="eastAsia"/>
              </w:rPr>
              <w:t>配</w:t>
            </w:r>
            <w:r>
              <w:t>怀舍</w:t>
            </w:r>
          </w:p>
        </w:tc>
        <w:tc>
          <w:tcPr>
            <w:tcW w:w="1657" w:type="dxa"/>
            <w:vAlign w:val="center"/>
          </w:tcPr>
          <w:p>
            <w:pPr>
              <w:pStyle w:val="89"/>
              <w:ind w:left="115" w:right="170"/>
            </w:pPr>
            <w:r>
              <w:rPr>
                <w:rFonts w:hint="eastAsia"/>
              </w:rPr>
              <w:t>2600</w:t>
            </w:r>
          </w:p>
        </w:tc>
        <w:tc>
          <w:tcPr>
            <w:tcW w:w="1697" w:type="dxa"/>
            <w:vAlign w:val="center"/>
          </w:tcPr>
          <w:p>
            <w:pPr>
              <w:pStyle w:val="89"/>
              <w:ind w:left="115" w:right="170"/>
            </w:pPr>
            <w:r>
              <w:rPr>
                <w:rFonts w:hint="eastAsia"/>
              </w:rPr>
              <w:t>6</w:t>
            </w:r>
          </w:p>
        </w:tc>
        <w:tc>
          <w:tcPr>
            <w:tcW w:w="1638" w:type="dxa"/>
            <w:vAlign w:val="center"/>
          </w:tcPr>
          <w:p>
            <w:pPr>
              <w:pStyle w:val="89"/>
              <w:ind w:left="115" w:right="170"/>
            </w:pPr>
            <w:r>
              <w:rPr>
                <w:rFonts w:hint="eastAsia"/>
              </w:rPr>
              <w:t>40</w:t>
            </w:r>
          </w:p>
        </w:tc>
        <w:tc>
          <w:tcPr>
            <w:tcW w:w="1671" w:type="dxa"/>
            <w:vAlign w:val="center"/>
          </w:tcPr>
          <w:p>
            <w:pPr>
              <w:pStyle w:val="89"/>
              <w:ind w:left="115" w:right="170"/>
            </w:pPr>
            <w:r>
              <w:rPr>
                <w:rFonts w:hint="eastAsia"/>
              </w:rPr>
              <w:t>624</w:t>
            </w:r>
          </w:p>
        </w:tc>
      </w:tr>
    </w:tbl>
    <w:p>
      <w:pPr>
        <w:ind w:firstLine="480"/>
      </w:pPr>
      <w:r>
        <w:rPr>
          <w:rFonts w:hint="eastAsia"/>
        </w:rPr>
        <w:t>（4）消毒</w:t>
      </w:r>
      <w:r>
        <w:t>用水</w:t>
      </w:r>
    </w:p>
    <w:p>
      <w:pPr>
        <w:ind w:firstLine="480"/>
      </w:pPr>
      <w:r>
        <w:rPr>
          <w:rFonts w:hint="eastAsia"/>
        </w:rPr>
        <w:t>避免猪传染病的发生及传染，猪舍及各类用具需定期消毒，场区、猪舍消毒时消毒液均需用水配制后使用。项目每7天消毒一次，根据建设单位提供资料，本项目消毒用水量为2.0m</w:t>
      </w:r>
      <w:r>
        <w:rPr>
          <w:rFonts w:hint="eastAsia"/>
          <w:vertAlign w:val="superscript"/>
        </w:rPr>
        <w:t>3</w:t>
      </w:r>
      <w:r>
        <w:rPr>
          <w:rFonts w:hint="eastAsia"/>
        </w:rPr>
        <w:t>/次，年用水量约104m</w:t>
      </w:r>
      <w:r>
        <w:rPr>
          <w:rFonts w:hint="eastAsia"/>
          <w:vertAlign w:val="superscript"/>
        </w:rPr>
        <w:t>3</w:t>
      </w:r>
      <w:r>
        <w:rPr>
          <w:rFonts w:hint="eastAsia"/>
        </w:rPr>
        <w:t>/a。</w:t>
      </w:r>
    </w:p>
    <w:p>
      <w:pPr>
        <w:ind w:firstLine="480"/>
      </w:pPr>
      <w:r>
        <w:rPr>
          <w:rFonts w:hint="eastAsia"/>
        </w:rPr>
        <w:t>综上</w:t>
      </w:r>
      <w:r>
        <w:t>所述，项目用水总量为15136.2 m</w:t>
      </w:r>
      <w:r>
        <w:rPr>
          <w:vertAlign w:val="superscript"/>
        </w:rPr>
        <w:t>3</w:t>
      </w:r>
      <w:r>
        <w:t>/a。</w:t>
      </w:r>
    </w:p>
    <w:p>
      <w:pPr>
        <w:ind w:firstLine="480"/>
      </w:pPr>
      <w:r>
        <w:rPr>
          <w:rFonts w:hint="eastAsia"/>
        </w:rPr>
        <w:t>2、排水</w:t>
      </w:r>
      <w:r>
        <w:t>系统</w:t>
      </w:r>
    </w:p>
    <w:p>
      <w:pPr>
        <w:ind w:firstLine="480"/>
      </w:pPr>
      <w:r>
        <w:rPr>
          <w:rFonts w:hint="eastAsia"/>
        </w:rPr>
        <w:t>项目</w:t>
      </w:r>
      <w:r>
        <w:t>排水系统采用雨污分流制。雨水经雨水管道排至场区外的田间地沟中。项目生活污水、养殖区废水一起进入污水处理系统处理。项目污水处理采用</w:t>
      </w:r>
      <w:r>
        <w:rPr>
          <w:rFonts w:hint="eastAsia"/>
          <w:spacing w:val="4"/>
        </w:rPr>
        <w:t>“集粪</w:t>
      </w:r>
      <w:r>
        <w:rPr>
          <w:spacing w:val="4"/>
        </w:rPr>
        <w:t>池</w:t>
      </w:r>
      <w:r>
        <w:rPr>
          <w:rFonts w:hint="eastAsia"/>
          <w:spacing w:val="4"/>
        </w:rPr>
        <w:t>+厌氧</w:t>
      </w:r>
      <w:r>
        <w:rPr>
          <w:spacing w:val="4"/>
        </w:rPr>
        <w:t>发酵池处理</w:t>
      </w:r>
      <w:r>
        <w:rPr>
          <w:rFonts w:hint="eastAsia"/>
          <w:spacing w:val="4"/>
        </w:rPr>
        <w:t>”，</w:t>
      </w:r>
      <w:r>
        <w:rPr>
          <w:rFonts w:hint="eastAsia"/>
        </w:rPr>
        <w:t>废水</w:t>
      </w:r>
      <w:r>
        <w:t>产生总量为</w:t>
      </w:r>
      <w:r>
        <w:rPr>
          <w:rFonts w:hint="eastAsia"/>
        </w:rPr>
        <w:t>7664.35</w:t>
      </w:r>
      <w:r>
        <w:t>m</w:t>
      </w:r>
      <w:r>
        <w:rPr>
          <w:vertAlign w:val="superscript"/>
        </w:rPr>
        <w:t>3</w:t>
      </w:r>
      <w:r>
        <w:t>/a。</w:t>
      </w:r>
    </w:p>
    <w:p>
      <w:pPr>
        <w:ind w:firstLine="480"/>
      </w:pPr>
      <w:r>
        <w:rPr>
          <w:rFonts w:hint="eastAsia"/>
        </w:rPr>
        <w:t>（1）生活污水</w:t>
      </w:r>
    </w:p>
    <w:p>
      <w:pPr>
        <w:ind w:firstLine="480"/>
      </w:pPr>
      <w:r>
        <w:rPr>
          <w:rFonts w:hint="eastAsia"/>
        </w:rPr>
        <w:t>生活</w:t>
      </w:r>
      <w:r>
        <w:t>污水的</w:t>
      </w:r>
      <w:r>
        <w:rPr>
          <w:rFonts w:hint="eastAsia"/>
        </w:rPr>
        <w:t>产生</w:t>
      </w:r>
      <w:r>
        <w:t>量按</w:t>
      </w:r>
      <w:r>
        <w:rPr>
          <w:rFonts w:hint="eastAsia"/>
        </w:rPr>
        <w:t>用水量的80</w:t>
      </w:r>
      <w:r>
        <w:t>%计算，则项目生活污水产生量为</w:t>
      </w:r>
      <w:r>
        <w:rPr>
          <w:rFonts w:hint="eastAsia"/>
        </w:rPr>
        <w:t>2.91</w:t>
      </w:r>
      <w:r>
        <w:t>m</w:t>
      </w:r>
      <w:r>
        <w:rPr>
          <w:vertAlign w:val="superscript"/>
        </w:rPr>
        <w:t>3</w:t>
      </w:r>
      <w:r>
        <w:t>/d</w:t>
      </w:r>
      <w:r>
        <w:rPr>
          <w:rFonts w:hint="eastAsia"/>
        </w:rPr>
        <w:t>（1062.15</w:t>
      </w:r>
      <w:r>
        <w:t>m</w:t>
      </w:r>
      <w:r>
        <w:rPr>
          <w:vertAlign w:val="superscript"/>
        </w:rPr>
        <w:t>3</w:t>
      </w:r>
      <w:r>
        <w:t>/a</w:t>
      </w:r>
      <w:r>
        <w:rPr>
          <w:rFonts w:hint="eastAsia"/>
        </w:rPr>
        <w:t>）</w:t>
      </w:r>
      <w:r>
        <w:t>。</w:t>
      </w:r>
    </w:p>
    <w:p>
      <w:pPr>
        <w:ind w:firstLine="480"/>
      </w:pPr>
      <w:r>
        <w:rPr>
          <w:rFonts w:hint="eastAsia"/>
        </w:rPr>
        <w:t>（2）猪舍</w:t>
      </w:r>
      <w:r>
        <w:t>冲洗废水</w:t>
      </w:r>
    </w:p>
    <w:p>
      <w:pPr>
        <w:ind w:firstLine="480"/>
      </w:pPr>
      <w:r>
        <w:rPr>
          <w:rFonts w:hint="eastAsia"/>
        </w:rPr>
        <w:t>项目采用干清粪工艺，废水产生量按用水量的80%计，项目猪舍冲洗用水量为624</w:t>
      </w:r>
      <w:r>
        <w:t>m</w:t>
      </w:r>
      <w:r>
        <w:rPr>
          <w:vertAlign w:val="superscript"/>
        </w:rPr>
        <w:t>3</w:t>
      </w:r>
      <w:r>
        <w:t>/a</w:t>
      </w:r>
      <w:r>
        <w:rPr>
          <w:rFonts w:hint="eastAsia"/>
        </w:rPr>
        <w:t>，</w:t>
      </w:r>
      <w:r>
        <w:t>则冲洗废水产生量为</w:t>
      </w:r>
      <w:r>
        <w:rPr>
          <w:rFonts w:hint="eastAsia"/>
        </w:rPr>
        <w:t>499.2</w:t>
      </w:r>
      <w:r>
        <w:t>m</w:t>
      </w:r>
      <w:r>
        <w:rPr>
          <w:vertAlign w:val="superscript"/>
        </w:rPr>
        <w:t>3</w:t>
      </w:r>
      <w:r>
        <w:t>/a。</w:t>
      </w:r>
    </w:p>
    <w:p>
      <w:pPr>
        <w:ind w:firstLine="480"/>
      </w:pPr>
      <w:r>
        <w:rPr>
          <w:rFonts w:hint="eastAsia"/>
        </w:rPr>
        <w:t>（3）猪</w:t>
      </w:r>
      <w:r>
        <w:t>尿</w:t>
      </w:r>
    </w:p>
    <w:p>
      <w:pPr>
        <w:ind w:firstLine="480"/>
      </w:pPr>
      <w:r>
        <w:rPr>
          <w:rFonts w:hint="eastAsia"/>
        </w:rPr>
        <w:t>根据</w:t>
      </w:r>
      <w:r>
        <w:t>《</w:t>
      </w:r>
      <w:r>
        <w:rPr>
          <w:rFonts w:hint="eastAsia"/>
        </w:rPr>
        <w:t>规模</w:t>
      </w:r>
      <w:r>
        <w:t>畜禽养殖场污染防治最佳可行技术指南（</w:t>
      </w:r>
      <w:r>
        <w:rPr>
          <w:rFonts w:hint="eastAsia"/>
        </w:rPr>
        <w:t>试行</w:t>
      </w:r>
      <w:r>
        <w:t>）》</w:t>
      </w:r>
      <w:r>
        <w:rPr>
          <w:rFonts w:hint="eastAsia"/>
        </w:rPr>
        <w:t>（征求</w:t>
      </w:r>
      <w:r>
        <w:t>意见稿</w:t>
      </w:r>
      <w:r>
        <w:rPr>
          <w:rFonts w:hint="eastAsia"/>
        </w:rPr>
        <w:t>）（编制</w:t>
      </w:r>
      <w:r>
        <w:t>说明</w:t>
      </w:r>
      <w:r>
        <w:rPr>
          <w:rFonts w:hint="eastAsia"/>
        </w:rPr>
        <w:t>）。</w:t>
      </w:r>
      <w:r>
        <w:t>猪尿</w:t>
      </w:r>
      <w:r>
        <w:rPr>
          <w:rFonts w:hint="eastAsia"/>
        </w:rPr>
        <w:t>排</w:t>
      </w:r>
      <w:r>
        <w:t>泄量计算公式为：</w:t>
      </w:r>
    </w:p>
    <w:p>
      <w:pPr>
        <w:ind w:firstLine="480"/>
        <w:jc w:val="center"/>
      </w:pPr>
      <w:r>
        <w:t>Yu=0.205+0.438W</w:t>
      </w:r>
    </w:p>
    <w:p>
      <w:pPr>
        <w:ind w:firstLine="480"/>
        <w:jc w:val="left"/>
      </w:pPr>
      <w:r>
        <w:rPr>
          <w:rFonts w:hint="eastAsia"/>
        </w:rPr>
        <w:t>式</w:t>
      </w:r>
      <w:r>
        <w:t>中：Yu——猪尿排泄量（</w:t>
      </w:r>
      <w:r>
        <w:rPr>
          <w:rFonts w:hint="eastAsia"/>
        </w:rPr>
        <w:t>L</w:t>
      </w:r>
      <w:r>
        <w:t>/d·头）</w:t>
      </w:r>
      <w:r>
        <w:rPr>
          <w:rFonts w:hint="eastAsia"/>
        </w:rPr>
        <w:t>；</w:t>
      </w:r>
    </w:p>
    <w:p>
      <w:pPr>
        <w:ind w:firstLine="480"/>
        <w:jc w:val="left"/>
      </w:pPr>
      <w:r>
        <w:t>W——猪的饮水量（</w:t>
      </w:r>
      <w:r>
        <w:rPr>
          <w:rFonts w:hint="eastAsia"/>
        </w:rPr>
        <w:t>L</w:t>
      </w:r>
      <w:r>
        <w:t>/d·头）</w:t>
      </w:r>
      <w:r>
        <w:rPr>
          <w:rFonts w:hint="eastAsia"/>
        </w:rPr>
        <w:t>。</w:t>
      </w:r>
    </w:p>
    <w:p>
      <w:pPr>
        <w:ind w:firstLine="480"/>
        <w:jc w:val="left"/>
      </w:pPr>
      <w:r>
        <w:rPr>
          <w:rFonts w:hint="eastAsia"/>
        </w:rPr>
        <w:t>经计算</w:t>
      </w:r>
      <w:r>
        <w:t>，项目养殖过程中猪尿液产生量见</w:t>
      </w:r>
      <w:r>
        <w:rPr>
          <w:rFonts w:hint="eastAsia"/>
        </w:rPr>
        <w:t>表3.1-9</w:t>
      </w:r>
      <w:r>
        <w:t>。</w:t>
      </w:r>
    </w:p>
    <w:p>
      <w:pPr>
        <w:pStyle w:val="41"/>
      </w:pPr>
      <w:bookmarkStart w:id="64" w:name="_Ref36742135"/>
      <w:r>
        <w:rPr>
          <w:rFonts w:hint="eastAsia" w:ascii="宋体" w:hAnsi="宋体" w:eastAsia="宋体" w:cs="宋体"/>
        </w:rPr>
        <w:t>表</w:t>
      </w:r>
      <w:r>
        <w:rPr>
          <w:rFonts w:hAnsi="Times New Roman" w:eastAsia="宋体"/>
        </w:rPr>
        <w:fldChar w:fldCharType="begin"/>
      </w:r>
      <w:r>
        <w:rPr>
          <w:rFonts w:hAnsi="Times New Roman" w:eastAsia="宋体"/>
        </w:rPr>
        <w:instrText xml:space="preserve">STYLEREF 2 \s</w:instrText>
      </w:r>
      <w:r>
        <w:rPr>
          <w:rFonts w:hAnsi="Times New Roman" w:eastAsia="宋体"/>
        </w:rPr>
        <w:fldChar w:fldCharType="separate"/>
      </w:r>
      <w:r>
        <w:rPr>
          <w:rFonts w:hAnsi="Times New Roman" w:eastAsia="宋体"/>
        </w:rPr>
        <w:t>3.1</w:t>
      </w:r>
      <w:r>
        <w:rPr>
          <w:rFonts w:hAnsi="Times New Roman" w:eastAsia="宋体"/>
        </w:rPr>
        <w:fldChar w:fldCharType="end"/>
      </w:r>
      <w:r>
        <w:rPr>
          <w:rFonts w:hAnsi="Times New Roman" w:eastAsia="宋体"/>
        </w:rPr>
        <w:noBreakHyphen/>
      </w:r>
      <w:bookmarkEnd w:id="64"/>
      <w:r>
        <w:rPr>
          <w:rFonts w:hAnsi="Times New Roman" w:eastAsia="宋体"/>
        </w:rPr>
        <w:t xml:space="preserve">9  </w:t>
      </w:r>
      <w:r>
        <w:rPr>
          <w:rFonts w:hint="eastAsia" w:ascii="宋体" w:hAnsi="宋体" w:eastAsia="宋体" w:cs="宋体"/>
        </w:rPr>
        <w:t>项目猪尿产生量一览表</w:t>
      </w:r>
    </w:p>
    <w:tbl>
      <w:tblPr>
        <w:tblStyle w:val="27"/>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33"/>
        <w:gridCol w:w="1493"/>
        <w:gridCol w:w="1655"/>
        <w:gridCol w:w="1318"/>
        <w:gridCol w:w="1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7" w:type="dxa"/>
            <w:vAlign w:val="center"/>
          </w:tcPr>
          <w:p>
            <w:pPr>
              <w:pStyle w:val="89"/>
              <w:ind w:left="115" w:right="170"/>
            </w:pPr>
            <w:r>
              <w:rPr>
                <w:rFonts w:hint="eastAsia"/>
              </w:rPr>
              <w:t>种类</w:t>
            </w:r>
          </w:p>
        </w:tc>
        <w:tc>
          <w:tcPr>
            <w:tcW w:w="1233" w:type="dxa"/>
            <w:vAlign w:val="center"/>
          </w:tcPr>
          <w:p>
            <w:pPr>
              <w:pStyle w:val="89"/>
              <w:ind w:left="115" w:right="170"/>
            </w:pPr>
            <w:r>
              <w:rPr>
                <w:rFonts w:hint="eastAsia"/>
              </w:rPr>
              <w:t>存栏</w:t>
            </w:r>
            <w:r>
              <w:t>量</w:t>
            </w:r>
            <w:r>
              <w:rPr>
                <w:rFonts w:hint="eastAsia"/>
              </w:rPr>
              <w:t>（头）</w:t>
            </w:r>
          </w:p>
        </w:tc>
        <w:tc>
          <w:tcPr>
            <w:tcW w:w="1493" w:type="dxa"/>
            <w:vAlign w:val="center"/>
          </w:tcPr>
          <w:p>
            <w:pPr>
              <w:pStyle w:val="89"/>
              <w:ind w:left="115" w:right="170"/>
            </w:pPr>
            <w:r>
              <w:rPr>
                <w:rFonts w:hint="eastAsia"/>
              </w:rPr>
              <w:t>饮用量（L</w:t>
            </w:r>
            <w:r>
              <w:t>/d·头</w:t>
            </w:r>
            <w:r>
              <w:rPr>
                <w:rFonts w:hint="eastAsia"/>
              </w:rPr>
              <w:t>）</w:t>
            </w:r>
          </w:p>
        </w:tc>
        <w:tc>
          <w:tcPr>
            <w:tcW w:w="1655" w:type="dxa"/>
            <w:vAlign w:val="center"/>
          </w:tcPr>
          <w:p>
            <w:pPr>
              <w:pStyle w:val="89"/>
              <w:ind w:left="115" w:right="170"/>
            </w:pPr>
            <w:r>
              <w:rPr>
                <w:rFonts w:hint="eastAsia"/>
              </w:rPr>
              <w:t>单</w:t>
            </w:r>
            <w:r>
              <w:t>头</w:t>
            </w:r>
            <w:r>
              <w:rPr>
                <w:rFonts w:hint="eastAsia"/>
              </w:rPr>
              <w:t>猪尿</w:t>
            </w:r>
          </w:p>
          <w:p>
            <w:pPr>
              <w:pStyle w:val="89"/>
              <w:ind w:left="115" w:right="170"/>
            </w:pPr>
            <w:r>
              <w:t>产生量</w:t>
            </w:r>
            <w:r>
              <w:rPr>
                <w:rFonts w:hint="eastAsia"/>
              </w:rPr>
              <w:t>（L</w:t>
            </w:r>
            <w:r>
              <w:t>/d·头</w:t>
            </w:r>
            <w:r>
              <w:rPr>
                <w:rFonts w:hint="eastAsia"/>
              </w:rPr>
              <w:t>）</w:t>
            </w:r>
          </w:p>
        </w:tc>
        <w:tc>
          <w:tcPr>
            <w:tcW w:w="1318" w:type="dxa"/>
            <w:vAlign w:val="center"/>
          </w:tcPr>
          <w:p>
            <w:pPr>
              <w:pStyle w:val="89"/>
              <w:ind w:left="115" w:right="170"/>
            </w:pPr>
            <w:r>
              <w:rPr>
                <w:rFonts w:hint="eastAsia"/>
              </w:rPr>
              <w:t>猪</w:t>
            </w:r>
            <w:r>
              <w:t>尿日产生量（</w:t>
            </w:r>
            <w:r>
              <w:rPr>
                <w:rFonts w:hint="eastAsia"/>
              </w:rPr>
              <w:t>m</w:t>
            </w:r>
            <w:r>
              <w:rPr>
                <w:rFonts w:hint="eastAsia"/>
                <w:vertAlign w:val="superscript"/>
              </w:rPr>
              <w:t>3</w:t>
            </w:r>
            <w:r>
              <w:rPr>
                <w:rFonts w:hint="eastAsia"/>
              </w:rPr>
              <w:t>/d</w:t>
            </w:r>
            <w:r>
              <w:t>）</w:t>
            </w:r>
          </w:p>
        </w:tc>
        <w:tc>
          <w:tcPr>
            <w:tcW w:w="1446" w:type="dxa"/>
            <w:vAlign w:val="center"/>
          </w:tcPr>
          <w:p>
            <w:pPr>
              <w:pStyle w:val="89"/>
              <w:ind w:left="115" w:right="170"/>
            </w:pPr>
            <w:r>
              <w:rPr>
                <w:rFonts w:hint="eastAsia"/>
              </w:rPr>
              <w:t>猪尿</w:t>
            </w:r>
            <w:r>
              <w:t>年产生量</w:t>
            </w:r>
          </w:p>
          <w:p>
            <w:pPr>
              <w:pStyle w:val="89"/>
              <w:ind w:left="115" w:right="170"/>
            </w:pPr>
            <w:r>
              <w:rPr>
                <w:rFonts w:hint="eastAsia"/>
              </w:rPr>
              <w:t>（</w:t>
            </w:r>
            <w:r>
              <w:t>m</w:t>
            </w:r>
            <w:r>
              <w:rPr>
                <w:vertAlign w:val="superscript"/>
              </w:rPr>
              <w:t>3</w:t>
            </w:r>
            <w:r>
              <w:t>/a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7" w:type="dxa"/>
            <w:vAlign w:val="center"/>
          </w:tcPr>
          <w:p>
            <w:pPr>
              <w:pStyle w:val="89"/>
              <w:rPr>
                <w:sz w:val="22"/>
                <w:szCs w:val="22"/>
              </w:rPr>
            </w:pPr>
            <w:r>
              <w:rPr>
                <w:rFonts w:hint="eastAsia"/>
                <w:sz w:val="22"/>
                <w:szCs w:val="22"/>
              </w:rPr>
              <w:t>保育猪</w:t>
            </w:r>
          </w:p>
        </w:tc>
        <w:tc>
          <w:tcPr>
            <w:tcW w:w="1233" w:type="dxa"/>
            <w:vAlign w:val="center"/>
          </w:tcPr>
          <w:p>
            <w:pPr>
              <w:pStyle w:val="89"/>
              <w:ind w:left="115" w:right="170"/>
              <w:rPr>
                <w:sz w:val="22"/>
                <w:szCs w:val="22"/>
              </w:rPr>
            </w:pPr>
            <w:r>
              <w:rPr>
                <w:rFonts w:hint="eastAsia"/>
                <w:sz w:val="22"/>
                <w:szCs w:val="22"/>
              </w:rPr>
              <w:t>1192</w:t>
            </w:r>
          </w:p>
        </w:tc>
        <w:tc>
          <w:tcPr>
            <w:tcW w:w="1493" w:type="dxa"/>
            <w:vAlign w:val="center"/>
          </w:tcPr>
          <w:p>
            <w:pPr>
              <w:pStyle w:val="89"/>
              <w:ind w:left="115" w:right="170"/>
              <w:rPr>
                <w:sz w:val="22"/>
                <w:szCs w:val="22"/>
              </w:rPr>
            </w:pPr>
            <w:r>
              <w:rPr>
                <w:rFonts w:hint="eastAsia"/>
                <w:sz w:val="22"/>
                <w:szCs w:val="22"/>
              </w:rPr>
              <w:t>5.12</w:t>
            </w:r>
          </w:p>
        </w:tc>
        <w:tc>
          <w:tcPr>
            <w:tcW w:w="1655" w:type="dxa"/>
            <w:vAlign w:val="center"/>
          </w:tcPr>
          <w:p>
            <w:pPr>
              <w:pStyle w:val="89"/>
              <w:ind w:left="115" w:right="170"/>
              <w:rPr>
                <w:sz w:val="22"/>
                <w:szCs w:val="22"/>
              </w:rPr>
            </w:pPr>
            <w:r>
              <w:rPr>
                <w:rFonts w:hint="eastAsia"/>
                <w:sz w:val="22"/>
                <w:szCs w:val="22"/>
              </w:rPr>
              <w:t>2.45</w:t>
            </w:r>
          </w:p>
        </w:tc>
        <w:tc>
          <w:tcPr>
            <w:tcW w:w="1318" w:type="dxa"/>
            <w:vAlign w:val="bottom"/>
          </w:tcPr>
          <w:p>
            <w:pPr>
              <w:pStyle w:val="89"/>
              <w:ind w:left="115" w:right="170"/>
              <w:rPr>
                <w:sz w:val="22"/>
                <w:szCs w:val="22"/>
              </w:rPr>
            </w:pPr>
            <w:r>
              <w:rPr>
                <w:rFonts w:hint="eastAsia"/>
                <w:sz w:val="22"/>
                <w:szCs w:val="22"/>
              </w:rPr>
              <w:t>2.92</w:t>
            </w:r>
          </w:p>
        </w:tc>
        <w:tc>
          <w:tcPr>
            <w:tcW w:w="1446" w:type="dxa"/>
            <w:vAlign w:val="bottom"/>
          </w:tcPr>
          <w:p>
            <w:pPr>
              <w:pStyle w:val="89"/>
              <w:ind w:left="115" w:right="170"/>
              <w:rPr>
                <w:sz w:val="22"/>
                <w:szCs w:val="22"/>
              </w:rPr>
            </w:pPr>
            <w:r>
              <w:rPr>
                <w:rFonts w:hint="eastAsia"/>
                <w:sz w:val="22"/>
                <w:szCs w:val="22"/>
              </w:rPr>
              <w:t>1064.88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7" w:type="dxa"/>
            <w:vAlign w:val="center"/>
          </w:tcPr>
          <w:p>
            <w:pPr>
              <w:pStyle w:val="89"/>
              <w:rPr>
                <w:sz w:val="22"/>
                <w:szCs w:val="22"/>
              </w:rPr>
            </w:pPr>
            <w:r>
              <w:rPr>
                <w:rFonts w:hint="eastAsia"/>
                <w:sz w:val="22"/>
                <w:szCs w:val="22"/>
              </w:rPr>
              <w:t>育肥猪</w:t>
            </w:r>
          </w:p>
        </w:tc>
        <w:tc>
          <w:tcPr>
            <w:tcW w:w="1233" w:type="dxa"/>
            <w:vAlign w:val="center"/>
          </w:tcPr>
          <w:p>
            <w:pPr>
              <w:pStyle w:val="89"/>
              <w:ind w:left="115" w:right="170"/>
              <w:rPr>
                <w:sz w:val="22"/>
                <w:szCs w:val="22"/>
              </w:rPr>
            </w:pPr>
            <w:r>
              <w:rPr>
                <w:sz w:val="22"/>
                <w:szCs w:val="22"/>
              </w:rPr>
              <w:t>3200</w:t>
            </w:r>
          </w:p>
        </w:tc>
        <w:tc>
          <w:tcPr>
            <w:tcW w:w="1493" w:type="dxa"/>
            <w:vAlign w:val="center"/>
          </w:tcPr>
          <w:p>
            <w:pPr>
              <w:pStyle w:val="89"/>
              <w:ind w:left="115" w:right="170"/>
              <w:rPr>
                <w:sz w:val="22"/>
                <w:szCs w:val="22"/>
              </w:rPr>
            </w:pPr>
            <w:r>
              <w:rPr>
                <w:rFonts w:hint="eastAsia"/>
                <w:sz w:val="22"/>
                <w:szCs w:val="22"/>
              </w:rPr>
              <w:t>6.96</w:t>
            </w:r>
          </w:p>
        </w:tc>
        <w:tc>
          <w:tcPr>
            <w:tcW w:w="1655" w:type="dxa"/>
            <w:vAlign w:val="center"/>
          </w:tcPr>
          <w:p>
            <w:pPr>
              <w:pStyle w:val="89"/>
              <w:ind w:left="115" w:right="170"/>
              <w:rPr>
                <w:sz w:val="22"/>
                <w:szCs w:val="22"/>
              </w:rPr>
            </w:pPr>
            <w:r>
              <w:rPr>
                <w:rFonts w:hint="eastAsia"/>
                <w:sz w:val="22"/>
                <w:szCs w:val="22"/>
              </w:rPr>
              <w:t>3.25</w:t>
            </w:r>
          </w:p>
        </w:tc>
        <w:tc>
          <w:tcPr>
            <w:tcW w:w="1318" w:type="dxa"/>
            <w:vAlign w:val="bottom"/>
          </w:tcPr>
          <w:p>
            <w:pPr>
              <w:pStyle w:val="89"/>
              <w:ind w:left="115" w:right="170"/>
              <w:rPr>
                <w:sz w:val="22"/>
                <w:szCs w:val="22"/>
              </w:rPr>
            </w:pPr>
            <w:r>
              <w:rPr>
                <w:rFonts w:hint="eastAsia"/>
                <w:sz w:val="22"/>
                <w:szCs w:val="22"/>
              </w:rPr>
              <w:t>10.41</w:t>
            </w:r>
          </w:p>
        </w:tc>
        <w:tc>
          <w:tcPr>
            <w:tcW w:w="1446" w:type="dxa"/>
            <w:vAlign w:val="bottom"/>
          </w:tcPr>
          <w:p>
            <w:pPr>
              <w:pStyle w:val="89"/>
              <w:ind w:left="115" w:right="170"/>
              <w:rPr>
                <w:sz w:val="22"/>
                <w:szCs w:val="22"/>
              </w:rPr>
            </w:pPr>
            <w:r>
              <w:rPr>
                <w:rFonts w:hint="eastAsia"/>
                <w:sz w:val="22"/>
                <w:szCs w:val="22"/>
              </w:rPr>
              <w:t>3800.06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7" w:type="dxa"/>
            <w:vAlign w:val="center"/>
          </w:tcPr>
          <w:p>
            <w:pPr>
              <w:pStyle w:val="89"/>
              <w:ind w:left="115" w:right="170"/>
              <w:rPr>
                <w:sz w:val="22"/>
                <w:szCs w:val="22"/>
              </w:rPr>
            </w:pPr>
            <w:r>
              <w:rPr>
                <w:rFonts w:hint="eastAsia"/>
                <w:sz w:val="22"/>
                <w:szCs w:val="22"/>
              </w:rPr>
              <w:t>母猪</w:t>
            </w:r>
          </w:p>
        </w:tc>
        <w:tc>
          <w:tcPr>
            <w:tcW w:w="1233" w:type="dxa"/>
            <w:vAlign w:val="center"/>
          </w:tcPr>
          <w:p>
            <w:pPr>
              <w:pStyle w:val="89"/>
              <w:ind w:left="115" w:right="170"/>
              <w:rPr>
                <w:sz w:val="22"/>
                <w:szCs w:val="22"/>
              </w:rPr>
            </w:pPr>
            <w:r>
              <w:rPr>
                <w:rFonts w:hint="eastAsia"/>
                <w:sz w:val="22"/>
                <w:szCs w:val="22"/>
              </w:rPr>
              <w:t>600</w:t>
            </w:r>
          </w:p>
        </w:tc>
        <w:tc>
          <w:tcPr>
            <w:tcW w:w="1493" w:type="dxa"/>
            <w:vAlign w:val="center"/>
          </w:tcPr>
          <w:p>
            <w:pPr>
              <w:pStyle w:val="89"/>
              <w:ind w:left="115" w:right="170"/>
              <w:rPr>
                <w:sz w:val="22"/>
                <w:szCs w:val="22"/>
              </w:rPr>
            </w:pPr>
            <w:r>
              <w:rPr>
                <w:rFonts w:hint="eastAsia"/>
                <w:sz w:val="22"/>
                <w:szCs w:val="22"/>
              </w:rPr>
              <w:t>12.29</w:t>
            </w:r>
          </w:p>
        </w:tc>
        <w:tc>
          <w:tcPr>
            <w:tcW w:w="1655" w:type="dxa"/>
            <w:vAlign w:val="center"/>
          </w:tcPr>
          <w:p>
            <w:pPr>
              <w:pStyle w:val="89"/>
              <w:ind w:left="115" w:right="170"/>
              <w:rPr>
                <w:sz w:val="22"/>
                <w:szCs w:val="22"/>
              </w:rPr>
            </w:pPr>
            <w:r>
              <w:rPr>
                <w:rFonts w:hint="eastAsia"/>
                <w:sz w:val="22"/>
                <w:szCs w:val="22"/>
              </w:rPr>
              <w:t>5.59</w:t>
            </w:r>
          </w:p>
        </w:tc>
        <w:tc>
          <w:tcPr>
            <w:tcW w:w="1318" w:type="dxa"/>
            <w:vAlign w:val="bottom"/>
          </w:tcPr>
          <w:p>
            <w:pPr>
              <w:pStyle w:val="89"/>
              <w:ind w:left="115" w:right="170"/>
              <w:rPr>
                <w:sz w:val="22"/>
                <w:szCs w:val="22"/>
              </w:rPr>
            </w:pPr>
            <w:r>
              <w:rPr>
                <w:rFonts w:hint="eastAsia"/>
                <w:sz w:val="22"/>
                <w:szCs w:val="22"/>
              </w:rPr>
              <w:t>3.35</w:t>
            </w:r>
          </w:p>
        </w:tc>
        <w:tc>
          <w:tcPr>
            <w:tcW w:w="1446" w:type="dxa"/>
            <w:vAlign w:val="bottom"/>
          </w:tcPr>
          <w:p>
            <w:pPr>
              <w:pStyle w:val="89"/>
              <w:ind w:left="115" w:right="170"/>
              <w:rPr>
                <w:sz w:val="22"/>
                <w:szCs w:val="22"/>
              </w:rPr>
            </w:pPr>
            <w:r>
              <w:rPr>
                <w:rFonts w:hint="eastAsia"/>
                <w:sz w:val="22"/>
                <w:szCs w:val="22"/>
              </w:rPr>
              <w:t>1223.78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37" w:type="dxa"/>
            <w:vAlign w:val="center"/>
          </w:tcPr>
          <w:p>
            <w:pPr>
              <w:pStyle w:val="89"/>
              <w:ind w:left="115" w:right="170"/>
              <w:rPr>
                <w:sz w:val="22"/>
                <w:szCs w:val="22"/>
              </w:rPr>
            </w:pPr>
            <w:r>
              <w:rPr>
                <w:rFonts w:hint="eastAsia"/>
                <w:sz w:val="22"/>
                <w:szCs w:val="22"/>
              </w:rPr>
              <w:t>公猪</w:t>
            </w:r>
          </w:p>
        </w:tc>
        <w:tc>
          <w:tcPr>
            <w:tcW w:w="1233" w:type="dxa"/>
            <w:vAlign w:val="center"/>
          </w:tcPr>
          <w:p>
            <w:pPr>
              <w:pStyle w:val="89"/>
              <w:ind w:left="115" w:right="170"/>
              <w:rPr>
                <w:sz w:val="22"/>
                <w:szCs w:val="22"/>
              </w:rPr>
            </w:pPr>
            <w:r>
              <w:rPr>
                <w:rFonts w:hint="eastAsia"/>
                <w:sz w:val="22"/>
                <w:szCs w:val="22"/>
              </w:rPr>
              <w:t>8</w:t>
            </w:r>
          </w:p>
        </w:tc>
        <w:tc>
          <w:tcPr>
            <w:tcW w:w="1493" w:type="dxa"/>
            <w:vAlign w:val="center"/>
          </w:tcPr>
          <w:p>
            <w:pPr>
              <w:pStyle w:val="89"/>
              <w:ind w:left="115" w:right="170"/>
              <w:rPr>
                <w:sz w:val="22"/>
                <w:szCs w:val="22"/>
              </w:rPr>
            </w:pPr>
            <w:r>
              <w:rPr>
                <w:rFonts w:hint="eastAsia"/>
                <w:sz w:val="22"/>
                <w:szCs w:val="22"/>
              </w:rPr>
              <w:t>10.69</w:t>
            </w:r>
          </w:p>
        </w:tc>
        <w:tc>
          <w:tcPr>
            <w:tcW w:w="1655" w:type="dxa"/>
            <w:vAlign w:val="center"/>
          </w:tcPr>
          <w:p>
            <w:pPr>
              <w:pStyle w:val="89"/>
              <w:ind w:left="115" w:right="170"/>
              <w:rPr>
                <w:sz w:val="22"/>
                <w:szCs w:val="22"/>
              </w:rPr>
            </w:pPr>
            <w:r>
              <w:rPr>
                <w:rFonts w:hint="eastAsia"/>
                <w:sz w:val="22"/>
                <w:szCs w:val="22"/>
              </w:rPr>
              <w:t>4.89</w:t>
            </w:r>
          </w:p>
        </w:tc>
        <w:tc>
          <w:tcPr>
            <w:tcW w:w="1318" w:type="dxa"/>
            <w:vAlign w:val="bottom"/>
          </w:tcPr>
          <w:p>
            <w:pPr>
              <w:pStyle w:val="89"/>
              <w:ind w:left="115" w:right="170"/>
              <w:rPr>
                <w:sz w:val="22"/>
                <w:szCs w:val="22"/>
              </w:rPr>
            </w:pPr>
            <w:r>
              <w:rPr>
                <w:rFonts w:hint="eastAsia"/>
                <w:sz w:val="22"/>
                <w:szCs w:val="22"/>
              </w:rPr>
              <w:t>0.04</w:t>
            </w:r>
          </w:p>
        </w:tc>
        <w:tc>
          <w:tcPr>
            <w:tcW w:w="1446" w:type="dxa"/>
            <w:vAlign w:val="bottom"/>
          </w:tcPr>
          <w:p>
            <w:pPr>
              <w:pStyle w:val="89"/>
              <w:ind w:left="115" w:right="170"/>
              <w:rPr>
                <w:sz w:val="22"/>
                <w:szCs w:val="22"/>
              </w:rPr>
            </w:pPr>
            <w:r>
              <w:rPr>
                <w:rFonts w:hint="eastAsia"/>
                <w:sz w:val="22"/>
                <w:szCs w:val="22"/>
              </w:rPr>
              <w:t>14.27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6" w:type="dxa"/>
            <w:gridSpan w:val="5"/>
            <w:vAlign w:val="center"/>
          </w:tcPr>
          <w:p>
            <w:pPr>
              <w:pStyle w:val="89"/>
              <w:ind w:left="115" w:right="170"/>
              <w:rPr>
                <w:sz w:val="22"/>
                <w:szCs w:val="22"/>
              </w:rPr>
            </w:pPr>
            <w:r>
              <w:rPr>
                <w:rFonts w:hint="eastAsia"/>
                <w:sz w:val="22"/>
                <w:szCs w:val="22"/>
              </w:rPr>
              <w:t>合计</w:t>
            </w:r>
          </w:p>
        </w:tc>
        <w:tc>
          <w:tcPr>
            <w:tcW w:w="1446" w:type="dxa"/>
            <w:vAlign w:val="center"/>
          </w:tcPr>
          <w:p>
            <w:pPr>
              <w:pStyle w:val="89"/>
              <w:ind w:left="115" w:right="170"/>
              <w:rPr>
                <w:sz w:val="22"/>
                <w:szCs w:val="22"/>
              </w:rPr>
            </w:pPr>
            <w:r>
              <w:rPr>
                <w:sz w:val="22"/>
                <w:szCs w:val="22"/>
              </w:rPr>
              <w:t>6103.00</w:t>
            </w:r>
          </w:p>
        </w:tc>
      </w:tr>
    </w:tbl>
    <w:p>
      <w:pPr>
        <w:ind w:firstLine="480"/>
        <w:jc w:val="left"/>
      </w:pPr>
      <w:r>
        <w:rPr>
          <w:rFonts w:hint="eastAsia"/>
        </w:rPr>
        <w:t>综上</w:t>
      </w:r>
      <w:r>
        <w:t>所述，项目</w:t>
      </w:r>
      <w:r>
        <w:rPr>
          <w:rFonts w:hint="eastAsia"/>
        </w:rPr>
        <w:t>总</w:t>
      </w:r>
      <w:r>
        <w:t>废水排放量为</w:t>
      </w:r>
      <w:r>
        <w:rPr>
          <w:rFonts w:hint="eastAsia"/>
        </w:rPr>
        <w:t>7664.35</w:t>
      </w:r>
      <w:r>
        <w:t>m</w:t>
      </w:r>
      <w:r>
        <w:rPr>
          <w:vertAlign w:val="superscript"/>
        </w:rPr>
        <w:t>3</w:t>
      </w:r>
      <w:r>
        <w:t>/a。</w:t>
      </w:r>
    </w:p>
    <w:p>
      <w:pPr>
        <w:ind w:firstLine="480"/>
        <w:jc w:val="left"/>
      </w:pPr>
      <w:r>
        <w:rPr>
          <w:rFonts w:hint="eastAsia"/>
        </w:rPr>
        <w:t>项目</w:t>
      </w:r>
      <w:r>
        <w:t>用排水情况表见</w:t>
      </w:r>
      <w:r>
        <w:fldChar w:fldCharType="begin"/>
      </w:r>
      <w:r>
        <w:instrText xml:space="preserve"> REF _Ref36743218 \h  \* MERGEFORMAT </w:instrText>
      </w:r>
      <w:r>
        <w:fldChar w:fldCharType="separate"/>
      </w:r>
      <w:r>
        <w:rPr>
          <w:rFonts w:hint="eastAsia"/>
        </w:rPr>
        <w:t>表</w:t>
      </w:r>
      <w:r>
        <w:t>3.1</w:t>
      </w:r>
      <w:r>
        <w:noBreakHyphen/>
      </w:r>
      <w:r>
        <w:fldChar w:fldCharType="end"/>
      </w:r>
      <w:r>
        <w:t>10</w:t>
      </w:r>
      <w:r>
        <w:rPr>
          <w:rFonts w:hint="eastAsia"/>
        </w:rPr>
        <w:t>，</w:t>
      </w:r>
      <w:r>
        <w:t>水平衡图见图</w:t>
      </w:r>
      <w:r>
        <w:rPr>
          <w:rFonts w:hint="eastAsia"/>
        </w:rPr>
        <w:t>3.</w:t>
      </w:r>
      <w:r>
        <w:t>1-3</w:t>
      </w:r>
      <w:r>
        <w:rPr>
          <w:rFonts w:hint="eastAsia"/>
        </w:rPr>
        <w:t>。</w:t>
      </w:r>
    </w:p>
    <w:p>
      <w:pPr>
        <w:pStyle w:val="85"/>
      </w:pPr>
      <w:bookmarkStart w:id="65" w:name="_Ref36743218"/>
      <w:r>
        <w:rPr>
          <w:rFonts w:hint="eastAsia"/>
        </w:rPr>
        <w:t>表</w:t>
      </w:r>
      <w:r>
        <w:fldChar w:fldCharType="begin"/>
      </w:r>
      <w:r>
        <w:rPr>
          <w:rFonts w:hint="eastAsia"/>
        </w:rPr>
        <w:instrText xml:space="preserve">STYLEREF 2 \s</w:instrText>
      </w:r>
      <w:r>
        <w:fldChar w:fldCharType="separate"/>
      </w:r>
      <w:r>
        <w:t>3.1</w:t>
      </w:r>
      <w:r>
        <w:fldChar w:fldCharType="end"/>
      </w:r>
      <w:r>
        <w:noBreakHyphen/>
      </w:r>
      <w:bookmarkEnd w:id="65"/>
      <w:r>
        <w:t xml:space="preserve">10 </w:t>
      </w:r>
      <w:r>
        <w:rPr>
          <w:rFonts w:hint="eastAsia"/>
        </w:rPr>
        <w:t>项目</w:t>
      </w:r>
      <w:r>
        <w:t>用排水</w:t>
      </w:r>
      <w:r>
        <w:rPr>
          <w:rFonts w:hint="eastAsia"/>
        </w:rPr>
        <w:t>情况一览表 单位</w:t>
      </w:r>
      <w:r>
        <w:t>m</w:t>
      </w:r>
      <w:r>
        <w:rPr>
          <w:vertAlign w:val="superscript"/>
        </w:rPr>
        <w:t>3</w:t>
      </w:r>
      <w:r>
        <w:t>/a</w:t>
      </w:r>
    </w:p>
    <w:tbl>
      <w:tblPr>
        <w:tblStyle w:val="27"/>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2077"/>
        <w:gridCol w:w="2078"/>
        <w:gridCol w:w="2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49" w:type="dxa"/>
          </w:tcPr>
          <w:p>
            <w:pPr>
              <w:pStyle w:val="89"/>
              <w:ind w:left="115" w:right="170"/>
            </w:pPr>
            <w:r>
              <w:rPr>
                <w:rFonts w:hint="eastAsia"/>
              </w:rPr>
              <w:t>项目</w:t>
            </w:r>
          </w:p>
        </w:tc>
        <w:tc>
          <w:tcPr>
            <w:tcW w:w="2077" w:type="dxa"/>
          </w:tcPr>
          <w:p>
            <w:pPr>
              <w:pStyle w:val="89"/>
              <w:ind w:left="115" w:right="170"/>
            </w:pPr>
            <w:r>
              <w:rPr>
                <w:rFonts w:hint="eastAsia"/>
              </w:rPr>
              <w:t>用水量</w:t>
            </w:r>
          </w:p>
        </w:tc>
        <w:tc>
          <w:tcPr>
            <w:tcW w:w="2078" w:type="dxa"/>
          </w:tcPr>
          <w:p>
            <w:pPr>
              <w:pStyle w:val="89"/>
              <w:ind w:left="115" w:right="170"/>
            </w:pPr>
            <w:r>
              <w:rPr>
                <w:rFonts w:hint="eastAsia"/>
              </w:rPr>
              <w:t>损耗量</w:t>
            </w:r>
          </w:p>
        </w:tc>
        <w:tc>
          <w:tcPr>
            <w:tcW w:w="2078" w:type="dxa"/>
          </w:tcPr>
          <w:p>
            <w:pPr>
              <w:pStyle w:val="89"/>
              <w:ind w:left="115" w:right="170"/>
            </w:pPr>
            <w:r>
              <w:rPr>
                <w:rFonts w:hint="eastAsia"/>
              </w:rPr>
              <w:t>废水量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49" w:type="dxa"/>
          </w:tcPr>
          <w:p>
            <w:pPr>
              <w:pStyle w:val="89"/>
              <w:ind w:left="115" w:right="170"/>
            </w:pPr>
            <w:r>
              <w:rPr>
                <w:rFonts w:hint="eastAsia"/>
              </w:rPr>
              <w:t>生活</w:t>
            </w:r>
            <w:r>
              <w:t>用水</w:t>
            </w:r>
          </w:p>
        </w:tc>
        <w:tc>
          <w:tcPr>
            <w:tcW w:w="2077" w:type="dxa"/>
            <w:vAlign w:val="center"/>
          </w:tcPr>
          <w:p>
            <w:pPr>
              <w:pStyle w:val="89"/>
              <w:ind w:left="115" w:right="170"/>
              <w:rPr>
                <w:sz w:val="22"/>
                <w:szCs w:val="22"/>
              </w:rPr>
            </w:pPr>
            <w:r>
              <w:rPr>
                <w:sz w:val="22"/>
                <w:szCs w:val="22"/>
              </w:rPr>
              <w:t>1328.6</w:t>
            </w:r>
          </w:p>
        </w:tc>
        <w:tc>
          <w:tcPr>
            <w:tcW w:w="2078" w:type="dxa"/>
            <w:vAlign w:val="center"/>
          </w:tcPr>
          <w:p>
            <w:pPr>
              <w:pStyle w:val="89"/>
              <w:ind w:left="115" w:right="170"/>
              <w:rPr>
                <w:sz w:val="22"/>
                <w:szCs w:val="22"/>
              </w:rPr>
            </w:pPr>
            <w:r>
              <w:rPr>
                <w:rFonts w:hint="eastAsia"/>
                <w:sz w:val="22"/>
                <w:szCs w:val="22"/>
              </w:rPr>
              <w:t>266.45</w:t>
            </w:r>
          </w:p>
        </w:tc>
        <w:tc>
          <w:tcPr>
            <w:tcW w:w="2078" w:type="dxa"/>
            <w:vAlign w:val="center"/>
          </w:tcPr>
          <w:p>
            <w:pPr>
              <w:pStyle w:val="89"/>
              <w:ind w:left="115" w:right="170"/>
              <w:rPr>
                <w:sz w:val="22"/>
                <w:szCs w:val="22"/>
              </w:rPr>
            </w:pPr>
            <w:r>
              <w:rPr>
                <w:sz w:val="22"/>
                <w:szCs w:val="22"/>
              </w:rPr>
              <w:t>1062.15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49" w:type="dxa"/>
          </w:tcPr>
          <w:p>
            <w:pPr>
              <w:pStyle w:val="89"/>
              <w:ind w:left="115" w:right="170"/>
            </w:pPr>
            <w:r>
              <w:rPr>
                <w:rFonts w:hint="eastAsia"/>
              </w:rPr>
              <w:t>猪</w:t>
            </w:r>
            <w:r>
              <w:t>只饮水</w:t>
            </w:r>
          </w:p>
        </w:tc>
        <w:tc>
          <w:tcPr>
            <w:tcW w:w="2077" w:type="dxa"/>
            <w:vAlign w:val="center"/>
          </w:tcPr>
          <w:p>
            <w:pPr>
              <w:pStyle w:val="89"/>
              <w:ind w:left="115" w:right="170"/>
              <w:rPr>
                <w:sz w:val="22"/>
                <w:szCs w:val="22"/>
                <w:highlight w:val="yellow"/>
              </w:rPr>
            </w:pPr>
            <w:r>
              <w:rPr>
                <w:rFonts w:hint="eastAsia"/>
                <w:sz w:val="22"/>
                <w:szCs w:val="22"/>
              </w:rPr>
              <w:t>13079.6</w:t>
            </w:r>
          </w:p>
        </w:tc>
        <w:tc>
          <w:tcPr>
            <w:tcW w:w="2078" w:type="dxa"/>
            <w:vAlign w:val="center"/>
          </w:tcPr>
          <w:p>
            <w:pPr>
              <w:pStyle w:val="89"/>
              <w:ind w:left="115" w:right="170"/>
              <w:rPr>
                <w:sz w:val="22"/>
                <w:szCs w:val="22"/>
                <w:highlight w:val="yellow"/>
              </w:rPr>
            </w:pPr>
            <w:r>
              <w:rPr>
                <w:rFonts w:hint="eastAsia"/>
                <w:sz w:val="22"/>
                <w:szCs w:val="22"/>
              </w:rPr>
              <w:t>6</w:t>
            </w:r>
            <w:r>
              <w:rPr>
                <w:sz w:val="22"/>
                <w:szCs w:val="22"/>
              </w:rPr>
              <w:t>976.6</w:t>
            </w:r>
          </w:p>
        </w:tc>
        <w:tc>
          <w:tcPr>
            <w:tcW w:w="2078" w:type="dxa"/>
            <w:vAlign w:val="center"/>
          </w:tcPr>
          <w:p>
            <w:pPr>
              <w:pStyle w:val="89"/>
              <w:ind w:left="115" w:right="170"/>
              <w:rPr>
                <w:sz w:val="22"/>
                <w:szCs w:val="22"/>
                <w:highlight w:val="yellow"/>
              </w:rPr>
            </w:pPr>
            <w:r>
              <w:rPr>
                <w:sz w:val="22"/>
                <w:szCs w:val="22"/>
              </w:rPr>
              <w:t>6103.00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49" w:type="dxa"/>
          </w:tcPr>
          <w:p>
            <w:pPr>
              <w:pStyle w:val="89"/>
              <w:ind w:left="115" w:right="170"/>
            </w:pPr>
            <w:r>
              <w:rPr>
                <w:rFonts w:hint="eastAsia"/>
              </w:rPr>
              <w:t>猪舍</w:t>
            </w:r>
            <w:r>
              <w:t>冲洗用水</w:t>
            </w:r>
          </w:p>
        </w:tc>
        <w:tc>
          <w:tcPr>
            <w:tcW w:w="2077" w:type="dxa"/>
            <w:vAlign w:val="center"/>
          </w:tcPr>
          <w:p>
            <w:pPr>
              <w:pStyle w:val="89"/>
              <w:ind w:left="115" w:right="170"/>
              <w:rPr>
                <w:sz w:val="22"/>
                <w:szCs w:val="22"/>
              </w:rPr>
            </w:pPr>
            <w:r>
              <w:rPr>
                <w:sz w:val="22"/>
                <w:szCs w:val="22"/>
              </w:rPr>
              <w:t>624</w:t>
            </w:r>
          </w:p>
        </w:tc>
        <w:tc>
          <w:tcPr>
            <w:tcW w:w="2078" w:type="dxa"/>
            <w:vAlign w:val="center"/>
          </w:tcPr>
          <w:p>
            <w:pPr>
              <w:pStyle w:val="89"/>
              <w:ind w:left="115" w:right="170"/>
              <w:rPr>
                <w:sz w:val="22"/>
                <w:szCs w:val="22"/>
              </w:rPr>
            </w:pPr>
            <w:r>
              <w:rPr>
                <w:sz w:val="22"/>
                <w:szCs w:val="22"/>
              </w:rPr>
              <w:t>124.8</w:t>
            </w:r>
          </w:p>
        </w:tc>
        <w:tc>
          <w:tcPr>
            <w:tcW w:w="2078" w:type="dxa"/>
            <w:vAlign w:val="center"/>
          </w:tcPr>
          <w:p>
            <w:pPr>
              <w:pStyle w:val="89"/>
              <w:ind w:left="115" w:right="170"/>
              <w:rPr>
                <w:sz w:val="22"/>
                <w:szCs w:val="22"/>
              </w:rPr>
            </w:pPr>
            <w:r>
              <w:rPr>
                <w:sz w:val="22"/>
                <w:szCs w:val="22"/>
              </w:rPr>
              <w:t>499.2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49" w:type="dxa"/>
          </w:tcPr>
          <w:p>
            <w:pPr>
              <w:pStyle w:val="89"/>
              <w:ind w:left="115" w:right="170"/>
            </w:pPr>
            <w:r>
              <w:rPr>
                <w:rFonts w:hint="eastAsia"/>
              </w:rPr>
              <w:t>消毒</w:t>
            </w:r>
            <w:r>
              <w:t>用水</w:t>
            </w:r>
          </w:p>
        </w:tc>
        <w:tc>
          <w:tcPr>
            <w:tcW w:w="2077" w:type="dxa"/>
            <w:vAlign w:val="center"/>
          </w:tcPr>
          <w:p>
            <w:pPr>
              <w:pStyle w:val="89"/>
              <w:ind w:left="115" w:right="170"/>
              <w:rPr>
                <w:sz w:val="22"/>
                <w:szCs w:val="22"/>
              </w:rPr>
            </w:pPr>
            <w:r>
              <w:rPr>
                <w:sz w:val="22"/>
                <w:szCs w:val="22"/>
              </w:rPr>
              <w:t>104</w:t>
            </w:r>
          </w:p>
        </w:tc>
        <w:tc>
          <w:tcPr>
            <w:tcW w:w="2078" w:type="dxa"/>
            <w:vAlign w:val="center"/>
          </w:tcPr>
          <w:p>
            <w:pPr>
              <w:pStyle w:val="89"/>
              <w:ind w:left="115" w:right="170"/>
              <w:rPr>
                <w:sz w:val="22"/>
                <w:szCs w:val="22"/>
              </w:rPr>
            </w:pPr>
            <w:r>
              <w:rPr>
                <w:sz w:val="22"/>
                <w:szCs w:val="22"/>
              </w:rPr>
              <w:t>104</w:t>
            </w:r>
          </w:p>
        </w:tc>
        <w:tc>
          <w:tcPr>
            <w:tcW w:w="2078" w:type="dxa"/>
            <w:vAlign w:val="center"/>
          </w:tcPr>
          <w:p>
            <w:pPr>
              <w:pStyle w:val="89"/>
              <w:ind w:left="115" w:right="170"/>
              <w:rPr>
                <w:sz w:val="22"/>
                <w:szCs w:val="22"/>
              </w:rPr>
            </w:pPr>
            <w:r>
              <w:rPr>
                <w:rFonts w:hint="eastAsia"/>
                <w:sz w:val="22"/>
                <w:szCs w:val="22"/>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49" w:type="dxa"/>
          </w:tcPr>
          <w:p>
            <w:pPr>
              <w:pStyle w:val="89"/>
              <w:ind w:left="115" w:right="170"/>
            </w:pPr>
            <w:r>
              <w:rPr>
                <w:rFonts w:hint="eastAsia"/>
              </w:rPr>
              <w:t>合计</w:t>
            </w:r>
          </w:p>
        </w:tc>
        <w:tc>
          <w:tcPr>
            <w:tcW w:w="2077" w:type="dxa"/>
            <w:vAlign w:val="center"/>
          </w:tcPr>
          <w:p>
            <w:pPr>
              <w:pStyle w:val="89"/>
              <w:ind w:left="115" w:right="170"/>
              <w:rPr>
                <w:sz w:val="22"/>
                <w:szCs w:val="22"/>
                <w:highlight w:val="yellow"/>
              </w:rPr>
            </w:pPr>
            <w:r>
              <w:rPr>
                <w:rFonts w:hint="eastAsia"/>
                <w:sz w:val="22"/>
                <w:szCs w:val="22"/>
              </w:rPr>
              <w:t>15136.2</w:t>
            </w:r>
          </w:p>
        </w:tc>
        <w:tc>
          <w:tcPr>
            <w:tcW w:w="2078" w:type="dxa"/>
            <w:vAlign w:val="center"/>
          </w:tcPr>
          <w:p>
            <w:pPr>
              <w:pStyle w:val="89"/>
              <w:ind w:left="115" w:right="170"/>
              <w:rPr>
                <w:sz w:val="22"/>
                <w:szCs w:val="22"/>
              </w:rPr>
            </w:pPr>
            <w:r>
              <w:rPr>
                <w:sz w:val="22"/>
                <w:szCs w:val="22"/>
              </w:rPr>
              <w:t>7471.85</w:t>
            </w:r>
          </w:p>
        </w:tc>
        <w:tc>
          <w:tcPr>
            <w:tcW w:w="2078" w:type="dxa"/>
            <w:vAlign w:val="center"/>
          </w:tcPr>
          <w:p>
            <w:pPr>
              <w:pStyle w:val="89"/>
              <w:ind w:left="115" w:right="170"/>
              <w:rPr>
                <w:sz w:val="22"/>
                <w:szCs w:val="22"/>
              </w:rPr>
            </w:pPr>
            <w:r>
              <w:rPr>
                <w:sz w:val="22"/>
                <w:szCs w:val="22"/>
              </w:rPr>
              <w:t>7664.35</w:t>
            </w:r>
          </w:p>
        </w:tc>
      </w:tr>
    </w:tbl>
    <w:p>
      <w:pPr>
        <w:spacing w:line="240" w:lineRule="auto"/>
        <w:ind w:firstLine="0" w:firstLineChars="0"/>
        <w:jc w:val="center"/>
      </w:pPr>
      <w:r>
        <w:object>
          <v:shape id="_x0000_i1025" o:spt="75" type="#_x0000_t75" style="height:182.15pt;width:415.35pt;" o:ole="t" filled="f" o:preferrelative="t" stroked="f" coordsize="21600,21600">
            <v:path/>
            <v:fill on="f" focussize="0,0"/>
            <v:stroke on="f" joinstyle="miter"/>
            <v:imagedata r:id="rId70" o:title=""/>
            <o:lock v:ext="edit" aspectratio="t"/>
            <w10:wrap type="none"/>
            <w10:anchorlock/>
          </v:shape>
          <o:OLEObject Type="Embed" ProgID="Visio.Drawing.11" ShapeID="_x0000_i1025" DrawAspect="Content" ObjectID="_1468075725" r:id="rId69">
            <o:LockedField>false</o:LockedField>
          </o:OLEObject>
        </w:object>
      </w:r>
    </w:p>
    <w:p>
      <w:pPr>
        <w:ind w:firstLine="0" w:firstLineChars="0"/>
        <w:jc w:val="center"/>
      </w:pPr>
      <w:r>
        <w:rPr>
          <w:rFonts w:hint="eastAsia"/>
          <w:b/>
        </w:rPr>
        <w:t>图3.1-</w:t>
      </w:r>
      <w:r>
        <w:rPr>
          <w:b/>
        </w:rPr>
        <w:t>3</w:t>
      </w:r>
      <w:r>
        <w:rPr>
          <w:rFonts w:hint="eastAsia"/>
          <w:b/>
        </w:rPr>
        <w:t xml:space="preserve"> 项目</w:t>
      </w:r>
      <w:r>
        <w:rPr>
          <w:b/>
        </w:rPr>
        <w:t>水平衡图m</w:t>
      </w:r>
      <w:r>
        <w:rPr>
          <w:b/>
          <w:vertAlign w:val="superscript"/>
        </w:rPr>
        <w:t>3</w:t>
      </w:r>
      <w:r>
        <w:rPr>
          <w:b/>
        </w:rPr>
        <w:t>/a</w:t>
      </w:r>
    </w:p>
    <w:p>
      <w:pPr>
        <w:pStyle w:val="5"/>
      </w:pPr>
      <w:r>
        <w:t>供电</w:t>
      </w:r>
    </w:p>
    <w:p>
      <w:pPr>
        <w:ind w:firstLine="480"/>
      </w:pPr>
      <w:r>
        <w:t>本项目用电由</w:t>
      </w:r>
      <w:r>
        <w:rPr>
          <w:rFonts w:hint="eastAsia"/>
        </w:rPr>
        <w:t>关坪村电网</w:t>
      </w:r>
      <w:r>
        <w:t>供给，场区内设1台200KVA变压器</w:t>
      </w:r>
      <w:r>
        <w:rPr>
          <w:rFonts w:hint="eastAsia"/>
        </w:rPr>
        <w:t>。</w:t>
      </w:r>
    </w:p>
    <w:p>
      <w:pPr>
        <w:pStyle w:val="5"/>
      </w:pPr>
      <w:r>
        <w:t>供暖</w:t>
      </w:r>
    </w:p>
    <w:p>
      <w:pPr>
        <w:ind w:firstLine="480"/>
      </w:pPr>
      <w:r>
        <w:t>根据建设单位提供资料，项目猪舍冬季取暖主要是通过猪舍墙体保温材料与外部断绝热交换，对于刚出生的仔猪，由于其适应能力差，采用红外灯供暖。生活区冬季取暖采用空调，场区不设锅炉。</w:t>
      </w:r>
    </w:p>
    <w:p>
      <w:pPr>
        <w:pStyle w:val="5"/>
      </w:pPr>
      <w:r>
        <w:rPr>
          <w:rFonts w:hint="eastAsia"/>
        </w:rPr>
        <w:t>安全填埋井</w:t>
      </w:r>
    </w:p>
    <w:p>
      <w:pPr>
        <w:ind w:firstLine="480"/>
      </w:pPr>
      <w:r>
        <w:rPr>
          <w:rFonts w:hint="eastAsia"/>
        </w:rPr>
        <w:t>本项目在养殖场</w:t>
      </w:r>
      <w:r>
        <w:t>设置2个35</w:t>
      </w:r>
      <w:r>
        <w:rPr>
          <w:rFonts w:hint="eastAsia"/>
        </w:rPr>
        <w:t>m</w:t>
      </w:r>
      <w:r>
        <w:rPr>
          <w:rFonts w:hint="eastAsia"/>
          <w:vertAlign w:val="superscript"/>
        </w:rPr>
        <w:t>3</w:t>
      </w:r>
      <w:r>
        <w:t>安全填埋井，用于处置病死猪及分娩废物。项目填埋井为混凝土结构，</w:t>
      </w:r>
      <w:r>
        <w:rPr>
          <w:rFonts w:hint="eastAsia"/>
        </w:rPr>
        <w:t>直径3</w:t>
      </w:r>
      <w:r>
        <w:t>m，深度为</w:t>
      </w:r>
      <w:r>
        <w:rPr>
          <w:rFonts w:hint="eastAsia"/>
        </w:rPr>
        <w:t>5</w:t>
      </w:r>
      <w:r>
        <w:t>m，井口加盖密封。</w:t>
      </w:r>
      <w:r>
        <w:rPr>
          <w:kern w:val="0"/>
        </w:rPr>
        <w:t>填埋井采用混凝土结构并采用土工膜做好防渗措施，同时填埋点应设有害物质标志，以作警示，并对周围进行绿化。</w:t>
      </w:r>
    </w:p>
    <w:p>
      <w:pPr>
        <w:pStyle w:val="5"/>
      </w:pPr>
      <w:bookmarkStart w:id="66" w:name="_Toc22729"/>
      <w:bookmarkStart w:id="67" w:name="_Toc387133184"/>
      <w:bookmarkStart w:id="68" w:name="_Toc22576"/>
      <w:bookmarkStart w:id="69" w:name="_Toc384552270"/>
      <w:bookmarkStart w:id="70" w:name="_Toc907"/>
      <w:bookmarkStart w:id="71" w:name="_Toc364090073"/>
      <w:bookmarkStart w:id="72" w:name="_Toc382810788"/>
      <w:bookmarkStart w:id="73" w:name="_Toc464237968"/>
      <w:bookmarkStart w:id="74" w:name="_Toc488102158"/>
      <w:bookmarkStart w:id="75" w:name="_Toc346224037"/>
      <w:bookmarkStart w:id="76" w:name="_Toc346223376"/>
      <w:bookmarkStart w:id="77" w:name="_Toc267641166"/>
      <w:bookmarkStart w:id="78" w:name="_Toc349767155"/>
      <w:bookmarkStart w:id="79" w:name="_Toc346223593"/>
      <w:bookmarkStart w:id="80" w:name="_Toc346194792"/>
      <w:r>
        <w:t>项目实施进度</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ind w:firstLine="480"/>
      </w:pPr>
      <w:r>
        <w:rPr>
          <w:rFonts w:hint="eastAsia"/>
        </w:rPr>
        <w:t>根据</w:t>
      </w:r>
      <w:r>
        <w:t>现场调查项目</w:t>
      </w:r>
      <w:r>
        <w:rPr>
          <w:rFonts w:hint="eastAsia"/>
        </w:rPr>
        <w:t>已</w:t>
      </w:r>
      <w:r>
        <w:t>基本</w:t>
      </w:r>
      <w:r>
        <w:rPr>
          <w:rFonts w:hint="eastAsia"/>
        </w:rPr>
        <w:t>建设</w:t>
      </w:r>
      <w:r>
        <w:t>完成。</w:t>
      </w:r>
    </w:p>
    <w:p>
      <w:pPr>
        <w:pStyle w:val="4"/>
      </w:pPr>
      <w:r>
        <w:rPr>
          <w:rFonts w:hint="eastAsia"/>
        </w:rPr>
        <w:t>已建成部分</w:t>
      </w:r>
      <w:r>
        <w:t>项目概况</w:t>
      </w:r>
    </w:p>
    <w:p>
      <w:pPr>
        <w:ind w:firstLine="480"/>
      </w:pPr>
      <w:r>
        <w:rPr>
          <w:rFonts w:hint="eastAsia"/>
        </w:rPr>
        <w:t>本项目</w:t>
      </w:r>
      <w:r>
        <w:t>已</w:t>
      </w:r>
      <w:r>
        <w:rPr>
          <w:rFonts w:hint="eastAsia"/>
        </w:rPr>
        <w:t>于2020年11月开始</w:t>
      </w:r>
      <w:r>
        <w:t>建设，根据现状调查主体工程已建设完成，属于“</w:t>
      </w:r>
      <w:r>
        <w:rPr>
          <w:rFonts w:hint="eastAsia"/>
        </w:rPr>
        <w:t>未批</w:t>
      </w:r>
      <w:r>
        <w:t>先建”</w:t>
      </w:r>
      <w:r>
        <w:rPr>
          <w:rFonts w:hint="eastAsia"/>
        </w:rPr>
        <w:t>项目</w:t>
      </w:r>
      <w:r>
        <w:t>，本次</w:t>
      </w:r>
      <w:r>
        <w:rPr>
          <w:rFonts w:hint="eastAsia"/>
        </w:rPr>
        <w:t>评价</w:t>
      </w:r>
      <w:r>
        <w:t>对项目</w:t>
      </w:r>
      <w:r>
        <w:rPr>
          <w:rFonts w:hint="eastAsia"/>
        </w:rPr>
        <w:t>已建成</w:t>
      </w:r>
      <w:r>
        <w:t>部分养殖现状</w:t>
      </w:r>
      <w:r>
        <w:rPr>
          <w:rFonts w:hint="eastAsia"/>
        </w:rPr>
        <w:t>、</w:t>
      </w:r>
      <w:r>
        <w:t>污染防治措施等进行分析，</w:t>
      </w:r>
      <w:r>
        <w:rPr>
          <w:rFonts w:hint="eastAsia"/>
        </w:rPr>
        <w:t>并</w:t>
      </w:r>
      <w:r>
        <w:t>对现存环境问题提出整改措施。</w:t>
      </w:r>
    </w:p>
    <w:p>
      <w:pPr>
        <w:pStyle w:val="5"/>
      </w:pPr>
      <w:r>
        <w:rPr>
          <w:rFonts w:hint="eastAsia"/>
        </w:rPr>
        <w:t>目前养殖</w:t>
      </w:r>
      <w:r>
        <w:t>现状情况</w:t>
      </w:r>
    </w:p>
    <w:p>
      <w:pPr>
        <w:ind w:firstLine="480"/>
      </w:pPr>
      <w:r>
        <w:rPr>
          <w:rFonts w:hint="eastAsia"/>
        </w:rPr>
        <w:t>现状养殖</w:t>
      </w:r>
      <w:r>
        <w:t>规模年存栏量</w:t>
      </w:r>
      <w:r>
        <w:rPr>
          <w:rFonts w:hint="eastAsia"/>
        </w:rPr>
        <w:t>为2000头</w:t>
      </w:r>
      <w:r>
        <w:t>。</w:t>
      </w:r>
    </w:p>
    <w:p>
      <w:pPr>
        <w:pStyle w:val="5"/>
      </w:pPr>
      <w:r>
        <w:rPr>
          <w:rFonts w:hint="eastAsia"/>
        </w:rPr>
        <w:t>已建成</w:t>
      </w:r>
      <w:r>
        <w:t>部分</w:t>
      </w:r>
      <w:r>
        <w:rPr>
          <w:rFonts w:hint="eastAsia"/>
        </w:rPr>
        <w:t>污染防治</w:t>
      </w:r>
      <w:r>
        <w:t>措施情况</w:t>
      </w:r>
    </w:p>
    <w:p>
      <w:pPr>
        <w:ind w:firstLine="482"/>
        <w:rPr>
          <w:b/>
        </w:rPr>
      </w:pPr>
      <w:r>
        <w:rPr>
          <w:rFonts w:hint="eastAsia"/>
          <w:b/>
        </w:rPr>
        <w:t>1、</w:t>
      </w:r>
      <w:r>
        <w:rPr>
          <w:b/>
        </w:rPr>
        <w:t>废气</w:t>
      </w:r>
    </w:p>
    <w:p>
      <w:pPr>
        <w:ind w:firstLine="480"/>
      </w:pPr>
      <w:r>
        <w:rPr>
          <w:rFonts w:hint="eastAsia"/>
        </w:rPr>
        <w:t>（1）猪舍恶臭</w:t>
      </w:r>
    </w:p>
    <w:p>
      <w:pPr>
        <w:ind w:firstLine="480"/>
      </w:pPr>
      <w:r>
        <w:rPr>
          <w:rFonts w:hint="eastAsia"/>
        </w:rPr>
        <w:t>项目粪污处理采用干清粪工艺，粪污不在猪舍内存留，及时清理粪尿，猪舍增加通风次数，合理布局；饲料中添加活菌剂，猪舍喷洒生物除臭剂等</w:t>
      </w:r>
      <w:r>
        <w:t>措施</w:t>
      </w:r>
      <w:r>
        <w:rPr>
          <w:rFonts w:hint="eastAsia"/>
        </w:rPr>
        <w:t>。</w:t>
      </w:r>
    </w:p>
    <w:p>
      <w:pPr>
        <w:ind w:firstLine="480"/>
      </w:pPr>
      <w:r>
        <w:rPr>
          <w:rFonts w:hint="eastAsia"/>
        </w:rPr>
        <w:t>（2）堆粪区</w:t>
      </w:r>
      <w:r>
        <w:t>恶臭</w:t>
      </w:r>
    </w:p>
    <w:p>
      <w:pPr>
        <w:ind w:firstLine="480"/>
      </w:pPr>
      <w:r>
        <w:rPr>
          <w:rFonts w:hint="eastAsia"/>
        </w:rPr>
        <w:t>采用</w:t>
      </w:r>
      <w:r>
        <w:t>固液分离机分离后</w:t>
      </w:r>
      <w:r>
        <w:rPr>
          <w:rFonts w:hint="eastAsia"/>
        </w:rPr>
        <w:t>的</w:t>
      </w:r>
      <w:r>
        <w:t>干粪堆存在</w:t>
      </w:r>
      <w:r>
        <w:rPr>
          <w:rFonts w:hint="eastAsia"/>
        </w:rPr>
        <w:t>集粪池</w:t>
      </w:r>
      <w:r>
        <w:t>旁，露天堆放，</w:t>
      </w:r>
      <w:r>
        <w:rPr>
          <w:rFonts w:hint="eastAsia"/>
        </w:rPr>
        <w:t>定期</w:t>
      </w:r>
      <w:r>
        <w:t>清运</w:t>
      </w:r>
      <w:r>
        <w:rPr>
          <w:rFonts w:hint="eastAsia"/>
        </w:rPr>
        <w:t>外售</w:t>
      </w:r>
      <w:r>
        <w:t>给附近村民作为农肥或</w:t>
      </w:r>
      <w:r>
        <w:rPr>
          <w:rFonts w:hint="eastAsia"/>
        </w:rPr>
        <w:t>外售</w:t>
      </w:r>
      <w:r>
        <w:t>有机肥厂作为原料</w:t>
      </w:r>
      <w:r>
        <w:rPr>
          <w:rFonts w:hint="eastAsia"/>
        </w:rPr>
        <w:t>。</w:t>
      </w:r>
    </w:p>
    <w:p>
      <w:pPr>
        <w:ind w:firstLine="480"/>
      </w:pPr>
      <w:r>
        <w:rPr>
          <w:rFonts w:hint="eastAsia"/>
        </w:rPr>
        <w:t>（3）污水</w:t>
      </w:r>
      <w:r>
        <w:t>处理区恶臭</w:t>
      </w:r>
    </w:p>
    <w:p>
      <w:pPr>
        <w:ind w:firstLine="480"/>
      </w:pPr>
      <w:r>
        <w:rPr>
          <w:rFonts w:hint="eastAsia"/>
        </w:rPr>
        <w:t>污水</w:t>
      </w:r>
      <w:r>
        <w:t>处理构筑物厌氧发酵池</w:t>
      </w:r>
      <w:r>
        <w:rPr>
          <w:rFonts w:hint="eastAsia"/>
        </w:rPr>
        <w:t>、</w:t>
      </w:r>
      <w:r>
        <w:t>集粪池加盖密闭，</w:t>
      </w:r>
      <w:r>
        <w:rPr>
          <w:rFonts w:hint="eastAsia"/>
        </w:rPr>
        <w:t>定期喷洒</w:t>
      </w:r>
      <w:r>
        <w:t>生物除臭剂，</w:t>
      </w:r>
      <w:r>
        <w:rPr>
          <w:rFonts w:hint="eastAsia"/>
        </w:rPr>
        <w:t>集粪池</w:t>
      </w:r>
      <w:r>
        <w:t>固液分离后</w:t>
      </w:r>
      <w:r>
        <w:rPr>
          <w:rFonts w:hint="eastAsia"/>
        </w:rPr>
        <w:t>经</w:t>
      </w:r>
      <w:r>
        <w:t>露天</w:t>
      </w:r>
      <w:r>
        <w:rPr>
          <w:rFonts w:hint="eastAsia"/>
        </w:rPr>
        <w:t>堆放</w:t>
      </w:r>
      <w:r>
        <w:t>晾晒后的干粪</w:t>
      </w:r>
      <w:r>
        <w:rPr>
          <w:rFonts w:hint="eastAsia"/>
        </w:rPr>
        <w:t>定期</w:t>
      </w:r>
      <w:r>
        <w:t>清运</w:t>
      </w:r>
      <w:r>
        <w:rPr>
          <w:rFonts w:hint="eastAsia"/>
        </w:rPr>
        <w:t>。</w:t>
      </w:r>
    </w:p>
    <w:p>
      <w:pPr>
        <w:ind w:firstLine="480"/>
      </w:pPr>
      <w:r>
        <w:rPr>
          <w:rFonts w:hint="eastAsia"/>
        </w:rPr>
        <w:t>（4）沼气</w:t>
      </w:r>
    </w:p>
    <w:p>
      <w:pPr>
        <w:ind w:firstLine="480"/>
      </w:pPr>
      <w:r>
        <w:rPr>
          <w:rFonts w:hint="eastAsia"/>
        </w:rPr>
        <w:t>厌氧</w:t>
      </w:r>
      <w:r>
        <w:t>发酵池产生的沼气经</w:t>
      </w:r>
      <w:r>
        <w:rPr>
          <w:rFonts w:hint="eastAsia"/>
        </w:rPr>
        <w:t>池顶</w:t>
      </w:r>
      <w:r>
        <w:t>排气口</w:t>
      </w:r>
      <w:r>
        <w:rPr>
          <w:rFonts w:hint="eastAsia"/>
        </w:rPr>
        <w:t>无组织</w:t>
      </w:r>
      <w:r>
        <w:t>排放，无收集措施。</w:t>
      </w:r>
    </w:p>
    <w:p>
      <w:pPr>
        <w:ind w:firstLine="480"/>
      </w:pPr>
      <w:r>
        <w:rPr>
          <w:rFonts w:hint="eastAsia"/>
        </w:rPr>
        <w:t>（5）食堂</w:t>
      </w:r>
      <w:r>
        <w:t>油烟</w:t>
      </w:r>
    </w:p>
    <w:p>
      <w:pPr>
        <w:ind w:firstLine="480"/>
      </w:pPr>
      <w:r>
        <w:rPr>
          <w:rFonts w:hint="eastAsia"/>
        </w:rPr>
        <w:t>烟废气通过油烟净化器处理后经管道至屋顶排气筒排放。</w:t>
      </w:r>
    </w:p>
    <w:p>
      <w:pPr>
        <w:ind w:firstLine="482"/>
        <w:rPr>
          <w:b/>
        </w:rPr>
      </w:pPr>
      <w:r>
        <w:rPr>
          <w:rFonts w:hint="eastAsia"/>
          <w:b/>
        </w:rPr>
        <w:t>2、</w:t>
      </w:r>
      <w:r>
        <w:rPr>
          <w:b/>
        </w:rPr>
        <w:t>废水</w:t>
      </w:r>
    </w:p>
    <w:p>
      <w:pPr>
        <w:ind w:firstLine="480"/>
      </w:pPr>
      <w:r>
        <w:rPr>
          <w:rFonts w:hint="eastAsia"/>
        </w:rPr>
        <w:t>已建成部分</w:t>
      </w:r>
      <w:r>
        <w:t>项目</w:t>
      </w:r>
      <w:r>
        <w:rPr>
          <w:rFonts w:hint="eastAsia"/>
        </w:rPr>
        <w:t>采用干清粪工艺，污水处理采用“集粪池+固液分离+厌氧发酵”工艺，由于</w:t>
      </w:r>
      <w:r>
        <w:t>现状养殖规模</w:t>
      </w:r>
      <w:r>
        <w:rPr>
          <w:rFonts w:hint="eastAsia"/>
        </w:rPr>
        <w:t>较小</w:t>
      </w:r>
      <w:r>
        <w:t>，</w:t>
      </w:r>
      <w:r>
        <w:rPr>
          <w:rFonts w:hint="eastAsia"/>
        </w:rPr>
        <w:t>产生</w:t>
      </w:r>
      <w:r>
        <w:t>的粪污废水可在生产用肥时间间隔内</w:t>
      </w:r>
      <w:r>
        <w:rPr>
          <w:rFonts w:hint="eastAsia"/>
        </w:rPr>
        <w:t>转运</w:t>
      </w:r>
      <w:r>
        <w:t>施肥，未建设沼液暂存池，</w:t>
      </w:r>
      <w:r>
        <w:rPr>
          <w:rFonts w:hint="eastAsia"/>
        </w:rPr>
        <w:t>厌氧</w:t>
      </w:r>
      <w:r>
        <w:t>发酵</w:t>
      </w:r>
      <w:r>
        <w:rPr>
          <w:rFonts w:hint="eastAsia"/>
        </w:rPr>
        <w:t>后</w:t>
      </w:r>
      <w:r>
        <w:t>沼液</w:t>
      </w:r>
      <w:r>
        <w:rPr>
          <w:rFonts w:hint="eastAsia"/>
        </w:rPr>
        <w:t>直接用于</w:t>
      </w:r>
      <w:r>
        <w:t>种植区</w:t>
      </w:r>
      <w:r>
        <w:rPr>
          <w:rFonts w:hint="eastAsia"/>
        </w:rPr>
        <w:t>魔芋</w:t>
      </w:r>
      <w:r>
        <w:t>、特色林果施肥。</w:t>
      </w:r>
    </w:p>
    <w:p>
      <w:pPr>
        <w:ind w:firstLine="482"/>
        <w:rPr>
          <w:b/>
        </w:rPr>
      </w:pPr>
      <w:r>
        <w:rPr>
          <w:rFonts w:hint="eastAsia"/>
          <w:b/>
        </w:rPr>
        <w:t>3、</w:t>
      </w:r>
      <w:r>
        <w:rPr>
          <w:b/>
        </w:rPr>
        <w:t>噪声</w:t>
      </w:r>
    </w:p>
    <w:p>
      <w:pPr>
        <w:ind w:firstLine="480"/>
      </w:pPr>
      <w:r>
        <w:rPr>
          <w:rFonts w:hint="eastAsia"/>
        </w:rPr>
        <w:t>现状</w:t>
      </w:r>
      <w:r>
        <w:t>噪声主要来源于猪舍风机、猪叫</w:t>
      </w:r>
      <w:r>
        <w:rPr>
          <w:rFonts w:hint="eastAsia"/>
        </w:rPr>
        <w:t>、</w:t>
      </w:r>
      <w:r>
        <w:t>水泵</w:t>
      </w:r>
      <w:r>
        <w:rPr>
          <w:rFonts w:hint="eastAsia"/>
        </w:rPr>
        <w:t>、</w:t>
      </w:r>
      <w:r>
        <w:t>风机等机械设备，</w:t>
      </w:r>
      <w:r>
        <w:rPr>
          <w:rFonts w:hint="eastAsia"/>
        </w:rPr>
        <w:t>采用</w:t>
      </w:r>
      <w:r>
        <w:t>合理布置猪舍，</w:t>
      </w:r>
      <w:r>
        <w:rPr>
          <w:rFonts w:hint="eastAsia"/>
        </w:rPr>
        <w:t>尽可能</w:t>
      </w:r>
      <w:r>
        <w:t>满足</w:t>
      </w:r>
      <w:r>
        <w:rPr>
          <w:rFonts w:hint="eastAsia"/>
        </w:rPr>
        <w:t>猪只饮食需要，避免因饥饿或口渴而发出叫声；设备</w:t>
      </w:r>
      <w:r>
        <w:t>选型上采用低噪声设备措施</w:t>
      </w:r>
      <w:r>
        <w:rPr>
          <w:rFonts w:hint="eastAsia"/>
        </w:rPr>
        <w:t>，基础</w:t>
      </w:r>
      <w:r>
        <w:t>减振，定期检修，保证设备</w:t>
      </w:r>
      <w:r>
        <w:rPr>
          <w:rFonts w:hint="eastAsia"/>
        </w:rPr>
        <w:t>运转</w:t>
      </w:r>
      <w:r>
        <w:t>良好。</w:t>
      </w:r>
    </w:p>
    <w:p>
      <w:pPr>
        <w:ind w:firstLine="482"/>
        <w:rPr>
          <w:b/>
        </w:rPr>
      </w:pPr>
      <w:r>
        <w:rPr>
          <w:rFonts w:hint="eastAsia"/>
          <w:b/>
        </w:rPr>
        <w:t>4、</w:t>
      </w:r>
      <w:r>
        <w:rPr>
          <w:b/>
        </w:rPr>
        <w:t>固废</w:t>
      </w:r>
    </w:p>
    <w:p>
      <w:pPr>
        <w:ind w:firstLine="480"/>
      </w:pPr>
      <w:r>
        <w:rPr>
          <w:rFonts w:hint="eastAsia"/>
        </w:rPr>
        <w:t>猪粪</w:t>
      </w:r>
      <w:r>
        <w:t>经固液</w:t>
      </w:r>
      <w:r>
        <w:rPr>
          <w:rFonts w:hint="eastAsia"/>
        </w:rPr>
        <w:t>分离</w:t>
      </w:r>
      <w:r>
        <w:t>后固粪</w:t>
      </w:r>
      <w:r>
        <w:rPr>
          <w:rFonts w:hint="eastAsia"/>
        </w:rPr>
        <w:t>在</w:t>
      </w:r>
      <w:r>
        <w:t>临时</w:t>
      </w:r>
      <w:r>
        <w:rPr>
          <w:rFonts w:hint="eastAsia"/>
        </w:rPr>
        <w:t>露天堆放在</w:t>
      </w:r>
      <w:r>
        <w:t>集粪池旁</w:t>
      </w:r>
      <w:r>
        <w:rPr>
          <w:rFonts w:hint="eastAsia"/>
        </w:rPr>
        <w:t>，</w:t>
      </w:r>
      <w:r>
        <w:t>袋装出售给有机肥厂作为原料</w:t>
      </w:r>
      <w:r>
        <w:rPr>
          <w:rFonts w:hint="eastAsia"/>
        </w:rPr>
        <w:t>；病死猪</w:t>
      </w:r>
      <w:r>
        <w:t>及分娩胎衣</w:t>
      </w:r>
      <w:r>
        <w:rPr>
          <w:rFonts w:hint="eastAsia"/>
        </w:rPr>
        <w:t>采用</w:t>
      </w:r>
      <w:r>
        <w:t>填埋井安全填埋，现</w:t>
      </w:r>
      <w:r>
        <w:rPr>
          <w:rFonts w:hint="eastAsia"/>
        </w:rPr>
        <w:t>状已</w:t>
      </w:r>
      <w:r>
        <w:t>建成安全填埋井</w:t>
      </w:r>
      <w:r>
        <w:rPr>
          <w:rFonts w:hint="eastAsia"/>
        </w:rPr>
        <w:t>1个</w:t>
      </w:r>
      <w:r>
        <w:t>，</w:t>
      </w:r>
      <w:r>
        <w:rPr>
          <w:rFonts w:hint="eastAsia"/>
        </w:rPr>
        <w:t>直径3</w:t>
      </w:r>
      <w:r>
        <w:t>m，深度</w:t>
      </w:r>
      <w:r>
        <w:rPr>
          <w:rFonts w:hint="eastAsia"/>
        </w:rPr>
        <w:t>5</w:t>
      </w:r>
      <w:r>
        <w:t>m</w:t>
      </w:r>
      <w:r>
        <w:rPr>
          <w:rFonts w:hint="eastAsia"/>
        </w:rPr>
        <w:t>；</w:t>
      </w:r>
      <w:r>
        <w:t>医疗废物</w:t>
      </w:r>
      <w:r>
        <w:rPr>
          <w:rFonts w:hint="eastAsia"/>
        </w:rPr>
        <w:t>未</w:t>
      </w:r>
      <w:r>
        <w:t>设置医疗废物暂存间，混入生活垃圾处理</w:t>
      </w:r>
      <w:r>
        <w:rPr>
          <w:rFonts w:hint="eastAsia"/>
        </w:rPr>
        <w:t>，</w:t>
      </w:r>
      <w:r>
        <w:t>属于违法行为；生活垃圾</w:t>
      </w:r>
      <w:r>
        <w:rPr>
          <w:rFonts w:hint="eastAsia"/>
        </w:rPr>
        <w:t>与</w:t>
      </w:r>
      <w:r>
        <w:t>附近</w:t>
      </w:r>
      <w:r>
        <w:rPr>
          <w:rFonts w:hint="eastAsia"/>
        </w:rPr>
        <w:t>村庄</w:t>
      </w:r>
      <w:r>
        <w:t>生活垃圾一起处理。</w:t>
      </w:r>
      <w:r>
        <w:rPr>
          <w:rFonts w:hint="eastAsia"/>
        </w:rPr>
        <w:t xml:space="preserve"> </w:t>
      </w:r>
    </w:p>
    <w:p>
      <w:pPr>
        <w:pStyle w:val="5"/>
      </w:pPr>
      <w:r>
        <w:rPr>
          <w:rFonts w:hint="eastAsia"/>
        </w:rPr>
        <w:t>现存</w:t>
      </w:r>
      <w:r>
        <w:t>的</w:t>
      </w:r>
      <w:r>
        <w:rPr>
          <w:rFonts w:hint="eastAsia"/>
        </w:rPr>
        <w:t>环境</w:t>
      </w:r>
      <w:r>
        <w:t>问题</w:t>
      </w:r>
    </w:p>
    <w:p>
      <w:pPr>
        <w:ind w:firstLine="480"/>
      </w:pPr>
      <w:r>
        <w:rPr>
          <w:rFonts w:hint="eastAsia"/>
        </w:rPr>
        <w:t>1、未建设</w:t>
      </w:r>
      <w:r>
        <w:t>堆粪棚</w:t>
      </w:r>
      <w:r>
        <w:rPr>
          <w:rFonts w:hint="eastAsia"/>
        </w:rPr>
        <w:t>，</w:t>
      </w:r>
      <w:r>
        <w:t>固液分离后的猪粪露天堆放</w:t>
      </w:r>
      <w:r>
        <w:rPr>
          <w:rFonts w:hint="eastAsia"/>
        </w:rPr>
        <w:t>，</w:t>
      </w:r>
      <w:r>
        <w:t>存在雨季</w:t>
      </w:r>
      <w:r>
        <w:rPr>
          <w:rFonts w:hint="eastAsia"/>
        </w:rPr>
        <w:t>猪粪</w:t>
      </w:r>
      <w:r>
        <w:t>经雨水冲刷产生</w:t>
      </w:r>
      <w:r>
        <w:rPr>
          <w:rFonts w:hint="eastAsia"/>
        </w:rPr>
        <w:t>地表</w:t>
      </w:r>
      <w:r>
        <w:t>漫流</w:t>
      </w:r>
      <w:r>
        <w:rPr>
          <w:rFonts w:hint="eastAsia"/>
        </w:rPr>
        <w:t>对</w:t>
      </w:r>
      <w:r>
        <w:t>土壤及周围地表水环境产生污染的环境问题，恶臭</w:t>
      </w:r>
      <w:r>
        <w:rPr>
          <w:rFonts w:hint="eastAsia"/>
        </w:rPr>
        <w:t>未</w:t>
      </w:r>
      <w:r>
        <w:t>采取</w:t>
      </w:r>
      <w:r>
        <w:rPr>
          <w:rFonts w:hint="eastAsia"/>
        </w:rPr>
        <w:t>防臭</w:t>
      </w:r>
      <w:r>
        <w:t>措施</w:t>
      </w:r>
      <w:r>
        <w:rPr>
          <w:rFonts w:hint="eastAsia"/>
        </w:rPr>
        <w:t>对</w:t>
      </w:r>
      <w:r>
        <w:t>周围环境空气</w:t>
      </w:r>
      <w:r>
        <w:rPr>
          <w:rFonts w:hint="eastAsia"/>
        </w:rPr>
        <w:t>尤其</w:t>
      </w:r>
      <w:r>
        <w:t>是下风向村民产生污染的环境问题；</w:t>
      </w:r>
    </w:p>
    <w:p>
      <w:pPr>
        <w:ind w:firstLine="480"/>
      </w:pPr>
      <w:r>
        <w:rPr>
          <w:rFonts w:hint="eastAsia"/>
        </w:rPr>
        <w:t>2、</w:t>
      </w:r>
      <w:r>
        <w:t>未建设沼液</w:t>
      </w:r>
      <w:r>
        <w:rPr>
          <w:rFonts w:hint="eastAsia"/>
        </w:rPr>
        <w:t>暂存池，不</w:t>
      </w:r>
      <w:r>
        <w:t>满足</w:t>
      </w:r>
      <w:r>
        <w:rPr>
          <w:rFonts w:hint="eastAsia"/>
        </w:rPr>
        <w:t>《畜禽养殖业污染治理工程技术规范（HJ497-2009）》和《畜禽养殖场（户）粪污处理设施建设技术指南》（农办牧[2022]19号）粪污暂存</w:t>
      </w:r>
      <w:r>
        <w:t>的要求</w:t>
      </w:r>
      <w:r>
        <w:rPr>
          <w:rFonts w:hint="eastAsia"/>
        </w:rPr>
        <w:t>，存在非</w:t>
      </w:r>
      <w:r>
        <w:t>灌溉季节</w:t>
      </w:r>
      <w:r>
        <w:rPr>
          <w:rFonts w:hint="eastAsia"/>
        </w:rPr>
        <w:t>沼液无处</w:t>
      </w:r>
      <w:r>
        <w:t>消纳的</w:t>
      </w:r>
      <w:r>
        <w:rPr>
          <w:rFonts w:hint="eastAsia"/>
        </w:rPr>
        <w:t>环境</w:t>
      </w:r>
      <w:r>
        <w:t>问题</w:t>
      </w:r>
      <w:r>
        <w:rPr>
          <w:rFonts w:hint="eastAsia"/>
        </w:rPr>
        <w:t>；</w:t>
      </w:r>
    </w:p>
    <w:p>
      <w:pPr>
        <w:ind w:firstLine="480"/>
      </w:pPr>
      <w:r>
        <w:rPr>
          <w:rFonts w:hint="eastAsia"/>
        </w:rPr>
        <w:t>3、</w:t>
      </w:r>
      <w:r>
        <w:t>沼气经厌氧发酵池</w:t>
      </w:r>
      <w:r>
        <w:rPr>
          <w:rFonts w:hint="eastAsia"/>
        </w:rPr>
        <w:t>顶部</w:t>
      </w:r>
      <w:r>
        <w:t>的排气口直接排放</w:t>
      </w:r>
      <w:r>
        <w:rPr>
          <w:rFonts w:hint="eastAsia"/>
        </w:rPr>
        <w:t>，</w:t>
      </w:r>
      <w:r>
        <w:t>无收集及处理措施</w:t>
      </w:r>
      <w:r>
        <w:rPr>
          <w:rFonts w:hint="eastAsia"/>
        </w:rPr>
        <w:t>，不满足</w:t>
      </w:r>
      <w:r>
        <w:t>《</w:t>
      </w:r>
      <w:r>
        <w:rPr>
          <w:rFonts w:hint="eastAsia"/>
        </w:rPr>
        <w:t>畜禽</w:t>
      </w:r>
      <w:r>
        <w:t>养殖场（</w:t>
      </w:r>
      <w:r>
        <w:rPr>
          <w:rFonts w:hint="eastAsia"/>
        </w:rPr>
        <w:t>户</w:t>
      </w:r>
      <w:r>
        <w:t>）</w:t>
      </w:r>
      <w:r>
        <w:rPr>
          <w:rFonts w:hint="eastAsia"/>
        </w:rPr>
        <w:t>粪污</w:t>
      </w:r>
      <w:r>
        <w:t>处理设施建设技术指南》</w:t>
      </w:r>
      <w:r>
        <w:rPr>
          <w:rFonts w:hint="eastAsia"/>
        </w:rPr>
        <w:t>（2022年</w:t>
      </w:r>
      <w:r>
        <w:t>6</w:t>
      </w:r>
      <w:r>
        <w:rPr>
          <w:rFonts w:hint="eastAsia"/>
        </w:rPr>
        <w:t>月</w:t>
      </w:r>
      <w:r>
        <w:t>24</w:t>
      </w:r>
      <w:r>
        <w:rPr>
          <w:rFonts w:hint="eastAsia"/>
        </w:rPr>
        <w:t>日）</w:t>
      </w:r>
      <w:r>
        <w:t>的要求</w:t>
      </w:r>
      <w:r>
        <w:rPr>
          <w:rFonts w:hint="eastAsia"/>
        </w:rPr>
        <w:t>：</w:t>
      </w:r>
      <w:r>
        <w:t>“</w:t>
      </w:r>
      <w:r>
        <w:rPr>
          <w:rFonts w:hint="eastAsia"/>
        </w:rPr>
        <w:t>畜禽养殖场（户）通过密闭贮存设施处理液体粪污的，应采用加盖、覆膜等方式，减少恶臭气体排放和雨水进入，同时配套必要的输送、搅拌、气体收集处理或燃烧火炬等设施设备</w:t>
      </w:r>
      <w:r>
        <w:t>”</w:t>
      </w:r>
      <w:r>
        <w:rPr>
          <w:rFonts w:hint="eastAsia"/>
        </w:rPr>
        <w:t>，</w:t>
      </w:r>
      <w:r>
        <w:t>同</w:t>
      </w:r>
      <w:r>
        <w:rPr>
          <w:rFonts w:hint="eastAsia"/>
        </w:rPr>
        <w:t>时</w:t>
      </w:r>
      <w:r>
        <w:t>，未经处理</w:t>
      </w:r>
      <w:r>
        <w:rPr>
          <w:rFonts w:hint="eastAsia"/>
        </w:rPr>
        <w:t>的</w:t>
      </w:r>
      <w:r>
        <w:t>沼气</w:t>
      </w:r>
      <w:r>
        <w:rPr>
          <w:rFonts w:hint="eastAsia"/>
        </w:rPr>
        <w:t>直接</w:t>
      </w:r>
      <w:r>
        <w:t>排放，存在</w:t>
      </w:r>
      <w:r>
        <w:rPr>
          <w:rFonts w:hint="eastAsia"/>
        </w:rPr>
        <w:t>环境</w:t>
      </w:r>
      <w:r>
        <w:t>风险隐患，对周围环境，尤其是下风向的</w:t>
      </w:r>
      <w:r>
        <w:rPr>
          <w:rFonts w:hint="eastAsia"/>
        </w:rPr>
        <w:t>村民</w:t>
      </w:r>
      <w:r>
        <w:t>如</w:t>
      </w:r>
      <w:r>
        <w:rPr>
          <w:rFonts w:hint="eastAsia"/>
        </w:rPr>
        <w:t>田家后</w:t>
      </w:r>
      <w:r>
        <w:t>岭村等</w:t>
      </w:r>
      <w:r>
        <w:rPr>
          <w:rFonts w:hint="eastAsia"/>
        </w:rPr>
        <w:t>大气</w:t>
      </w:r>
      <w:r>
        <w:t>环境产生影响；</w:t>
      </w:r>
    </w:p>
    <w:p>
      <w:pPr>
        <w:ind w:firstLine="480"/>
      </w:pPr>
      <w:r>
        <w:t>4</w:t>
      </w:r>
      <w:r>
        <w:rPr>
          <w:rFonts w:hint="eastAsia"/>
        </w:rPr>
        <w:t>、只</w:t>
      </w:r>
      <w:r>
        <w:t>建设了1</w:t>
      </w:r>
      <w:r>
        <w:rPr>
          <w:rFonts w:hint="eastAsia"/>
        </w:rPr>
        <w:t>个</w:t>
      </w:r>
      <w:r>
        <w:t>安全填埋井，不符合</w:t>
      </w:r>
      <w:r>
        <w:rPr>
          <w:rFonts w:hint="eastAsia"/>
        </w:rPr>
        <w:t>《畜禽养殖业污染物防治技术规范》（HJ/T81-2001）中“不具备</w:t>
      </w:r>
      <w:r>
        <w:t>焚烧条件的养殖场应设置两个以上</w:t>
      </w:r>
      <w:r>
        <w:rPr>
          <w:rFonts w:hint="eastAsia"/>
        </w:rPr>
        <w:t>”的</w:t>
      </w:r>
      <w:r>
        <w:t>要求</w:t>
      </w:r>
      <w:r>
        <w:rPr>
          <w:rFonts w:hint="eastAsia"/>
        </w:rPr>
        <w:t>；</w:t>
      </w:r>
    </w:p>
    <w:p>
      <w:pPr>
        <w:ind w:firstLine="480"/>
      </w:pPr>
      <w:r>
        <w:rPr>
          <w:rFonts w:hint="eastAsia"/>
        </w:rPr>
        <w:t>5、医疗</w:t>
      </w:r>
      <w:r>
        <w:t>废物未设置医疗废物暂存间，混入生活垃圾处理</w:t>
      </w:r>
      <w:r>
        <w:rPr>
          <w:rFonts w:hint="eastAsia"/>
        </w:rPr>
        <w:t>，</w:t>
      </w:r>
      <w:r>
        <w:t>属于违法行为</w:t>
      </w:r>
      <w:r>
        <w:rPr>
          <w:rFonts w:hint="eastAsia"/>
        </w:rPr>
        <w:t>。</w:t>
      </w:r>
    </w:p>
    <w:p>
      <w:pPr>
        <w:pStyle w:val="5"/>
      </w:pPr>
      <w:r>
        <w:t>整改措施</w:t>
      </w:r>
    </w:p>
    <w:p>
      <w:pPr>
        <w:ind w:firstLine="480"/>
      </w:pPr>
      <w:r>
        <w:rPr>
          <w:rFonts w:hint="eastAsia"/>
        </w:rPr>
        <w:t>1、在</w:t>
      </w:r>
      <w:r>
        <w:t>集粪池南侧</w:t>
      </w:r>
      <w:r>
        <w:rPr>
          <w:rFonts w:hint="eastAsia"/>
        </w:rPr>
        <w:t>设置</w:t>
      </w:r>
      <w:r>
        <w:t>堆粪棚</w:t>
      </w:r>
      <w:r>
        <w:rPr>
          <w:rFonts w:hint="eastAsia"/>
        </w:rPr>
        <w:t>，</w:t>
      </w:r>
      <w:r>
        <w:t>面积为</w:t>
      </w:r>
      <w:r>
        <w:rPr>
          <w:rFonts w:hint="eastAsia"/>
        </w:rPr>
        <w:t xml:space="preserve"> </w:t>
      </w:r>
      <w:r>
        <w:t>30</w:t>
      </w:r>
      <w:r>
        <w:rPr>
          <w:rFonts w:hint="eastAsia"/>
        </w:rPr>
        <w:t>0</w:t>
      </w:r>
      <w:r>
        <w:t>m</w:t>
      </w:r>
      <w:r>
        <w:rPr>
          <w:vertAlign w:val="superscript"/>
        </w:rPr>
        <w:t>2</w:t>
      </w:r>
      <w:r>
        <w:t>，四周设置</w:t>
      </w:r>
      <w:r>
        <w:rPr>
          <w:rFonts w:hint="eastAsia"/>
        </w:rPr>
        <w:t>2</w:t>
      </w:r>
      <w:r>
        <w:t>m高的防渗混凝土围墙，地面采用混凝土防渗地面；</w:t>
      </w:r>
    </w:p>
    <w:p>
      <w:pPr>
        <w:ind w:firstLine="480"/>
      </w:pPr>
      <w:r>
        <w:rPr>
          <w:rFonts w:hint="eastAsia"/>
        </w:rPr>
        <w:t>2、建设</w:t>
      </w:r>
      <w:r>
        <w:t>沼液暂存池，</w:t>
      </w:r>
      <w:r>
        <w:rPr>
          <w:rFonts w:hint="eastAsia"/>
        </w:rPr>
        <w:t>容积280</w:t>
      </w:r>
      <w:r>
        <w:t>0</w:t>
      </w:r>
      <w:r>
        <w:rPr>
          <w:rFonts w:hint="eastAsia"/>
        </w:rPr>
        <w:t>m</w:t>
      </w:r>
      <w:r>
        <w:rPr>
          <w:rFonts w:hint="eastAsia"/>
          <w:vertAlign w:val="superscript"/>
        </w:rPr>
        <w:t>3</w:t>
      </w:r>
      <w:r>
        <w:rPr>
          <w:rFonts w:hint="eastAsia"/>
        </w:rPr>
        <w:t>，可</w:t>
      </w:r>
      <w:r>
        <w:t>存贮生产用肥最大时间间隔</w:t>
      </w:r>
      <w:r>
        <w:rPr>
          <w:rFonts w:hint="eastAsia"/>
        </w:rPr>
        <w:t>2个</w:t>
      </w:r>
      <w:r>
        <w:t>月的存储要求，满足</w:t>
      </w:r>
      <w:r>
        <w:rPr>
          <w:rFonts w:hint="eastAsia"/>
        </w:rPr>
        <w:t>《畜禽养殖业污染治理工程技术规范（HJ497-2009）》6.1.2粪污贮存的</w:t>
      </w:r>
      <w:r>
        <w:t>要求</w:t>
      </w:r>
      <w:r>
        <w:rPr>
          <w:rFonts w:hint="eastAsia"/>
        </w:rPr>
        <w:t>以及《畜禽养殖场（户）粪污处理设施建设技术指南》（农办牧[2022]19号）中5.4畜禽粪污暂存设施的</w:t>
      </w:r>
      <w:r>
        <w:t>要求</w:t>
      </w:r>
      <w:r>
        <w:rPr>
          <w:rFonts w:hint="eastAsia"/>
        </w:rPr>
        <w:t>；</w:t>
      </w:r>
    </w:p>
    <w:p>
      <w:pPr>
        <w:ind w:firstLine="480"/>
      </w:pPr>
      <w:r>
        <w:rPr>
          <w:rFonts w:hint="eastAsia"/>
        </w:rPr>
        <w:t>3、本项目位于旬阳市，秋冬季温度较低，无法保证连续产气，无法</w:t>
      </w:r>
      <w:r>
        <w:t>综合利用，</w:t>
      </w:r>
      <w:r>
        <w:rPr>
          <w:rFonts w:hint="eastAsia"/>
        </w:rPr>
        <w:t>沼气</w:t>
      </w:r>
      <w:r>
        <w:t>经经除水脱硫净化处理后，通过污水处理系统下风向火炬充分燃烧</w:t>
      </w:r>
      <w:r>
        <w:rPr>
          <w:rFonts w:hint="eastAsia"/>
        </w:rPr>
        <w:t>排放；</w:t>
      </w:r>
    </w:p>
    <w:p>
      <w:pPr>
        <w:ind w:firstLine="480"/>
      </w:pPr>
      <w:r>
        <w:rPr>
          <w:rFonts w:hint="eastAsia"/>
        </w:rPr>
        <w:t>4、新增</w:t>
      </w:r>
      <w:r>
        <w:t>建设安全填埋井</w:t>
      </w:r>
      <w:r>
        <w:rPr>
          <w:rFonts w:hint="eastAsia"/>
        </w:rPr>
        <w:t>1个</w:t>
      </w:r>
      <w:r>
        <w:t>，</w:t>
      </w:r>
      <w:r>
        <w:rPr>
          <w:rFonts w:hint="eastAsia"/>
        </w:rPr>
        <w:t>填埋井深度</w:t>
      </w:r>
      <w:r>
        <w:t>5</w:t>
      </w:r>
      <w:r>
        <w:rPr>
          <w:rFonts w:hint="eastAsia"/>
        </w:rPr>
        <w:t>m，直径</w:t>
      </w:r>
      <w:r>
        <w:t>3</w:t>
      </w:r>
      <w:r>
        <w:rPr>
          <w:rFonts w:hint="eastAsia"/>
        </w:rPr>
        <w:t>m，容积</w:t>
      </w:r>
      <w:r>
        <w:t>35</w:t>
      </w:r>
      <w:r>
        <w:rPr>
          <w:rFonts w:hint="eastAsia"/>
        </w:rPr>
        <w:t>m</w:t>
      </w:r>
      <w:r>
        <w:rPr>
          <w:rFonts w:hint="eastAsia"/>
          <w:vertAlign w:val="superscript"/>
        </w:rPr>
        <w:t>3</w:t>
      </w:r>
      <w:r>
        <w:rPr>
          <w:rFonts w:hint="eastAsia"/>
        </w:rPr>
        <w:t>；</w:t>
      </w:r>
    </w:p>
    <w:p>
      <w:pPr>
        <w:ind w:firstLine="480"/>
      </w:pPr>
      <w:r>
        <w:rPr>
          <w:rFonts w:hint="eastAsia"/>
        </w:rPr>
        <w:t>5、新建医疗</w:t>
      </w:r>
      <w:r>
        <w:t>废物暂存间，医疗废物在暂存间暂存后，定期交有资质单位处置。</w:t>
      </w:r>
    </w:p>
    <w:p>
      <w:pPr>
        <w:pStyle w:val="3"/>
      </w:pPr>
      <w:bookmarkStart w:id="81" w:name="_Toc488102159"/>
      <w:bookmarkEnd w:id="81"/>
      <w:bookmarkStart w:id="82" w:name="_Toc108422229"/>
      <w:r>
        <w:rPr>
          <w:rFonts w:hint="eastAsia"/>
        </w:rPr>
        <w:t>影响因素</w:t>
      </w:r>
      <w:r>
        <w:t>分析</w:t>
      </w:r>
      <w:bookmarkEnd w:id="82"/>
    </w:p>
    <w:p>
      <w:pPr>
        <w:pStyle w:val="4"/>
      </w:pPr>
      <w:r>
        <w:rPr>
          <w:rFonts w:hint="eastAsia"/>
        </w:rPr>
        <w:t>污染</w:t>
      </w:r>
      <w:r>
        <w:t>影响因素分析</w:t>
      </w:r>
    </w:p>
    <w:p>
      <w:pPr>
        <w:pStyle w:val="79"/>
        <w:ind w:firstLine="480"/>
      </w:pPr>
      <w:r>
        <w:rPr>
          <w:rFonts w:hint="eastAsia"/>
        </w:rPr>
        <w:t>本项目属于</w:t>
      </w:r>
      <w:r>
        <w:t>“</w:t>
      </w:r>
      <w:r>
        <w:rPr>
          <w:rFonts w:hint="eastAsia"/>
        </w:rPr>
        <w:t>未批先建</w:t>
      </w:r>
      <w:r>
        <w:t>”</w:t>
      </w:r>
      <w:r>
        <w:rPr>
          <w:rFonts w:hint="eastAsia"/>
        </w:rPr>
        <w:t>项目</w:t>
      </w:r>
      <w:r>
        <w:t>，根据现场调查，项目施工阶段已经结束，</w:t>
      </w:r>
      <w:r>
        <w:rPr>
          <w:rFonts w:hint="eastAsia"/>
        </w:rPr>
        <w:t>无</w:t>
      </w:r>
      <w:r>
        <w:t>遗留施工期环境问题</w:t>
      </w:r>
      <w:r>
        <w:rPr>
          <w:rFonts w:hint="eastAsia"/>
        </w:rPr>
        <w:t>，</w:t>
      </w:r>
      <w:r>
        <w:t>本次评价</w:t>
      </w:r>
      <w:r>
        <w:rPr>
          <w:rFonts w:hint="eastAsia"/>
        </w:rPr>
        <w:t>不对</w:t>
      </w:r>
      <w:r>
        <w:t>施工期进行评价</w:t>
      </w:r>
    </w:p>
    <w:p>
      <w:pPr>
        <w:pStyle w:val="5"/>
      </w:pPr>
      <w:bookmarkStart w:id="83" w:name="_Toc27269"/>
      <w:r>
        <w:t>运营期工艺流程及产污环节分析</w:t>
      </w:r>
      <w:bookmarkEnd w:id="83"/>
    </w:p>
    <w:p>
      <w:pPr>
        <w:pStyle w:val="79"/>
        <w:ind w:firstLine="480"/>
      </w:pPr>
      <w:r>
        <w:t>本项目采用集约化养殖方式饲养生猪，项目场区分为养殖工程、饲料加工工程和污染治理工程三个主要功能区块。</w:t>
      </w:r>
    </w:p>
    <w:p>
      <w:pPr>
        <w:pStyle w:val="79"/>
        <w:ind w:firstLine="480"/>
        <w:rPr>
          <w:highlight w:val="yellow"/>
        </w:rPr>
      </w:pPr>
      <w:r>
        <w:rPr>
          <w:rFonts w:hint="eastAsia"/>
        </w:rPr>
        <w:t>本项目在养殖场地内，采用成熟的工艺技术措施，通过集中管理饲养生猪。本项目采用自繁自养，设计生猪常年存栏量</w:t>
      </w:r>
      <w:r>
        <w:t>5000</w:t>
      </w:r>
      <w:r>
        <w:rPr>
          <w:rFonts w:hint="eastAsia"/>
        </w:rPr>
        <w:t>头，年出栏量1</w:t>
      </w:r>
      <w:r>
        <w:t>1</w:t>
      </w:r>
      <w:r>
        <w:rPr>
          <w:rFonts w:hint="eastAsia"/>
        </w:rPr>
        <w:t>000头</w:t>
      </w:r>
      <w:r>
        <w:t>（</w:t>
      </w:r>
      <w:r>
        <w:rPr>
          <w:rFonts w:hint="eastAsia"/>
        </w:rPr>
        <w:t>其中育肥猪8</w:t>
      </w:r>
      <w:r>
        <w:t>000</w:t>
      </w:r>
      <w:r>
        <w:rPr>
          <w:rFonts w:hint="eastAsia"/>
        </w:rPr>
        <w:t>头，保育猪3</w:t>
      </w:r>
      <w:r>
        <w:t>000</w:t>
      </w:r>
      <w:r>
        <w:rPr>
          <w:rFonts w:hint="eastAsia"/>
        </w:rPr>
        <w:t>头</w:t>
      </w:r>
      <w:r>
        <w:t>）</w:t>
      </w:r>
      <w:r>
        <w:rPr>
          <w:rFonts w:hint="eastAsia"/>
        </w:rPr>
        <w:t>，项目不进行</w:t>
      </w:r>
      <w:r>
        <w:t>有机肥加工、</w:t>
      </w:r>
      <w:r>
        <w:rPr>
          <w:rFonts w:hint="eastAsia"/>
        </w:rPr>
        <w:t>生猪屠宰。</w:t>
      </w:r>
    </w:p>
    <w:p>
      <w:pPr>
        <w:pStyle w:val="79"/>
        <w:ind w:firstLine="480"/>
      </w:pPr>
      <w:r>
        <w:t>按照集约化养殖要求设计生产工艺流程，将生猪养殖按照生长特点划分为不同生长阶段，主要划分为配种妊娠阶段、分娩哺乳阶段、仔猪保育阶段，生猪育肥阶段。养殖过程工艺流程及产污环节见图3.</w:t>
      </w:r>
      <w:r>
        <w:rPr>
          <w:rFonts w:hint="eastAsia"/>
        </w:rPr>
        <w:t>2</w:t>
      </w:r>
      <w:r>
        <w:t>-2。</w:t>
      </w:r>
    </w:p>
    <w:p>
      <w:pPr>
        <w:pStyle w:val="79"/>
        <w:ind w:firstLine="0" w:firstLineChars="0"/>
        <w:jc w:val="center"/>
      </w:pPr>
      <w:r>
        <w:rPr>
          <w:rFonts w:hint="eastAsia"/>
        </w:rPr>
        <w:drawing>
          <wp:inline distT="0" distB="0" distL="0" distR="0">
            <wp:extent cx="5227955" cy="284607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1" cstate="print"/>
                    <a:srcRect l="844"/>
                    <a:stretch>
                      <a:fillRect/>
                    </a:stretch>
                  </pic:blipFill>
                  <pic:spPr>
                    <a:xfrm>
                      <a:off x="0" y="0"/>
                      <a:ext cx="5231959" cy="2848447"/>
                    </a:xfrm>
                    <a:prstGeom prst="rect">
                      <a:avLst/>
                    </a:prstGeom>
                    <a:noFill/>
                    <a:ln w="9525">
                      <a:noFill/>
                      <a:miter lim="800000"/>
                      <a:headEnd/>
                      <a:tailEnd/>
                    </a:ln>
                  </pic:spPr>
                </pic:pic>
              </a:graphicData>
            </a:graphic>
          </wp:inline>
        </w:drawing>
      </w:r>
    </w:p>
    <w:p>
      <w:pPr>
        <w:spacing w:line="240" w:lineRule="auto"/>
        <w:ind w:firstLine="0" w:firstLineChars="0"/>
        <w:jc w:val="center"/>
        <w:rPr>
          <w:b/>
          <w:szCs w:val="24"/>
        </w:rPr>
      </w:pPr>
      <w:r>
        <w:rPr>
          <w:b/>
          <w:szCs w:val="24"/>
        </w:rPr>
        <w:t>图3.2-2  本项目运营期生产工艺流程及产污环节</w:t>
      </w:r>
    </w:p>
    <w:p>
      <w:pPr>
        <w:pStyle w:val="6"/>
      </w:pPr>
      <w:r>
        <w:rPr>
          <w:rFonts w:hint="eastAsia"/>
        </w:rPr>
        <w:t>一</w:t>
      </w:r>
      <w:r>
        <w:t>、养殖及相关工艺说明</w:t>
      </w:r>
    </w:p>
    <w:p>
      <w:pPr>
        <w:pStyle w:val="79"/>
        <w:ind w:firstLine="482"/>
        <w:rPr>
          <w:b/>
        </w:rPr>
      </w:pPr>
      <w:r>
        <w:rPr>
          <w:b/>
        </w:rPr>
        <w:t>1、养殖工艺说明</w:t>
      </w:r>
    </w:p>
    <w:p>
      <w:pPr>
        <w:pStyle w:val="79"/>
        <w:ind w:firstLine="480"/>
      </w:pPr>
      <w:r>
        <w:t>（1）配种妊娠阶段</w:t>
      </w:r>
    </w:p>
    <w:p>
      <w:pPr>
        <w:pStyle w:val="79"/>
        <w:ind w:firstLine="480"/>
      </w:pPr>
      <w:r>
        <w:rPr>
          <w:rFonts w:hint="eastAsia"/>
        </w:rPr>
        <w:t>外购公猪进入后备舍饲养，公猪母猪</w:t>
      </w:r>
      <w:r>
        <w:t>在配怀舍配种区进行配种，配种妊娠阶段母猪要完成配种并度过妊娠期。配种周期为1-1.5周，确认受孕后的母猪在配怀舍进行饲养，配怀舍母猪单头限位栏饲养，控制膘情，减少争食应激，提高受胎率及乳猪初生重，饲养周期14-15周。</w:t>
      </w:r>
    </w:p>
    <w:p>
      <w:pPr>
        <w:pStyle w:val="79"/>
        <w:ind w:firstLine="480"/>
      </w:pPr>
      <w:r>
        <w:t>（2）分娩哺乳阶段</w:t>
      </w:r>
    </w:p>
    <w:p>
      <w:pPr>
        <w:pStyle w:val="79"/>
        <w:ind w:firstLine="480"/>
      </w:pPr>
      <w:r>
        <w:t>分娩哺乳阶段母猪要完成分娩和对仔猪的哺育，母猪产前一周入分娩舍，仔猪哺乳期一般为28-35d（4-5周）。哺乳期结束后，仔猪转至保育舍，选取优良仔猪留种，进入后备舍进行饲养，母猪回配种舍，进入下一个繁殖周期，配种舍内母猪进行小群饲养（每栏3-5头），有利发情。</w:t>
      </w:r>
    </w:p>
    <w:p>
      <w:pPr>
        <w:pStyle w:val="79"/>
        <w:ind w:firstLine="480"/>
      </w:pPr>
      <w:r>
        <w:t>（3）仔猪保育阶段</w:t>
      </w:r>
    </w:p>
    <w:p>
      <w:pPr>
        <w:pStyle w:val="79"/>
        <w:ind w:firstLine="480"/>
      </w:pPr>
      <w:r>
        <w:t>仔猪断奶后转入保育阶段。这一阶段，仔猪与母猪不在一起，营养来源由吃奶供给转变为仔猪独立采食饲料。这种环境的变化，对仔猪是一个应激。因此，保育阶段的主要任务是创造条件，减少应激，缩短适应期，保持快速生长，防止拉痢掉膘。</w:t>
      </w:r>
    </w:p>
    <w:p>
      <w:pPr>
        <w:pStyle w:val="79"/>
        <w:ind w:firstLine="480"/>
      </w:pPr>
      <w:r>
        <w:t>保育舍实行小群饲养，保育的适宜温度和相对湿度控制在20～22</w:t>
      </w:r>
      <w:r>
        <w:rPr>
          <w:rFonts w:hint="eastAsia" w:ascii="宋体" w:hAnsi="宋体" w:cs="宋体"/>
        </w:rPr>
        <w:t>℃</w:t>
      </w:r>
      <w:r>
        <w:t>和65%～70%，并注意良好的通风换气，保持圈舍清洁、干燥，饮水充足。进入保育舍的幼猪，7～10日内应保持原来的乳猪饲料，并严格控制采食量，由自由采食改为日喂4-5餐，投料量为自由采食的70%。以后逐渐过渡到仔猪料。3～5周龄断奶的仔猪，如不控制采食量，便容易诱发胃肠炎，造成增重减慢，甚至拉稀死亡。保育阶段应安排驱虫、防疫注射工作。</w:t>
      </w:r>
    </w:p>
    <w:p>
      <w:pPr>
        <w:pStyle w:val="79"/>
        <w:ind w:firstLine="480"/>
      </w:pPr>
      <w:r>
        <w:t>（4）生长育肥阶段</w:t>
      </w:r>
    </w:p>
    <w:p>
      <w:pPr>
        <w:pStyle w:val="79"/>
        <w:ind w:firstLine="480"/>
      </w:pPr>
      <w:r>
        <w:t>育肥舍在进猪前应进行维修和彻底地冲洗、消毒。进猪后保持舍内清洁、干燥、通风良好、饮水充足，温度控制在18～22</w:t>
      </w:r>
      <w:r>
        <w:rPr>
          <w:rFonts w:hint="eastAsia" w:ascii="宋体" w:hAnsi="宋体" w:cs="宋体"/>
        </w:rPr>
        <w:t>℃</w:t>
      </w:r>
      <w:r>
        <w:t>，夏季注意防暑降温。转群时应将原圈猪按体重大小、性别、强弱分群，每群大小应视圈舍大小而定，一般为10～20头。</w:t>
      </w:r>
    </w:p>
    <w:p>
      <w:pPr>
        <w:pStyle w:val="79"/>
        <w:ind w:firstLine="480"/>
      </w:pPr>
      <w:r>
        <w:t>每月要定期称重，以检查饲喂效果。经常检查猪群的采食、发育等情况，及时调整饲料配方，发现疫病及时报告，采取有效措施进行治疗和处理。</w:t>
      </w:r>
    </w:p>
    <w:p>
      <w:pPr>
        <w:pStyle w:val="79"/>
        <w:ind w:firstLine="482"/>
        <w:rPr>
          <w:b/>
        </w:rPr>
      </w:pPr>
      <w:r>
        <w:rPr>
          <w:b/>
        </w:rPr>
        <w:t>2、</w:t>
      </w:r>
      <w:r>
        <w:rPr>
          <w:rFonts w:hint="eastAsia"/>
          <w:b/>
        </w:rPr>
        <w:t>饲养管理</w:t>
      </w:r>
      <w:r>
        <w:rPr>
          <w:b/>
        </w:rPr>
        <w:t>说明</w:t>
      </w:r>
    </w:p>
    <w:p>
      <w:pPr>
        <w:pStyle w:val="79"/>
        <w:ind w:firstLine="480"/>
      </w:pPr>
      <w:r>
        <w:t>（1）</w:t>
      </w:r>
      <w:r>
        <w:rPr>
          <w:rFonts w:hint="eastAsia"/>
        </w:rPr>
        <w:t>喂料</w:t>
      </w:r>
    </w:p>
    <w:p>
      <w:pPr>
        <w:pStyle w:val="79"/>
        <w:ind w:firstLine="480"/>
      </w:pPr>
      <w:r>
        <w:t>猪只饲料喂养工艺流程主要包括饲料</w:t>
      </w:r>
      <w:r>
        <w:rPr>
          <w:rFonts w:hint="eastAsia"/>
        </w:rPr>
        <w:t>破碎</w:t>
      </w:r>
      <w:r>
        <w:t>、混合</w:t>
      </w:r>
      <w:r>
        <w:rPr>
          <w:rFonts w:hint="eastAsia"/>
        </w:rPr>
        <w:t>、</w:t>
      </w:r>
      <w:r>
        <w:t>使用等环节</w:t>
      </w:r>
      <w:r>
        <w:rPr>
          <w:rFonts w:hint="eastAsia"/>
        </w:rPr>
        <w:t>。</w:t>
      </w:r>
    </w:p>
    <w:p>
      <w:pPr>
        <w:pStyle w:val="79"/>
        <w:ind w:firstLine="480"/>
      </w:pPr>
      <w:r>
        <w:rPr>
          <w:rFonts w:hint="eastAsia"/>
        </w:rPr>
        <w:t>本项目猪只养殖饲料外购，主要</w:t>
      </w:r>
      <w:r>
        <w:t>为玉米及麸皮，</w:t>
      </w:r>
      <w:r>
        <w:rPr>
          <w:rFonts w:hint="eastAsia"/>
        </w:rPr>
        <w:t>玉米为颗粒状，需</w:t>
      </w:r>
      <w:r>
        <w:t>进行简单的破碎加工</w:t>
      </w:r>
      <w:r>
        <w:rPr>
          <w:rFonts w:hint="eastAsia"/>
        </w:rPr>
        <w:t>。其中还包含少量维生素添加剂、微量元素添加剂、氨基酸添加剂、微生物饲料添加剂等，饲料含水率 8%～10%，粗蛋白含量 10%～20%。饲料通过密闭罐装饲料车运至厂区内，存于项目饲料库房内。</w:t>
      </w:r>
    </w:p>
    <w:p>
      <w:pPr>
        <w:pStyle w:val="79"/>
        <w:ind w:firstLine="0" w:firstLineChars="0"/>
        <w:jc w:val="center"/>
        <w:rPr>
          <w:b/>
          <w:szCs w:val="24"/>
        </w:rPr>
      </w:pPr>
      <w:r>
        <w:object>
          <v:shape id="_x0000_i1026" o:spt="75" type="#_x0000_t75" style="height:61.25pt;width:415.9pt;" o:ole="t" filled="f" o:preferrelative="t" stroked="f" coordsize="21600,21600">
            <v:path/>
            <v:fill on="f" focussize="0,0"/>
            <v:stroke on="f" joinstyle="miter"/>
            <v:imagedata r:id="rId73" o:title=""/>
            <o:lock v:ext="edit" aspectratio="t"/>
            <w10:wrap type="none"/>
            <w10:anchorlock/>
          </v:shape>
          <o:OLEObject Type="Embed" ProgID="Visio.Drawing.11" ShapeID="_x0000_i1026" DrawAspect="Content" ObjectID="_1468075726" r:id="rId72">
            <o:LockedField>false</o:LockedField>
          </o:OLEObject>
        </w:object>
      </w:r>
      <w:r>
        <w:rPr>
          <w:rFonts w:hint="eastAsia"/>
          <w:b/>
          <w:szCs w:val="24"/>
        </w:rPr>
        <w:t>图3.2-3饲料加工工艺</w:t>
      </w:r>
    </w:p>
    <w:p>
      <w:pPr>
        <w:pStyle w:val="79"/>
        <w:ind w:firstLine="480"/>
      </w:pPr>
      <w:r>
        <w:t>（2）饮水</w:t>
      </w:r>
    </w:p>
    <w:p>
      <w:pPr>
        <w:pStyle w:val="79"/>
        <w:ind w:firstLine="480"/>
      </w:pPr>
      <w:r>
        <w:t>智能饮水系统</w:t>
      </w:r>
      <w:r>
        <w:rPr>
          <w:rFonts w:hint="eastAsia"/>
        </w:rPr>
        <w:t>，猪只饮水通过饮水器，可有效减少水资源的浪费。</w:t>
      </w:r>
    </w:p>
    <w:p>
      <w:pPr>
        <w:pStyle w:val="79"/>
        <w:ind w:firstLine="480"/>
      </w:pPr>
      <w:r>
        <w:t>（3）控温系统工艺说明</w:t>
      </w:r>
    </w:p>
    <w:p>
      <w:pPr>
        <w:pStyle w:val="79"/>
        <w:ind w:firstLine="480"/>
      </w:pPr>
      <w:r>
        <w:t>项目通过优化猪舍结构设计、墙体做隔热保温层来切断单元内外热传递。使单元内温度保持在猪适宜的温度范围内。具体措施如下：</w:t>
      </w:r>
    </w:p>
    <w:p>
      <w:pPr>
        <w:pStyle w:val="79"/>
        <w:ind w:firstLine="480"/>
      </w:pPr>
      <w:r>
        <w:t>猪舍结构：墙体外铺挤塑式聚苯乙烯隔热保温板（冬季很好的阻热作用）+风机（夏季有很好的通风作用）。</w:t>
      </w:r>
    </w:p>
    <w:p>
      <w:pPr>
        <w:pStyle w:val="79"/>
        <w:ind w:firstLine="480"/>
      </w:pPr>
      <w:r>
        <w:t>墙体由挤塑式聚苯乙烯隔热保温板（简称</w:t>
      </w:r>
      <w:r>
        <w:rPr>
          <w:rFonts w:hint="eastAsia"/>
        </w:rPr>
        <w:t>“</w:t>
      </w:r>
      <w:r>
        <w:t>挤塑板</w:t>
      </w:r>
      <w:r>
        <w:rPr>
          <w:rFonts w:hint="eastAsia"/>
        </w:rPr>
        <w:t>”</w:t>
      </w:r>
      <w:r>
        <w:t>）来切断单元内外热传递，该材料具有高热阻、低线性、膨胀比低的特点，其结构的闭孔率达到了99%以上，形成真空层，避免空气流动散热，确保其保温性能的持久和稳定。</w:t>
      </w:r>
    </w:p>
    <w:p>
      <w:pPr>
        <w:pStyle w:val="79"/>
        <w:ind w:firstLine="480"/>
      </w:pPr>
      <w:r>
        <w:t>在分娩哺乳舍，用于刚产下的仔猪对温度的需求较高，需使用红外线灯对小猪仔进行加热烘干。项目各猪舍内均安装电子温度计，温度计显示器安装在猪舍门口便于工作人员观察处，工作人员定期巡查，实时观测舍内温度。当分娩哺乳舍内温度接近或低于限定温度时，开启备用红外灯对猪舍内进行加温。</w:t>
      </w:r>
    </w:p>
    <w:p>
      <w:pPr>
        <w:pStyle w:val="79"/>
        <w:ind w:firstLine="480"/>
      </w:pPr>
      <w:r>
        <w:t>冬季保温：主要是通过猪舍墙体保温材料与外部断绝交换，猪舍内部实施最小通风量，既保证猪需要的氧气量，又保证单元内有害气体不超标，防止过度通风降低单元温度。</w:t>
      </w:r>
    </w:p>
    <w:p>
      <w:pPr>
        <w:pStyle w:val="79"/>
        <w:ind w:firstLine="480"/>
      </w:pPr>
      <w:r>
        <w:t>为确保冬季猪舍内部温度满足要求，可在猪舍内部备用电暖风设备。</w:t>
      </w:r>
    </w:p>
    <w:p>
      <w:pPr>
        <w:pStyle w:val="79"/>
        <w:ind w:firstLine="480"/>
      </w:pPr>
      <w:r>
        <w:t>根据同类猪场试验结果，0</w:t>
      </w:r>
      <w:r>
        <w:rPr>
          <w:rFonts w:hint="eastAsia" w:ascii="宋体" w:hAnsi="宋体" w:cs="宋体"/>
        </w:rPr>
        <w:t>℃</w:t>
      </w:r>
      <w:r>
        <w:t>左右的空气可被升温10-15</w:t>
      </w:r>
      <w:r>
        <w:rPr>
          <w:rFonts w:hint="eastAsia" w:ascii="宋体" w:hAnsi="宋体" w:cs="宋体"/>
        </w:rPr>
        <w:t>℃</w:t>
      </w:r>
      <w:r>
        <w:t>左右。另外，热交换主要在单元装猪的第一个月猪群还未长大时进行使用，当猪群成长一个月左右，仅依靠猪群自身散热即可达到对温度的需求，最后甚至还要打开侧窗进行散热。</w:t>
      </w:r>
    </w:p>
    <w:p>
      <w:pPr>
        <w:ind w:firstLine="480"/>
      </w:pPr>
      <w:r>
        <w:t>夏季降温：夏季猪舍采用喷雾降温。</w:t>
      </w:r>
    </w:p>
    <w:p>
      <w:pPr>
        <w:ind w:firstLine="480"/>
      </w:pPr>
      <w:r>
        <w:t>喷雾降温是在猪舍安装带有小孔的塑料软管，从水管中喷出水雾对猪舍进行降温。</w:t>
      </w:r>
    </w:p>
    <w:p>
      <w:pPr>
        <w:ind w:firstLine="480"/>
      </w:pPr>
      <w:r>
        <w:t>（4）漏缝地板粪污处理</w:t>
      </w:r>
    </w:p>
    <w:p>
      <w:pPr>
        <w:ind w:firstLine="480"/>
      </w:pPr>
      <w:r>
        <w:t>生猪饲养猪舍采用漏缝地板，</w:t>
      </w:r>
      <w:r>
        <w:rPr>
          <w:rFonts w:hint="eastAsia"/>
        </w:rPr>
        <w:t>每天产生的</w:t>
      </w:r>
      <w:r>
        <w:t>粪尿</w:t>
      </w:r>
      <w:r>
        <w:rPr>
          <w:rFonts w:hint="eastAsia"/>
        </w:rPr>
        <w:t>依靠重力离开猪舍，</w:t>
      </w:r>
      <w:r>
        <w:t>经固液分离机</w:t>
      </w:r>
      <w:r>
        <w:rPr>
          <w:rFonts w:hint="eastAsia"/>
        </w:rPr>
        <w:t>分离</w:t>
      </w:r>
      <w:r>
        <w:t>，猪粪</w:t>
      </w:r>
      <w:r>
        <w:rPr>
          <w:rFonts w:hint="eastAsia"/>
        </w:rPr>
        <w:t>外售</w:t>
      </w:r>
      <w:r>
        <w:t>用于生产有机肥，</w:t>
      </w:r>
      <w:r>
        <w:rPr>
          <w:rFonts w:hint="eastAsia"/>
        </w:rPr>
        <w:t>废水</w:t>
      </w:r>
      <w:r>
        <w:t>经</w:t>
      </w:r>
      <w:r>
        <w:rPr>
          <w:rFonts w:hint="eastAsia"/>
        </w:rPr>
        <w:t>厌氧</w:t>
      </w:r>
      <w:r>
        <w:t>发酵池处理后</w:t>
      </w:r>
      <w:r>
        <w:rPr>
          <w:rFonts w:hint="eastAsia"/>
        </w:rPr>
        <w:t>用于种植区域施肥，粪污充分利用，无</w:t>
      </w:r>
      <w:r>
        <w:t>废水外排。</w:t>
      </w:r>
    </w:p>
    <w:p>
      <w:pPr>
        <w:ind w:firstLine="480"/>
      </w:pPr>
      <w:r>
        <w:t>（5）卫生防疫</w:t>
      </w:r>
    </w:p>
    <w:p>
      <w:pPr>
        <w:ind w:firstLine="480"/>
      </w:pPr>
      <w:r>
        <w:t>在各阶段猪出栏后，通过高压水枪喷淋消毒液对猪舍进行消毒处理，发生特别疫情时用高锰酸钾消毒液进行消毒处理。猪舍消毒采用高压枪喷洒消毒剂的方式，不会汇集形成污水。</w:t>
      </w:r>
    </w:p>
    <w:p>
      <w:pPr>
        <w:ind w:firstLine="480"/>
      </w:pPr>
      <w:r>
        <w:rPr>
          <w:rFonts w:hint="eastAsia"/>
        </w:rPr>
        <w:t>项目</w:t>
      </w:r>
      <w:r>
        <w:t>在</w:t>
      </w:r>
      <w:r>
        <w:rPr>
          <w:rFonts w:hint="eastAsia"/>
        </w:rPr>
        <w:t>进厂大门口及厂区内</w:t>
      </w:r>
      <w:r>
        <w:t>建设有</w:t>
      </w:r>
      <w:r>
        <w:rPr>
          <w:rFonts w:hint="eastAsia"/>
        </w:rPr>
        <w:t>消毒间</w:t>
      </w:r>
      <w:r>
        <w:t>进行消毒。</w:t>
      </w:r>
    </w:p>
    <w:p>
      <w:pPr>
        <w:pStyle w:val="6"/>
      </w:pPr>
      <w:r>
        <w:rPr>
          <w:rFonts w:hint="eastAsia"/>
        </w:rPr>
        <w:t>二</w:t>
      </w:r>
      <w:r>
        <w:t>、</w:t>
      </w:r>
      <w:r>
        <w:rPr>
          <w:rFonts w:hint="eastAsia"/>
        </w:rPr>
        <w:t>卫生消毒与医疗防疫</w:t>
      </w:r>
    </w:p>
    <w:p>
      <w:pPr>
        <w:ind w:firstLine="482"/>
        <w:rPr>
          <w:b/>
        </w:rPr>
      </w:pPr>
      <w:r>
        <w:rPr>
          <w:rFonts w:hint="eastAsia"/>
          <w:b/>
        </w:rPr>
        <w:t>1、卫生消毒</w:t>
      </w:r>
    </w:p>
    <w:p>
      <w:pPr>
        <w:ind w:firstLine="480"/>
      </w:pPr>
      <w:r>
        <w:rPr>
          <w:rFonts w:hint="eastAsia"/>
        </w:rPr>
        <w:t>（1）卫生</w:t>
      </w:r>
    </w:p>
    <w:p>
      <w:pPr>
        <w:ind w:firstLine="480"/>
      </w:pPr>
      <w:r>
        <w:rPr>
          <w:rFonts w:hint="eastAsia"/>
        </w:rPr>
        <w:t>①常年保持猪舍及其周围环境的清洁卫生、整齐，每天清洁卫生最少2次。禁止在猪舍及其周围堆放垃圾和其他废弃物。</w:t>
      </w:r>
    </w:p>
    <w:p>
      <w:pPr>
        <w:ind w:firstLine="480"/>
      </w:pPr>
      <w:r>
        <w:rPr>
          <w:rFonts w:hint="eastAsia"/>
        </w:rPr>
        <w:t>②空圈清洗消毒：猪群转走后，要及时消毒栏位，待下批猪转入。</w:t>
      </w:r>
    </w:p>
    <w:p>
      <w:pPr>
        <w:ind w:firstLine="480"/>
      </w:pPr>
      <w:r>
        <w:rPr>
          <w:rFonts w:hint="eastAsia"/>
        </w:rPr>
        <w:t>③带猪消毒：每周2次带猪消毒，发生传染性疾病时，每周三次消毒。</w:t>
      </w:r>
    </w:p>
    <w:p>
      <w:pPr>
        <w:ind w:firstLine="480"/>
      </w:pPr>
      <w:r>
        <w:rPr>
          <w:rFonts w:hint="eastAsia"/>
        </w:rPr>
        <w:t>④蜘蛛网与灰尘：室内不准有蜘蛛网，同时经常打扫灰尘。</w:t>
      </w:r>
    </w:p>
    <w:p>
      <w:pPr>
        <w:ind w:firstLine="480"/>
      </w:pPr>
      <w:r>
        <w:rPr>
          <w:rFonts w:hint="eastAsia"/>
        </w:rPr>
        <w:t>（2）消毒措施</w:t>
      </w:r>
    </w:p>
    <w:p>
      <w:pPr>
        <w:ind w:firstLine="480"/>
      </w:pPr>
      <w:r>
        <w:rPr>
          <w:rFonts w:hint="eastAsia"/>
        </w:rPr>
        <w:t>①环境消毒：猪舍周围每周消毒一次，车辆定期进行消毒。</w:t>
      </w:r>
    </w:p>
    <w:p>
      <w:pPr>
        <w:ind w:firstLine="480"/>
      </w:pPr>
      <w:r>
        <w:rPr>
          <w:rFonts w:hint="eastAsia"/>
        </w:rPr>
        <w:t>②人员消毒：厂区工作人员穿工作服进入养殖区内，工作服不能穿出场外。在紧急防疫期间，禁止外来人员进入养殖区参观。饲养人员定期体检患人畜共患病者不得进入生产区，及时在场外就医治疗。</w:t>
      </w:r>
    </w:p>
    <w:p>
      <w:pPr>
        <w:ind w:firstLine="480"/>
      </w:pPr>
      <w:r>
        <w:rPr>
          <w:rFonts w:hint="eastAsia"/>
        </w:rPr>
        <w:t>③用具消毒：饲喂用具、料槽、饲料床等定期消毒，用0.2-0.5%过氧乙酸喷雾或5%聚维碘酮消毒，夏季每两周消毒一次，冬季一个月消毒一次，部分耐高温器具采用烘干消毒箱进行消毒。</w:t>
      </w:r>
    </w:p>
    <w:p>
      <w:pPr>
        <w:ind w:firstLine="480"/>
      </w:pPr>
      <w:r>
        <w:rPr>
          <w:rFonts w:hint="eastAsia"/>
        </w:rPr>
        <w:t>④活体环境消毒：定期用碘消毒剂、0.3%过氧乙酸等进行活体猪环境消毒。采用喷雾消毒方式。</w:t>
      </w:r>
    </w:p>
    <w:p>
      <w:pPr>
        <w:ind w:firstLine="480"/>
      </w:pPr>
      <w:r>
        <w:rPr>
          <w:rFonts w:hint="eastAsia"/>
        </w:rPr>
        <w:t>⑤养殖区设施清洁与消毒：每年春秋两季用0.1-0.3%过氧乙酸对猪舍进行一次全面的喷雾消毒，食槽每月消毒1-2次。</w:t>
      </w:r>
    </w:p>
    <w:p>
      <w:pPr>
        <w:ind w:firstLine="480"/>
      </w:pPr>
      <w:r>
        <w:rPr>
          <w:rFonts w:hint="eastAsia"/>
        </w:rPr>
        <w:t>⑥饲料存放处要定期进行清扫、洗刷和药物消毒。</w:t>
      </w:r>
    </w:p>
    <w:p>
      <w:pPr>
        <w:ind w:firstLine="480"/>
      </w:pPr>
      <w:r>
        <w:rPr>
          <w:rFonts w:hint="eastAsia"/>
        </w:rPr>
        <w:t>⑦当畜禽处于疫情敏感或发病时期消毒：使用卫可1：250喷雾消毒，每天2次，连续3-5天，或至疾病减缓及完全控制后恢复正常用法；同时配合卫可1：1000饮水，每天1次。</w:t>
      </w:r>
    </w:p>
    <w:p>
      <w:pPr>
        <w:ind w:firstLine="480"/>
      </w:pPr>
      <w:r>
        <w:rPr>
          <w:rFonts w:hint="eastAsia"/>
        </w:rPr>
        <w:t>注：圈舍消毒时可以关闭部分通风设备，高温季节最好选在清晨、傍晚凉爽时候关闭通风系统操作。</w:t>
      </w:r>
    </w:p>
    <w:p>
      <w:pPr>
        <w:ind w:firstLine="480"/>
      </w:pPr>
      <w:r>
        <w:rPr>
          <w:rFonts w:hint="eastAsia"/>
        </w:rPr>
        <w:t>⑧饮水消毒：首次清理，圈舍有畜禽的情况下用卫可1：1000于傍晚时候添加一桶（约200公斤）自由饮用，次日早上冲洗管线。连用两次即可。</w:t>
      </w:r>
    </w:p>
    <w:p>
      <w:pPr>
        <w:ind w:firstLine="480"/>
      </w:pPr>
      <w:r>
        <w:rPr>
          <w:rFonts w:hint="eastAsia"/>
        </w:rPr>
        <w:t>⑨洗手盆消毒：卫可1：250，5-7天更换一次。</w:t>
      </w:r>
    </w:p>
    <w:p>
      <w:pPr>
        <w:ind w:firstLine="480"/>
      </w:pPr>
      <w:r>
        <w:rPr>
          <w:rFonts w:hint="eastAsia"/>
        </w:rPr>
        <w:t>本工程拟采用过氧乙酸、5%聚维碘酮、卫可等消毒的方法，防止产生氯代有机物及其它的二次污染物，满足《畜禽养殖业污染防治技术规范》（HJ/T81-2001）要求。</w:t>
      </w:r>
    </w:p>
    <w:p>
      <w:pPr>
        <w:ind w:firstLine="482"/>
        <w:rPr>
          <w:b/>
        </w:rPr>
      </w:pPr>
      <w:r>
        <w:rPr>
          <w:rFonts w:hint="eastAsia"/>
          <w:b/>
        </w:rPr>
        <w:t>2、防疫</w:t>
      </w:r>
    </w:p>
    <w:p>
      <w:pPr>
        <w:ind w:firstLine="480"/>
      </w:pPr>
      <w:r>
        <w:rPr>
          <w:rFonts w:hint="eastAsia"/>
        </w:rPr>
        <w:t>（1）疫苗运输与保存</w:t>
      </w:r>
    </w:p>
    <w:p>
      <w:pPr>
        <w:ind w:firstLine="480"/>
      </w:pPr>
      <w:r>
        <w:rPr>
          <w:rFonts w:hint="eastAsia"/>
        </w:rPr>
        <w:t>①生物制品储运温度应符合说明要求，严防日晒和接触高温，要求运输箱中放置冰块，保证运输箱温度在15度以下。</w:t>
      </w:r>
    </w:p>
    <w:p>
      <w:pPr>
        <w:ind w:firstLine="480"/>
      </w:pPr>
      <w:r>
        <w:rPr>
          <w:rFonts w:hint="eastAsia"/>
        </w:rPr>
        <w:t>②疫苗保存：冻干苗要求低温保存（-15℃），液体苗和粉态苗要求2-4度保存。</w:t>
      </w:r>
    </w:p>
    <w:p>
      <w:pPr>
        <w:ind w:firstLine="480"/>
      </w:pPr>
      <w:r>
        <w:rPr>
          <w:rFonts w:hint="eastAsia"/>
        </w:rPr>
        <w:t>③疫苗稀释后容易失效，所以应在2h内用完。</w:t>
      </w:r>
    </w:p>
    <w:p>
      <w:pPr>
        <w:ind w:firstLine="480"/>
      </w:pPr>
      <w:r>
        <w:rPr>
          <w:rFonts w:hint="eastAsia"/>
        </w:rPr>
        <w:t>（2）疫苗稀释</w:t>
      </w:r>
    </w:p>
    <w:p>
      <w:pPr>
        <w:ind w:firstLine="480"/>
      </w:pPr>
      <w:r>
        <w:rPr>
          <w:rFonts w:hint="eastAsia"/>
        </w:rPr>
        <w:t>①同温处理：冻干苗和稀释液储存温度相差较大，在稀释前，两者放在冷藏环境中同温处理半个小时以上。再进行稀释操作。</w:t>
      </w:r>
    </w:p>
    <w:p>
      <w:pPr>
        <w:ind w:firstLine="480"/>
      </w:pPr>
      <w:r>
        <w:rPr>
          <w:rFonts w:hint="eastAsia"/>
        </w:rPr>
        <w:t>②稀释时，选用干净、消毒过的针头抽取稀释液稀释疫苗。</w:t>
      </w:r>
    </w:p>
    <w:p>
      <w:pPr>
        <w:ind w:firstLine="480"/>
      </w:pPr>
      <w:r>
        <w:rPr>
          <w:rFonts w:hint="eastAsia"/>
        </w:rPr>
        <w:t>（3）疫苗注射</w:t>
      </w:r>
    </w:p>
    <w:p>
      <w:pPr>
        <w:ind w:firstLine="480"/>
      </w:pPr>
      <w:r>
        <w:rPr>
          <w:rFonts w:hint="eastAsia"/>
        </w:rPr>
        <w:t>注射部位一般选择在肌肉丰满颈部，耳朵后缘5cm处，注射时先消毒，将针头垂直的刺入注射部位内，刺入深度可根据猪只的大小及注射部位的肌肉状况而定，一般情况下是在3厘米左右。抽动注射器的活塞未发现有回血，即可注入药液。</w:t>
      </w:r>
    </w:p>
    <w:p>
      <w:pPr>
        <w:ind w:firstLine="480"/>
      </w:pPr>
      <w:r>
        <w:rPr>
          <w:rFonts w:hint="eastAsia"/>
        </w:rPr>
        <w:t>（4）疫苗注射前注意事项</w:t>
      </w:r>
    </w:p>
    <w:p>
      <w:pPr>
        <w:ind w:firstLine="480"/>
      </w:pPr>
      <w:r>
        <w:rPr>
          <w:rFonts w:hint="eastAsia"/>
        </w:rPr>
        <w:t>①了解被免疫对象的健康情况，凡瘦弱有疾病或者在7天以前使用过抗生素的猪只一律把免疫推后到其恢复后再补（应详细记录这一群体不许有一头漏落）。</w:t>
      </w:r>
    </w:p>
    <w:p>
      <w:pPr>
        <w:ind w:firstLine="480"/>
      </w:pPr>
      <w:r>
        <w:rPr>
          <w:rFonts w:hint="eastAsia"/>
        </w:rPr>
        <w:t>②使用生物制品时应仔细查阅产品说明书与瓶签有否相符，若不同则严禁使用，同时明确其瓶装量、稀释液、使用剂量、使用方法及有关事项，严格遵守操作规程。</w:t>
      </w:r>
    </w:p>
    <w:p>
      <w:pPr>
        <w:ind w:firstLine="480"/>
      </w:pPr>
      <w:r>
        <w:rPr>
          <w:rFonts w:hint="eastAsia"/>
        </w:rPr>
        <w:t>③使用前应了解产品的生产日期、储运方法，特别注意是否高温日晒、冻结、发霉、过期等造成其失效的各种因素，凡有玻璃瓶裂纹、瓶盖松动以及其色泽和其它物理性状与说明书不一致的禁止使用。</w:t>
      </w:r>
    </w:p>
    <w:p>
      <w:pPr>
        <w:ind w:firstLine="480"/>
      </w:pPr>
      <w:r>
        <w:rPr>
          <w:rFonts w:hint="eastAsia"/>
        </w:rPr>
        <w:t>④生物制品使用前要充分摇均匀使其全部溶解，并且在每一次吸苗时必须再次摇均匀，以不影响其含量而降低其使用效力。</w:t>
      </w:r>
    </w:p>
    <w:p>
      <w:pPr>
        <w:ind w:firstLine="480"/>
      </w:pPr>
      <w:r>
        <w:rPr>
          <w:rFonts w:hint="eastAsia"/>
        </w:rPr>
        <w:t>⑤注射过程中应严格消毒，注射器（折开）、针头应洗净煮沸，要注射一头猪换一个针头，不能用已经注射的针头来吸苗，每一瓶塞上固定一个外包消毒棉球的吸苗针，己吸出的苗不得推回瓶内，被注射部必须严格消毒，推液后用消毒棉球按压注射部位不让液苗外泄。</w:t>
      </w:r>
    </w:p>
    <w:p>
      <w:pPr>
        <w:ind w:firstLine="480"/>
      </w:pPr>
      <w:r>
        <w:rPr>
          <w:rFonts w:hint="eastAsia"/>
        </w:rPr>
        <w:t>⑥免疫接种后（尤其是弱毒活疫苗）要求7天内不得被免疫对象使用抗生素。</w:t>
      </w:r>
    </w:p>
    <w:p>
      <w:pPr>
        <w:ind w:firstLine="480"/>
      </w:pPr>
      <w:r>
        <w:rPr>
          <w:rFonts w:hint="eastAsia"/>
        </w:rPr>
        <w:t>⑦对接受免疫的群体必须要作安全试验和分批进行，时间间隔不少于15天。</w:t>
      </w:r>
    </w:p>
    <w:p>
      <w:pPr>
        <w:ind w:firstLine="480"/>
      </w:pPr>
      <w:r>
        <w:rPr>
          <w:rFonts w:hint="eastAsia"/>
        </w:rPr>
        <w:t>⑧有的疫苗引起的过敏反应很大，接种后应详细观察，对严重的个体及时用肾上腺素等药物脱敏，以免引起死亡。</w:t>
      </w:r>
    </w:p>
    <w:p>
      <w:pPr>
        <w:ind w:firstLine="480"/>
      </w:pPr>
      <w:r>
        <w:rPr>
          <w:rFonts w:hint="eastAsia"/>
        </w:rPr>
        <w:t>⑨弱毒活疫苗具有残余毒力，能引起一定的免疫反应，正在疾病潜伏期的群体使用后可能激发病情，所以接种这类苗时须先作安全试验，观察4天后方可全面展开接种。</w:t>
      </w:r>
    </w:p>
    <w:p>
      <w:pPr>
        <w:ind w:firstLine="480"/>
      </w:pPr>
      <w:r>
        <w:rPr>
          <w:rFonts w:hint="eastAsia"/>
        </w:rPr>
        <w:t>⑩做好免疫接种的详细记录，以便在发生问题时查找原因和安排下一步免疫计划。</w:t>
      </w:r>
    </w:p>
    <w:p>
      <w:pPr>
        <w:ind w:firstLine="482"/>
        <w:rPr>
          <w:b/>
        </w:rPr>
      </w:pPr>
      <w:r>
        <w:rPr>
          <w:rFonts w:hint="eastAsia"/>
          <w:b/>
        </w:rPr>
        <w:t>3、治疗</w:t>
      </w:r>
    </w:p>
    <w:p>
      <w:pPr>
        <w:ind w:firstLine="480"/>
      </w:pPr>
      <w:r>
        <w:rPr>
          <w:rFonts w:hint="eastAsia"/>
        </w:rPr>
        <w:t>发现猪只有异常时，要对及时对猪只进行治疗，以避免恶性发展。异常的表现有：食欲不好，精神状态差，不愿站立，蜷缩在一角落等。治疗的原则“三分治七分养”，给病猪提供更舒适的环境，合适的温度，更好的饲料，加强卫生管理，如果猪只不吃料，应该把饲料拌成湿料用手喂到猪嘴里，并且给猪喂水。</w:t>
      </w:r>
    </w:p>
    <w:p>
      <w:pPr>
        <w:ind w:firstLine="480"/>
      </w:pPr>
      <w:r>
        <w:rPr>
          <w:rFonts w:hint="eastAsia"/>
        </w:rPr>
        <w:t>（1）对异常的猪只进行标记。颜色的标记要求从头部到尾部打点。</w:t>
      </w:r>
    </w:p>
    <w:p>
      <w:pPr>
        <w:ind w:firstLine="480"/>
      </w:pPr>
      <w:r>
        <w:rPr>
          <w:rFonts w:hint="eastAsia"/>
        </w:rPr>
        <w:t>（2）进行基本信息的测量</w:t>
      </w:r>
    </w:p>
    <w:p>
      <w:pPr>
        <w:ind w:firstLine="480"/>
      </w:pPr>
      <w:r>
        <w:rPr>
          <w:rFonts w:hint="eastAsia"/>
        </w:rPr>
        <w:t>①测量体温；</w:t>
      </w:r>
    </w:p>
    <w:p>
      <w:pPr>
        <w:ind w:firstLine="480"/>
      </w:pPr>
      <w:r>
        <w:rPr>
          <w:rFonts w:hint="eastAsia"/>
        </w:rPr>
        <w:t>②查看是否腿瘸，有无脓包，肿大等；</w:t>
      </w:r>
    </w:p>
    <w:p>
      <w:pPr>
        <w:ind w:firstLine="480"/>
      </w:pPr>
      <w:r>
        <w:rPr>
          <w:rFonts w:hint="eastAsia"/>
        </w:rPr>
        <w:t>③查看鼻子是否湿润、呼吸是否正常，有无腹式呼吸，急促呼吸；</w:t>
      </w:r>
    </w:p>
    <w:p>
      <w:pPr>
        <w:ind w:firstLine="480"/>
      </w:pPr>
      <w:r>
        <w:rPr>
          <w:rFonts w:hint="eastAsia"/>
        </w:rPr>
        <w:t>④查看有无腹泻，便秘，胀气，血俐等；</w:t>
      </w:r>
    </w:p>
    <w:p>
      <w:pPr>
        <w:ind w:firstLine="480"/>
      </w:pPr>
      <w:r>
        <w:rPr>
          <w:rFonts w:hint="eastAsia"/>
        </w:rPr>
        <w:t>⑤查看体表有无异常，皮肤有无出血点，出血斑，皮毛耳朵是否苍白无血等；</w:t>
      </w:r>
    </w:p>
    <w:p>
      <w:pPr>
        <w:ind w:firstLine="480"/>
      </w:pPr>
      <w:r>
        <w:rPr>
          <w:rFonts w:hint="eastAsia"/>
        </w:rPr>
        <w:t>⑥查看眼睛，眼结膜是否潮红，有眼屎等；</w:t>
      </w:r>
    </w:p>
    <w:p>
      <w:pPr>
        <w:ind w:firstLine="480"/>
      </w:pPr>
      <w:r>
        <w:rPr>
          <w:rFonts w:hint="eastAsia"/>
        </w:rPr>
        <w:t>（3）填写健康记录，对以上信息进行详细记录，上报兽医主管，申请处方单，主管领取药物，饲养员或者主管进行注射治疗。兽医主管审查健康记录是否准确；</w:t>
      </w:r>
    </w:p>
    <w:p>
      <w:pPr>
        <w:ind w:firstLine="480"/>
      </w:pPr>
      <w:r>
        <w:rPr>
          <w:rFonts w:hint="eastAsia"/>
        </w:rPr>
        <w:t>（4）在健康记录上记录使用的药物及注射人。每天对病猪做详细的记录，颜色标记，治疗，一直到猪只治愈。</w:t>
      </w:r>
    </w:p>
    <w:p>
      <w:pPr>
        <w:pStyle w:val="6"/>
      </w:pPr>
      <w:r>
        <w:rPr>
          <w:rFonts w:hint="eastAsia"/>
        </w:rPr>
        <w:t>三、</w:t>
      </w:r>
      <w:r>
        <w:t>养殖模式</w:t>
      </w:r>
      <w:r>
        <w:rPr>
          <w:rFonts w:hint="eastAsia"/>
        </w:rPr>
        <w:t>、</w:t>
      </w:r>
      <w:r>
        <w:t>清粪模式</w:t>
      </w:r>
      <w:r>
        <w:rPr>
          <w:rFonts w:hint="eastAsia"/>
        </w:rPr>
        <w:t>说明</w:t>
      </w:r>
    </w:p>
    <w:p>
      <w:pPr>
        <w:pStyle w:val="79"/>
        <w:ind w:firstLine="480"/>
      </w:pPr>
      <w:r>
        <w:t>通过对比目前国内主要的养殖模式和清粪模式，本项目在高架网床的基础上，进行了一定的技术改造，采用干清粪工艺作为公司养殖清粪模式。</w:t>
      </w:r>
    </w:p>
    <w:p>
      <w:pPr>
        <w:pStyle w:val="79"/>
        <w:ind w:firstLine="480"/>
      </w:pPr>
      <w:r>
        <w:t>本项目采用切合实际的漏缝板干清粪工艺，</w:t>
      </w:r>
      <w:r>
        <w:rPr>
          <w:rFonts w:hint="eastAsia"/>
        </w:rPr>
        <w:t>干湿</w:t>
      </w:r>
      <w:r>
        <w:t>分离后猪粪外售作为有机肥厂原料，粪污水收集于</w:t>
      </w:r>
      <w:r>
        <w:rPr>
          <w:rFonts w:hint="eastAsia"/>
        </w:rPr>
        <w:t>厌氧</w:t>
      </w:r>
      <w:r>
        <w:t>发酵池，可做到充分的厌氧杀菌、适度降低有机物浓度，避免在施用农田过程中出现二次发酵的现象。同时免除了清水用于圈舍粪尿日常清理，粪尿产生即依靠重力离开猪舍进入储存池，大大减少了粪污产生量并实现粪尿及时清理；粪污离开储存池即进行干湿分离和无害化并全部实现综合利用，不混合排出。根据国家环保部、农业部多次组织专家对此清粪模式的考察、论证，最终认定该模式属于</w:t>
      </w:r>
      <w:r>
        <w:rPr>
          <w:bCs/>
        </w:rPr>
        <w:t>干清粪工艺的一种（</w:t>
      </w:r>
      <w:r>
        <w:rPr>
          <w:bCs/>
          <w:lang w:val="zh-CN"/>
        </w:rPr>
        <w:t>环办函</w:t>
      </w:r>
      <w:r>
        <w:rPr>
          <w:bCs/>
        </w:rPr>
        <w:t>[2015]425号）</w:t>
      </w:r>
      <w:r>
        <w:t>。</w:t>
      </w:r>
    </w:p>
    <w:p>
      <w:pPr>
        <w:pStyle w:val="79"/>
        <w:ind w:firstLine="480"/>
      </w:pPr>
      <w:r>
        <w:rPr>
          <w:rFonts w:hint="eastAsia"/>
        </w:rPr>
        <w:t>本项目所采用的清粪工艺与环保部复函中牧原食品股份有限公司养殖场所采用的清粪工艺相同，不使用清水用于圈舍粪尿日常清理，粪尿产生即依靠重力离开猪舍进入储存池，离开储存池即进行固液分离和无害化并全部实现综合利用，没有混合排出。因此本清粪工艺为干清粪工艺。</w:t>
      </w:r>
    </w:p>
    <w:p>
      <w:pPr>
        <w:pStyle w:val="79"/>
        <w:ind w:firstLine="480"/>
      </w:pPr>
      <w:r>
        <w:rPr>
          <w:rFonts w:hint="eastAsia"/>
        </w:rPr>
        <w:t>项目</w:t>
      </w:r>
      <w:r>
        <w:t>圈舍冲洗</w:t>
      </w:r>
      <w:r>
        <w:rPr>
          <w:rFonts w:hint="eastAsia"/>
        </w:rPr>
        <w:t>只对</w:t>
      </w:r>
      <w:r>
        <w:t>配怀舍进行冲洗，废水产生量少；粪污离开圈舍即进行干湿分离，废水经</w:t>
      </w:r>
      <w:r>
        <w:rPr>
          <w:rFonts w:hint="eastAsia"/>
        </w:rPr>
        <w:t>厌氧</w:t>
      </w:r>
      <w:r>
        <w:t>发酵池</w:t>
      </w:r>
      <w:r>
        <w:rPr>
          <w:rFonts w:hint="eastAsia"/>
        </w:rPr>
        <w:t>处理后用于魔芋</w:t>
      </w:r>
      <w:r>
        <w:t>、特色林果业</w:t>
      </w:r>
      <w:r>
        <w:rPr>
          <w:rFonts w:hint="eastAsia"/>
        </w:rPr>
        <w:t>种植区</w:t>
      </w:r>
      <w:r>
        <w:t>的施肥</w:t>
      </w:r>
      <w:r>
        <w:rPr>
          <w:rFonts w:hint="eastAsia"/>
        </w:rPr>
        <w:t>，固体物外</w:t>
      </w:r>
      <w:r>
        <w:t>售作为</w:t>
      </w:r>
      <w:r>
        <w:rPr>
          <w:rFonts w:hint="eastAsia"/>
        </w:rPr>
        <w:t>有机肥生产</w:t>
      </w:r>
      <w:r>
        <w:t>原料</w:t>
      </w:r>
      <w:r>
        <w:rPr>
          <w:rFonts w:hint="eastAsia"/>
        </w:rPr>
        <w:t>，</w:t>
      </w:r>
      <w:r>
        <w:t>实现了粪污的资源化利用。</w:t>
      </w:r>
      <w:r>
        <w:rPr>
          <w:rFonts w:hint="eastAsia"/>
        </w:rPr>
        <w:t>项目</w:t>
      </w:r>
      <w:r>
        <w:t>清粪工艺见图</w:t>
      </w:r>
      <w:r>
        <w:rPr>
          <w:rFonts w:hint="eastAsia"/>
        </w:rPr>
        <w:t>3.2-4。</w:t>
      </w:r>
    </w:p>
    <w:p>
      <w:pPr>
        <w:pStyle w:val="79"/>
        <w:ind w:firstLine="480"/>
        <w:jc w:val="center"/>
      </w:pPr>
      <w:r>
        <w:object>
          <v:shape id="_x0000_i1027" o:spt="75" type="#_x0000_t75" style="height:260.05pt;width:193.95pt;" o:ole="t" filled="f" o:preferrelative="t" stroked="f" coordsize="21600,21600">
            <v:path/>
            <v:fill on="f" focussize="0,0"/>
            <v:stroke on="f" joinstyle="miter"/>
            <v:imagedata r:id="rId75" o:title=""/>
            <o:lock v:ext="edit" aspectratio="t"/>
            <w10:wrap type="none"/>
            <w10:anchorlock/>
          </v:shape>
          <o:OLEObject Type="Embed" ProgID="Visio.Drawing.11" ShapeID="_x0000_i1027" DrawAspect="Content" ObjectID="_1468075727" r:id="rId74">
            <o:LockedField>false</o:LockedField>
          </o:OLEObject>
        </w:object>
      </w:r>
    </w:p>
    <w:p>
      <w:pPr>
        <w:pStyle w:val="79"/>
        <w:ind w:firstLine="482"/>
        <w:jc w:val="center"/>
        <w:rPr>
          <w:b/>
        </w:rPr>
      </w:pPr>
      <w:r>
        <w:rPr>
          <w:rFonts w:hint="eastAsia"/>
          <w:b/>
        </w:rPr>
        <w:t>图3.2-4项目</w:t>
      </w:r>
      <w:r>
        <w:rPr>
          <w:b/>
        </w:rPr>
        <w:t>清粪工艺示意图</w:t>
      </w:r>
    </w:p>
    <w:p>
      <w:pPr>
        <w:autoSpaceDE w:val="0"/>
        <w:autoSpaceDN w:val="0"/>
        <w:snapToGrid/>
        <w:ind w:firstLine="0" w:firstLineChars="0"/>
        <w:jc w:val="center"/>
        <w:rPr>
          <w:kern w:val="0"/>
          <w:szCs w:val="24"/>
        </w:rPr>
      </w:pPr>
      <w:r>
        <w:rPr>
          <w:rFonts w:hint="eastAsia"/>
          <w:kern w:val="0"/>
          <w:szCs w:val="24"/>
        </w:rPr>
        <w:drawing>
          <wp:inline distT="0" distB="0" distL="0" distR="0">
            <wp:extent cx="3428365" cy="280225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444086" cy="2815203"/>
                    </a:xfrm>
                    <a:prstGeom prst="rect">
                      <a:avLst/>
                    </a:prstGeom>
                    <a:noFill/>
                    <a:ln>
                      <a:noFill/>
                    </a:ln>
                  </pic:spPr>
                </pic:pic>
              </a:graphicData>
            </a:graphic>
          </wp:inline>
        </w:drawing>
      </w:r>
    </w:p>
    <w:p>
      <w:pPr>
        <w:pStyle w:val="79"/>
        <w:ind w:firstLine="482"/>
        <w:jc w:val="center"/>
        <w:rPr>
          <w:b/>
        </w:rPr>
      </w:pPr>
      <w:r>
        <w:rPr>
          <w:rFonts w:hint="eastAsia"/>
          <w:b/>
        </w:rPr>
        <w:t>图</w:t>
      </w:r>
      <w:r>
        <w:rPr>
          <w:b/>
        </w:rPr>
        <w:t>3.2-</w:t>
      </w:r>
      <w:r>
        <w:rPr>
          <w:rFonts w:hint="eastAsia"/>
          <w:b/>
        </w:rPr>
        <w:t>5</w:t>
      </w:r>
      <w:r>
        <w:rPr>
          <w:b/>
        </w:rPr>
        <w:t xml:space="preserve">  </w:t>
      </w:r>
      <w:r>
        <w:rPr>
          <w:rFonts w:hint="eastAsia"/>
          <w:b/>
        </w:rPr>
        <w:t>固液分离示意图</w:t>
      </w:r>
    </w:p>
    <w:p>
      <w:pPr>
        <w:pStyle w:val="6"/>
      </w:pPr>
      <w:r>
        <w:rPr>
          <w:rFonts w:hint="eastAsia"/>
        </w:rPr>
        <w:t>四、</w:t>
      </w:r>
      <w:r>
        <w:t>污染治理工程工艺</w:t>
      </w:r>
    </w:p>
    <w:p>
      <w:pPr>
        <w:pStyle w:val="79"/>
        <w:ind w:firstLine="482"/>
        <w:rPr>
          <w:b/>
        </w:rPr>
      </w:pPr>
      <w:r>
        <w:rPr>
          <w:b/>
        </w:rPr>
        <w:t>1</w:t>
      </w:r>
      <w:r>
        <w:rPr>
          <w:rFonts w:hint="eastAsia"/>
          <w:b/>
        </w:rPr>
        <w:t>、</w:t>
      </w:r>
      <w:r>
        <w:rPr>
          <w:b/>
        </w:rPr>
        <w:t>粪污处理工艺</w:t>
      </w:r>
    </w:p>
    <w:p>
      <w:pPr>
        <w:pStyle w:val="79"/>
        <w:ind w:firstLine="482"/>
        <w:rPr>
          <w:b/>
        </w:rPr>
      </w:pPr>
      <w:r>
        <w:rPr>
          <w:rFonts w:hint="eastAsia"/>
          <w:b/>
        </w:rPr>
        <w:t>（1）处理</w:t>
      </w:r>
      <w:r>
        <w:rPr>
          <w:b/>
        </w:rPr>
        <w:t>模式</w:t>
      </w:r>
      <w:r>
        <w:rPr>
          <w:rFonts w:hint="eastAsia"/>
          <w:b/>
        </w:rPr>
        <w:t>比选</w:t>
      </w:r>
    </w:p>
    <w:p>
      <w:pPr>
        <w:pStyle w:val="79"/>
        <w:ind w:firstLine="480"/>
      </w:pPr>
      <w:r>
        <w:rPr>
          <w:rFonts w:hint="eastAsia"/>
        </w:rPr>
        <w:t>工艺流程简述：在选用粪污处理工艺时，根据养殖场的养殖种类、养殖规模、粪污收集方式、当地的自然地理环境条件、排放去向等因素确定工艺路线及处理目标。</w:t>
      </w:r>
    </w:p>
    <w:p>
      <w:pPr>
        <w:pStyle w:val="79"/>
        <w:ind w:firstLine="480"/>
      </w:pPr>
      <w:r>
        <w:rPr>
          <w:rFonts w:hint="eastAsia"/>
        </w:rPr>
        <w:t>根据《畜禽养殖业污染治理工程技术规范》（</w:t>
      </w:r>
      <w:r>
        <w:t>HJ497-2009</w:t>
      </w:r>
      <w:r>
        <w:rPr>
          <w:rFonts w:hint="eastAsia"/>
        </w:rPr>
        <w:t>），目前，我国规模化养殖场（区）采用的清粪工艺有水冲粪、水泡粪（自流式）和干清粪工艺。采用水冲或水泡粪工艺比干清粪工艺产生的污水量大且有机物浓度高。我国集约化畜禽养殖场粪污处理主要有三种模式，即以获取沼气能源、将沼液沼渣进行资源化利用为目的模式Ⅰ、模式Ⅱ工艺和以废水处理后达标排放为目标的模式Ⅲ工艺。畜禽养殖废水由于其有机物浓度高及大量致病菌的存在，</w:t>
      </w:r>
      <w:r>
        <w:rPr>
          <w:rFonts w:hint="eastAsia"/>
          <w:b/>
          <w:bCs/>
        </w:rPr>
        <w:t>无论采取何种处理模式，厌氧反应是一个必不可少的处理阶段。</w:t>
      </w:r>
    </w:p>
    <w:p>
      <w:pPr>
        <w:pStyle w:val="79"/>
        <w:ind w:firstLine="482"/>
        <w:rPr>
          <w:b/>
          <w:bCs/>
        </w:rPr>
      </w:pPr>
      <w:r>
        <w:rPr>
          <w:b/>
          <w:bCs/>
        </w:rPr>
        <w:t>1</w:t>
      </w:r>
      <w:r>
        <w:rPr>
          <w:rFonts w:hint="eastAsia"/>
          <w:b/>
          <w:bCs/>
        </w:rPr>
        <w:t>）模式Ⅰ适用范围及工艺流程</w:t>
      </w:r>
    </w:p>
    <w:p>
      <w:pPr>
        <w:pStyle w:val="79"/>
        <w:ind w:firstLine="480"/>
      </w:pPr>
      <w:r>
        <w:rPr>
          <w:rFonts w:hint="eastAsia"/>
        </w:rPr>
        <w:t>模式Ⅰ适用于非环境敏感区，当地能源需求量大，有足够可供施用的土地资源的养殖场（区），该模式工艺要求粪尿全进厌氧反应器。其典型的工艺流程见下图。</w:t>
      </w:r>
    </w:p>
    <w:p>
      <w:pPr>
        <w:pStyle w:val="79"/>
        <w:spacing w:line="240" w:lineRule="auto"/>
        <w:ind w:firstLine="0" w:firstLineChars="0"/>
        <w:rPr>
          <w:b/>
        </w:rPr>
      </w:pPr>
      <w:r>
        <w:drawing>
          <wp:inline distT="0" distB="0" distL="0" distR="0">
            <wp:extent cx="5414645" cy="15030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414645" cy="1503045"/>
                    </a:xfrm>
                    <a:prstGeom prst="rect">
                      <a:avLst/>
                    </a:prstGeom>
                    <a:noFill/>
                    <a:ln>
                      <a:noFill/>
                    </a:ln>
                  </pic:spPr>
                </pic:pic>
              </a:graphicData>
            </a:graphic>
          </wp:inline>
        </w:drawing>
      </w:r>
    </w:p>
    <w:p>
      <w:pPr>
        <w:pStyle w:val="79"/>
        <w:ind w:firstLine="482"/>
        <w:jc w:val="center"/>
        <w:rPr>
          <w:b/>
        </w:rPr>
      </w:pPr>
      <w:r>
        <w:rPr>
          <w:rFonts w:hint="eastAsia"/>
          <w:b/>
        </w:rPr>
        <w:t>图</w:t>
      </w:r>
      <w:r>
        <w:rPr>
          <w:b/>
        </w:rPr>
        <w:t xml:space="preserve">3.2-6  </w:t>
      </w:r>
      <w:r>
        <w:rPr>
          <w:rFonts w:hint="eastAsia"/>
          <w:b/>
        </w:rPr>
        <w:t>模式</w:t>
      </w:r>
      <w:r>
        <w:rPr>
          <w:b/>
        </w:rPr>
        <w:fldChar w:fldCharType="begin"/>
      </w:r>
      <w:r>
        <w:rPr>
          <w:b/>
        </w:rPr>
        <w:instrText xml:space="preserve"> = 1 \* ROMAN </w:instrText>
      </w:r>
      <w:r>
        <w:rPr>
          <w:b/>
        </w:rPr>
        <w:fldChar w:fldCharType="separate"/>
      </w:r>
      <w:r>
        <w:rPr>
          <w:b/>
        </w:rPr>
        <w:t>I</w:t>
      </w:r>
      <w:r>
        <w:rPr>
          <w:b/>
        </w:rPr>
        <w:fldChar w:fldCharType="end"/>
      </w:r>
      <w:r>
        <w:rPr>
          <w:rFonts w:hint="eastAsia"/>
          <w:b/>
        </w:rPr>
        <w:t>基本工艺流程</w:t>
      </w:r>
    </w:p>
    <w:p>
      <w:pPr>
        <w:pStyle w:val="79"/>
        <w:ind w:firstLine="482"/>
        <w:rPr>
          <w:b/>
          <w:bCs/>
        </w:rPr>
      </w:pPr>
      <w:r>
        <w:rPr>
          <w:b/>
          <w:bCs/>
        </w:rPr>
        <w:t>2</w:t>
      </w:r>
      <w:r>
        <w:rPr>
          <w:rFonts w:hint="eastAsia"/>
          <w:b/>
          <w:bCs/>
        </w:rPr>
        <w:t>）模式Ⅱ适用范围及工艺流程</w:t>
      </w:r>
    </w:p>
    <w:p>
      <w:pPr>
        <w:pStyle w:val="79"/>
        <w:ind w:firstLine="480"/>
      </w:pPr>
      <w:r>
        <w:rPr>
          <w:rFonts w:hint="eastAsia"/>
        </w:rPr>
        <w:t>模式Ⅱ适用于非环境敏感区的养殖场，且沼气能源需求不大，主要以进行污染物无害化处理、降低有机物浓度、减少沼液和沼渣消纳所需配套的土地面积为目的，周围具有足够大的土地面积以全部消纳低浓度沼液。废水进入厌氧反应器之前应先进行固液（干湿）分离，然后再对固体粪渣和废水分别进行处理。其典型的工艺流程见下图。</w:t>
      </w:r>
    </w:p>
    <w:p>
      <w:pPr>
        <w:pStyle w:val="79"/>
        <w:spacing w:line="240" w:lineRule="auto"/>
        <w:ind w:firstLine="0" w:firstLineChars="0"/>
        <w:rPr>
          <w:b/>
        </w:rPr>
      </w:pPr>
      <w:r>
        <w:drawing>
          <wp:inline distT="0" distB="0" distL="0" distR="0">
            <wp:extent cx="5319395" cy="1494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319395" cy="1494790"/>
                    </a:xfrm>
                    <a:prstGeom prst="rect">
                      <a:avLst/>
                    </a:prstGeom>
                    <a:noFill/>
                    <a:ln>
                      <a:noFill/>
                    </a:ln>
                  </pic:spPr>
                </pic:pic>
              </a:graphicData>
            </a:graphic>
          </wp:inline>
        </w:drawing>
      </w:r>
    </w:p>
    <w:p>
      <w:pPr>
        <w:pStyle w:val="79"/>
        <w:ind w:firstLine="482"/>
        <w:jc w:val="center"/>
        <w:rPr>
          <w:b/>
        </w:rPr>
      </w:pPr>
      <w:r>
        <w:rPr>
          <w:rFonts w:hint="eastAsia"/>
          <w:b/>
        </w:rPr>
        <w:t>图</w:t>
      </w:r>
      <w:r>
        <w:rPr>
          <w:b/>
        </w:rPr>
        <w:t xml:space="preserve">3.2-7  </w:t>
      </w:r>
      <w:r>
        <w:rPr>
          <w:rFonts w:hint="eastAsia"/>
          <w:b/>
        </w:rPr>
        <w:t>模式</w:t>
      </w:r>
      <w:r>
        <w:rPr>
          <w:b/>
        </w:rPr>
        <w:fldChar w:fldCharType="begin"/>
      </w:r>
      <w:r>
        <w:rPr>
          <w:b/>
        </w:rPr>
        <w:instrText xml:space="preserve"> = 2 \* ROMAN </w:instrText>
      </w:r>
      <w:r>
        <w:rPr>
          <w:b/>
        </w:rPr>
        <w:fldChar w:fldCharType="separate"/>
      </w:r>
      <w:r>
        <w:rPr>
          <w:b/>
        </w:rPr>
        <w:t>II</w:t>
      </w:r>
      <w:r>
        <w:rPr>
          <w:b/>
        </w:rPr>
        <w:fldChar w:fldCharType="end"/>
      </w:r>
      <w:r>
        <w:rPr>
          <w:rFonts w:hint="eastAsia"/>
          <w:b/>
        </w:rPr>
        <w:t>基本工艺流程</w:t>
      </w:r>
    </w:p>
    <w:p>
      <w:pPr>
        <w:pStyle w:val="79"/>
        <w:ind w:firstLine="482"/>
        <w:rPr>
          <w:b/>
          <w:bCs/>
        </w:rPr>
      </w:pPr>
      <w:r>
        <w:rPr>
          <w:b/>
          <w:bCs/>
        </w:rPr>
        <w:t>3</w:t>
      </w:r>
      <w:r>
        <w:rPr>
          <w:rFonts w:hint="eastAsia"/>
          <w:b/>
          <w:bCs/>
        </w:rPr>
        <w:t>）模式Ⅲ适用范围及工艺流程</w:t>
      </w:r>
    </w:p>
    <w:p>
      <w:pPr>
        <w:pStyle w:val="79"/>
        <w:ind w:firstLine="480"/>
      </w:pPr>
      <w:r>
        <w:rPr>
          <w:rFonts w:hint="eastAsia"/>
        </w:rPr>
        <w:t>模式Ⅲ主要是基于受当地沼气能源供求实际情况的限制，周边又没有足够的可供消纳沼液、沼渣的土地，其厌氧出水（沼液）必须再经过进一步处理，达到国家和地方排放标准。其典型的工艺流程见下图。</w:t>
      </w:r>
    </w:p>
    <w:p>
      <w:pPr>
        <w:pStyle w:val="79"/>
        <w:spacing w:line="240" w:lineRule="auto"/>
        <w:ind w:firstLine="0" w:firstLineChars="0"/>
      </w:pPr>
      <w:r>
        <w:drawing>
          <wp:inline distT="0" distB="0" distL="0" distR="0">
            <wp:extent cx="5184140" cy="1582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184140" cy="1582420"/>
                    </a:xfrm>
                    <a:prstGeom prst="rect">
                      <a:avLst/>
                    </a:prstGeom>
                    <a:noFill/>
                    <a:ln>
                      <a:noFill/>
                    </a:ln>
                  </pic:spPr>
                </pic:pic>
              </a:graphicData>
            </a:graphic>
          </wp:inline>
        </w:drawing>
      </w:r>
    </w:p>
    <w:p>
      <w:pPr>
        <w:pStyle w:val="79"/>
        <w:ind w:firstLine="482"/>
        <w:jc w:val="center"/>
        <w:rPr>
          <w:b/>
        </w:rPr>
      </w:pPr>
      <w:r>
        <w:rPr>
          <w:rFonts w:hint="eastAsia"/>
          <w:b/>
        </w:rPr>
        <w:t>图</w:t>
      </w:r>
      <w:r>
        <w:rPr>
          <w:b/>
        </w:rPr>
        <w:t xml:space="preserve">3.2-8 </w:t>
      </w:r>
      <w:r>
        <w:rPr>
          <w:rFonts w:hint="eastAsia"/>
          <w:b/>
        </w:rPr>
        <w:t>模式Ⅲ基本工艺流程</w:t>
      </w:r>
    </w:p>
    <w:p>
      <w:pPr>
        <w:pStyle w:val="79"/>
        <w:ind w:firstLine="480"/>
      </w:pPr>
      <w:r>
        <w:rPr>
          <w:rFonts w:hint="eastAsia"/>
        </w:rPr>
        <w:t>（2）工艺</w:t>
      </w:r>
      <w:r>
        <w:t>选择</w:t>
      </w:r>
    </w:p>
    <w:p>
      <w:pPr>
        <w:pStyle w:val="79"/>
        <w:ind w:firstLine="480"/>
      </w:pPr>
      <w:r>
        <w:rPr>
          <w:rFonts w:hint="eastAsia"/>
        </w:rPr>
        <w:t>根据环办环评函</w:t>
      </w:r>
      <w:r>
        <w:t>[2019]872</w:t>
      </w:r>
      <w:r>
        <w:rPr>
          <w:rFonts w:hint="eastAsia"/>
        </w:rPr>
        <w:t>号《关于进一步做好当前生猪规模养殖环评管理相关工作的通知》</w:t>
      </w:r>
      <w:r>
        <w:t>2019</w:t>
      </w:r>
      <w:r>
        <w:rPr>
          <w:rFonts w:hint="eastAsia"/>
        </w:rPr>
        <w:t>年</w:t>
      </w:r>
      <w:r>
        <w:t>11</w:t>
      </w:r>
      <w:r>
        <w:rPr>
          <w:rFonts w:hint="eastAsia"/>
        </w:rPr>
        <w:t>月</w:t>
      </w:r>
      <w:r>
        <w:t>29</w:t>
      </w:r>
      <w:r>
        <w:rPr>
          <w:rFonts w:hint="eastAsia"/>
        </w:rPr>
        <w:t>日，“粪污无害化处理用作肥料还田，符合法律法规以及国家和地方相关标准规范要求且不造成环境污染的，不属于排放污染物，不宜执行相关污染物排放标准和农田灌溉水质标准。”</w:t>
      </w:r>
    </w:p>
    <w:p>
      <w:pPr>
        <w:pStyle w:val="79"/>
        <w:ind w:firstLine="480"/>
      </w:pPr>
      <w:r>
        <w:rPr>
          <w:rFonts w:hint="eastAsia"/>
        </w:rPr>
        <w:t>根据业主提供的资料及特点，本项目清粪工艺采用干清粪工艺，鉴于本项目已与关坪</w:t>
      </w:r>
      <w:r>
        <w:t>村</w:t>
      </w:r>
      <w:r>
        <w:rPr>
          <w:rFonts w:hint="eastAsia"/>
        </w:rPr>
        <w:t>签订了</w:t>
      </w:r>
      <w:r>
        <w:t>350</w:t>
      </w:r>
      <w:r>
        <w:rPr>
          <w:rFonts w:hint="eastAsia"/>
        </w:rPr>
        <w:t>亩的土地消纳协议，本项目选择参照模式Ⅰ以及农业部推荐种养循环工艺流程，即“污水肥料化利用”模式处理本项目废水，实行肥水一体化施用。建设单位拟采用“集粪池→固液分离→厌氧反应→沼液暂存池”工艺进行处理，处理后的废水用于种植</w:t>
      </w:r>
      <w:r>
        <w:t>魔芋</w:t>
      </w:r>
      <w:r>
        <w:rPr>
          <w:rFonts w:hint="eastAsia"/>
        </w:rPr>
        <w:t>、特色</w:t>
      </w:r>
      <w:r>
        <w:t>林果业的施肥</w:t>
      </w:r>
      <w:r>
        <w:rPr>
          <w:rFonts w:hint="eastAsia"/>
        </w:rPr>
        <w:t>消纳，不外排。</w:t>
      </w:r>
    </w:p>
    <w:p>
      <w:pPr>
        <w:pStyle w:val="79"/>
        <w:ind w:firstLine="482"/>
        <w:rPr>
          <w:b/>
        </w:rPr>
      </w:pPr>
      <w:r>
        <w:rPr>
          <w:b/>
        </w:rPr>
        <w:t>2</w:t>
      </w:r>
      <w:r>
        <w:rPr>
          <w:rFonts w:hint="eastAsia"/>
          <w:b/>
        </w:rPr>
        <w:t>、</w:t>
      </w:r>
      <w:r>
        <w:rPr>
          <w:b/>
        </w:rPr>
        <w:t>沼气利用工程</w:t>
      </w:r>
    </w:p>
    <w:p>
      <w:pPr>
        <w:ind w:firstLine="480"/>
      </w:pPr>
      <w:r>
        <w:t>根据《规模化畜禽养殖场沼气工程设计规范》</w:t>
      </w:r>
      <w:r>
        <w:rPr>
          <w:rFonts w:hint="eastAsia"/>
        </w:rPr>
        <w:t>（NY/T1222-2006）</w:t>
      </w:r>
      <w:r>
        <w:t>中的数据，理论上每去除1kgCOD可产生0.35m</w:t>
      </w:r>
      <w:r>
        <w:rPr>
          <w:vertAlign w:val="superscript"/>
        </w:rPr>
        <w:t>3</w:t>
      </w:r>
      <w:r>
        <w:t>沼气进行计算，本项目运营期进入沼气池污水量为7664.35m</w:t>
      </w:r>
      <w:r>
        <w:rPr>
          <w:vertAlign w:val="superscript"/>
        </w:rPr>
        <w:t>3</w:t>
      </w:r>
      <w:r>
        <w:t>/a，</w:t>
      </w:r>
      <w:r>
        <w:rPr>
          <w:rFonts w:hint="eastAsia"/>
        </w:rPr>
        <w:t>厌氧</w:t>
      </w:r>
      <w:r>
        <w:t>过程COD去除量为14.24t/a，</w:t>
      </w:r>
      <w:r>
        <w:rPr>
          <w:rFonts w:hint="eastAsia"/>
        </w:rPr>
        <w:t>则</w:t>
      </w:r>
      <w:r>
        <w:t>沼气产生量为4984m</w:t>
      </w:r>
      <w:r>
        <w:rPr>
          <w:vertAlign w:val="superscript"/>
        </w:rPr>
        <w:t>3</w:t>
      </w:r>
      <w:r>
        <w:t>/a</w:t>
      </w:r>
      <w:r>
        <w:rPr>
          <w:rFonts w:hint="eastAsia"/>
        </w:rPr>
        <w:t>。</w:t>
      </w:r>
    </w:p>
    <w:p>
      <w:pPr>
        <w:pStyle w:val="79"/>
        <w:ind w:firstLine="480"/>
        <w:rPr>
          <w:highlight w:val="yellow"/>
        </w:rPr>
      </w:pPr>
      <w:r>
        <w:rPr>
          <w:rFonts w:hint="eastAsia"/>
        </w:rPr>
        <w:t>养殖废水中含有高浓度有机物，在厌氧发酵过程中会产生沼气，</w:t>
      </w:r>
      <w:r>
        <w:t>沼气是含饱和水蒸气的混合气体，</w:t>
      </w:r>
      <w:r>
        <w:rPr>
          <w:rFonts w:hint="eastAsia"/>
        </w:rPr>
        <w:t>主要成分</w:t>
      </w:r>
      <w:r>
        <w:t>除CH</w:t>
      </w:r>
      <w:r>
        <w:rPr>
          <w:vertAlign w:val="subscript"/>
        </w:rPr>
        <w:t>4</w:t>
      </w:r>
      <w:r>
        <w:t>外，还含有CO</w:t>
      </w:r>
      <w:r>
        <w:rPr>
          <w:vertAlign w:val="subscript"/>
        </w:rPr>
        <w:t>2</w:t>
      </w:r>
      <w:r>
        <w:t>、H</w:t>
      </w:r>
      <w:r>
        <w:rPr>
          <w:vertAlign w:val="subscript"/>
        </w:rPr>
        <w:t>2</w:t>
      </w:r>
      <w:r>
        <w:t>S和其它极少量的气体。</w:t>
      </w:r>
    </w:p>
    <w:p>
      <w:pPr>
        <w:ind w:firstLine="480"/>
        <w:rPr>
          <w:bCs/>
        </w:rPr>
      </w:pPr>
      <w:r>
        <w:rPr>
          <w:bCs/>
        </w:rPr>
        <w:t>沼气发酵时进入沼气</w:t>
      </w:r>
      <w:r>
        <w:rPr>
          <w:rFonts w:hint="eastAsia"/>
          <w:bCs/>
        </w:rPr>
        <w:t>的</w:t>
      </w:r>
      <w:r>
        <w:rPr>
          <w:bCs/>
        </w:rPr>
        <w:t>H</w:t>
      </w:r>
      <w:r>
        <w:rPr>
          <w:bCs/>
          <w:vertAlign w:val="subscript"/>
        </w:rPr>
        <w:t>2</w:t>
      </w:r>
      <w:r>
        <w:rPr>
          <w:bCs/>
        </w:rPr>
        <w:t>S气体其浓度范围在1-12g/m</w:t>
      </w:r>
      <w:r>
        <w:rPr>
          <w:bCs/>
          <w:vertAlign w:val="superscript"/>
        </w:rPr>
        <w:t>3</w:t>
      </w:r>
      <w:r>
        <w:rPr>
          <w:bCs/>
        </w:rPr>
        <w:t>，大大超过GB13621-92《人工煤气》20mg/m</w:t>
      </w:r>
      <w:r>
        <w:rPr>
          <w:bCs/>
          <w:vertAlign w:val="superscript"/>
        </w:rPr>
        <w:t>3</w:t>
      </w:r>
      <w:r>
        <w:rPr>
          <w:bCs/>
        </w:rPr>
        <w:t>的规定，</w:t>
      </w:r>
      <w:r>
        <w:rPr>
          <w:rFonts w:hint="eastAsia"/>
        </w:rPr>
        <w:t>根据沼气技术培训资料及大理州农科院《沼气的主要成分及用途》：沼气中H</w:t>
      </w:r>
      <w:r>
        <w:rPr>
          <w:rFonts w:hint="eastAsia"/>
          <w:vertAlign w:val="subscript"/>
        </w:rPr>
        <w:t>2</w:t>
      </w:r>
      <w:r>
        <w:rPr>
          <w:rFonts w:hint="eastAsia"/>
        </w:rPr>
        <w:t>S平均含量为0.034%。</w:t>
      </w:r>
      <w:r>
        <w:rPr>
          <w:bCs/>
        </w:rPr>
        <w:t>H</w:t>
      </w:r>
      <w:r>
        <w:rPr>
          <w:bCs/>
          <w:vertAlign w:val="subscript"/>
        </w:rPr>
        <w:t>2</w:t>
      </w:r>
      <w:r>
        <w:rPr>
          <w:bCs/>
        </w:rPr>
        <w:t xml:space="preserve">S </w:t>
      </w:r>
      <w:r>
        <w:rPr>
          <w:rFonts w:hint="eastAsia"/>
          <w:bCs/>
        </w:rPr>
        <w:t>不仅有毒，而且有很强的腐蚀性，</w:t>
      </w:r>
      <w:r>
        <w:rPr>
          <w:bCs/>
        </w:rPr>
        <w:t>若不先进行处理，而直接作为燃料燃烧，将会</w:t>
      </w:r>
      <w:r>
        <w:rPr>
          <w:rFonts w:hint="eastAsia"/>
          <w:bCs/>
        </w:rPr>
        <w:t>对</w:t>
      </w:r>
      <w:r>
        <w:rPr>
          <w:bCs/>
        </w:rPr>
        <w:t>周围环境造成一定危害。因此，沼气必须进行脱硫</w:t>
      </w:r>
      <w:r>
        <w:rPr>
          <w:rFonts w:hint="eastAsia"/>
          <w:bCs/>
        </w:rPr>
        <w:t>，</w:t>
      </w:r>
      <w:r>
        <w:rPr>
          <w:rFonts w:hint="eastAsia"/>
        </w:rPr>
        <w:t>以防止对沼气输送管道的腐蚀影响。沼气脱硫一般有干法、湿法和生物法，本项目拟采用干法脱硫</w:t>
      </w:r>
      <w:r>
        <w:t>，经核算沼气净化后H</w:t>
      </w:r>
      <w:r>
        <w:rPr>
          <w:vertAlign w:val="subscript"/>
        </w:rPr>
        <w:t>2</w:t>
      </w:r>
      <w:r>
        <w:t>S含量不高于20mg/m</w:t>
      </w:r>
      <w:r>
        <w:rPr>
          <w:vertAlign w:val="superscript"/>
        </w:rPr>
        <w:t>3</w:t>
      </w:r>
      <w:r>
        <w:t>。</w:t>
      </w:r>
    </w:p>
    <w:p>
      <w:pPr>
        <w:pStyle w:val="79"/>
        <w:ind w:firstLine="480"/>
      </w:pPr>
      <w:r>
        <w:t>干法脱硫是在圆柱状脱硫塔内装填一定高度的脱硫剂，沼气自下而上通过脱硫剂，H</w:t>
      </w:r>
      <w:r>
        <w:rPr>
          <w:vertAlign w:val="subscript"/>
        </w:rPr>
        <w:t>2</w:t>
      </w:r>
      <w:r>
        <w:t>S被去除，实现脱硫过程。一般干法脱硫常用的脱硫剂为氧化铁。氧化铁干法脱硫的原理分为氧化反应和还原再生反应两部分，具体如下：</w:t>
      </w:r>
    </w:p>
    <w:p>
      <w:pPr>
        <w:pStyle w:val="79"/>
        <w:ind w:firstLine="480"/>
        <w:jc w:val="center"/>
      </w:pPr>
      <w:r>
        <w:t>Fe</w:t>
      </w:r>
      <w:r>
        <w:rPr>
          <w:vertAlign w:val="subscript"/>
        </w:rPr>
        <w:t>2</w:t>
      </w:r>
      <w:r>
        <w:t>O</w:t>
      </w:r>
      <w:r>
        <w:rPr>
          <w:vertAlign w:val="subscript"/>
        </w:rPr>
        <w:t>3</w:t>
      </w:r>
      <w:r>
        <w:t>·H</w:t>
      </w:r>
      <w:r>
        <w:rPr>
          <w:vertAlign w:val="subscript"/>
        </w:rPr>
        <w:t>2</w:t>
      </w:r>
      <w:r>
        <w:t>O+3H</w:t>
      </w:r>
      <w:r>
        <w:rPr>
          <w:vertAlign w:val="subscript"/>
        </w:rPr>
        <w:t>2</w:t>
      </w:r>
      <w:r>
        <w:t>S=Fe</w:t>
      </w:r>
      <w:r>
        <w:rPr>
          <w:vertAlign w:val="subscript"/>
        </w:rPr>
        <w:t>2</w:t>
      </w:r>
      <w:r>
        <w:t>S</w:t>
      </w:r>
      <w:r>
        <w:rPr>
          <w:vertAlign w:val="subscript"/>
        </w:rPr>
        <w:t>3</w:t>
      </w:r>
      <w:r>
        <w:t>·H</w:t>
      </w:r>
      <w:r>
        <w:rPr>
          <w:vertAlign w:val="subscript"/>
        </w:rPr>
        <w:t>2</w:t>
      </w:r>
      <w:r>
        <w:t>O+3H</w:t>
      </w:r>
      <w:r>
        <w:rPr>
          <w:vertAlign w:val="subscript"/>
        </w:rPr>
        <w:t>2</w:t>
      </w:r>
      <w:r>
        <w:t>O</w:t>
      </w:r>
    </w:p>
    <w:p>
      <w:pPr>
        <w:pStyle w:val="79"/>
        <w:ind w:firstLine="480"/>
      </w:pPr>
      <w:r>
        <w:t>由上面的反应方程式可以看出，Fe</w:t>
      </w:r>
      <w:r>
        <w:rPr>
          <w:vertAlign w:val="subscript"/>
        </w:rPr>
        <w:t>2</w:t>
      </w:r>
      <w:r>
        <w:t>O</w:t>
      </w:r>
      <w:r>
        <w:rPr>
          <w:vertAlign w:val="subscript"/>
        </w:rPr>
        <w:t>3</w:t>
      </w:r>
      <w:r>
        <w:t>吸收H</w:t>
      </w:r>
      <w:r>
        <w:rPr>
          <w:vertAlign w:val="subscript"/>
        </w:rPr>
        <w:t>2</w:t>
      </w:r>
      <w:r>
        <w:t>S变成Fe</w:t>
      </w:r>
      <w:r>
        <w:rPr>
          <w:vertAlign w:val="subscript"/>
        </w:rPr>
        <w:t>2</w:t>
      </w:r>
      <w:r>
        <w:t>S</w:t>
      </w:r>
      <w:r>
        <w:rPr>
          <w:vertAlign w:val="subscript"/>
        </w:rPr>
        <w:t>3</w:t>
      </w:r>
      <w:r>
        <w:t>，随着沼气的不断产生，氧化铁吸收H</w:t>
      </w:r>
      <w:r>
        <w:rPr>
          <w:vertAlign w:val="subscript"/>
        </w:rPr>
        <w:t>2</w:t>
      </w:r>
      <w:r>
        <w:t>S，当吸收H</w:t>
      </w:r>
      <w:r>
        <w:rPr>
          <w:vertAlign w:val="subscript"/>
        </w:rPr>
        <w:t>2</w:t>
      </w:r>
      <w:r>
        <w:t>S达到一定的量，H</w:t>
      </w:r>
      <w:r>
        <w:rPr>
          <w:vertAlign w:val="subscript"/>
        </w:rPr>
        <w:t>2</w:t>
      </w:r>
      <w:r>
        <w:t>S的去除率将大大降低，直至失效。Fe</w:t>
      </w:r>
      <w:r>
        <w:rPr>
          <w:vertAlign w:val="subscript"/>
        </w:rPr>
        <w:t>2</w:t>
      </w:r>
      <w:r>
        <w:t>S</w:t>
      </w:r>
      <w:r>
        <w:rPr>
          <w:vertAlign w:val="subscript"/>
        </w:rPr>
        <w:t>3</w:t>
      </w:r>
      <w:r>
        <w:t>是可以还原再生的，与O</w:t>
      </w:r>
      <w:r>
        <w:rPr>
          <w:vertAlign w:val="subscript"/>
        </w:rPr>
        <w:t>2</w:t>
      </w:r>
      <w:r>
        <w:t>和H</w:t>
      </w:r>
      <w:r>
        <w:rPr>
          <w:vertAlign w:val="subscript"/>
        </w:rPr>
        <w:t>2</w:t>
      </w:r>
      <w:r>
        <w:t>O发生化学反应可还原为Fe</w:t>
      </w:r>
      <w:r>
        <w:rPr>
          <w:vertAlign w:val="subscript"/>
        </w:rPr>
        <w:t>2</w:t>
      </w:r>
      <w:r>
        <w:t>O</w:t>
      </w:r>
      <w:r>
        <w:rPr>
          <w:vertAlign w:val="subscript"/>
        </w:rPr>
        <w:t>3</w:t>
      </w:r>
      <w:r>
        <w:t>，原理如下：</w:t>
      </w:r>
    </w:p>
    <w:p>
      <w:pPr>
        <w:pStyle w:val="79"/>
        <w:ind w:firstLine="480"/>
        <w:jc w:val="center"/>
      </w:pPr>
      <w:r>
        <w:t>2Fe</w:t>
      </w:r>
      <w:r>
        <w:rPr>
          <w:vertAlign w:val="subscript"/>
        </w:rPr>
        <w:t>2</w:t>
      </w:r>
      <w:r>
        <w:t>S</w:t>
      </w:r>
      <w:r>
        <w:rPr>
          <w:vertAlign w:val="subscript"/>
        </w:rPr>
        <w:t>3</w:t>
      </w:r>
      <w:r>
        <w:t>·H</w:t>
      </w:r>
      <w:r>
        <w:rPr>
          <w:vertAlign w:val="subscript"/>
        </w:rPr>
        <w:t>2</w:t>
      </w:r>
      <w:r>
        <w:t>O+3O</w:t>
      </w:r>
      <w:r>
        <w:rPr>
          <w:vertAlign w:val="subscript"/>
        </w:rPr>
        <w:t>2</w:t>
      </w:r>
      <w:r>
        <w:t>＝2Fe</w:t>
      </w:r>
      <w:r>
        <w:rPr>
          <w:vertAlign w:val="subscript"/>
        </w:rPr>
        <w:t>2</w:t>
      </w:r>
      <w:r>
        <w:t>O</w:t>
      </w:r>
      <w:r>
        <w:rPr>
          <w:vertAlign w:val="subscript"/>
        </w:rPr>
        <w:t>3</w:t>
      </w:r>
      <w:r>
        <w:t>·H</w:t>
      </w:r>
      <w:r>
        <w:rPr>
          <w:vertAlign w:val="subscript"/>
        </w:rPr>
        <w:t>2</w:t>
      </w:r>
      <w:r>
        <w:t>O+6S</w:t>
      </w:r>
    </w:p>
    <w:p>
      <w:pPr>
        <w:pStyle w:val="79"/>
        <w:ind w:firstLine="480"/>
      </w:pPr>
      <w:r>
        <w:t>综合以上两反应式，</w:t>
      </w:r>
      <w:bookmarkStart w:id="84" w:name="baidusnap0"/>
      <w:bookmarkEnd w:id="84"/>
      <w:r>
        <w:t>沼气脱硫反应式如下：</w:t>
      </w:r>
    </w:p>
    <w:p>
      <w:pPr>
        <w:pStyle w:val="79"/>
        <w:ind w:firstLine="480"/>
        <w:jc w:val="center"/>
      </w:pPr>
      <w:r>
        <w:t>H</w:t>
      </w:r>
      <w:r>
        <w:rPr>
          <w:vertAlign w:val="subscript"/>
        </w:rPr>
        <w:t>2</w:t>
      </w:r>
      <w:r>
        <w:t>S+1/2O</w:t>
      </w:r>
      <w:r>
        <w:rPr>
          <w:vertAlign w:val="subscript"/>
        </w:rPr>
        <w:t>2</w:t>
      </w:r>
      <w:r>
        <w:t>＝S+H</w:t>
      </w:r>
      <w:r>
        <w:rPr>
          <w:vertAlign w:val="subscript"/>
        </w:rPr>
        <w:t>2</w:t>
      </w:r>
      <w:r>
        <w:t>O（反应条件是Fe</w:t>
      </w:r>
      <w:r>
        <w:rPr>
          <w:vertAlign w:val="subscript"/>
        </w:rPr>
        <w:t>2</w:t>
      </w:r>
      <w:r>
        <w:t>O</w:t>
      </w:r>
      <w:r>
        <w:rPr>
          <w:vertAlign w:val="subscript"/>
        </w:rPr>
        <w:t>3</w:t>
      </w:r>
      <w:r>
        <w:t>·H</w:t>
      </w:r>
      <w:r>
        <w:rPr>
          <w:vertAlign w:val="subscript"/>
        </w:rPr>
        <w:t>2</w:t>
      </w:r>
      <w:r>
        <w:t>O）</w:t>
      </w:r>
    </w:p>
    <w:p>
      <w:pPr>
        <w:pStyle w:val="79"/>
        <w:ind w:firstLine="480"/>
      </w:pPr>
      <w:r>
        <w:t>由以上化学反应方程式可以看出，Fe</w:t>
      </w:r>
      <w:r>
        <w:rPr>
          <w:vertAlign w:val="subscript"/>
        </w:rPr>
        <w:t>2</w:t>
      </w:r>
      <w:r>
        <w:t>O</w:t>
      </w:r>
      <w:r>
        <w:rPr>
          <w:vertAlign w:val="subscript"/>
        </w:rPr>
        <w:t>3</w:t>
      </w:r>
      <w:r>
        <w:t>吸收H</w:t>
      </w:r>
      <w:r>
        <w:rPr>
          <w:vertAlign w:val="subscript"/>
        </w:rPr>
        <w:t>2</w:t>
      </w:r>
      <w:r>
        <w:t>S变成Fe</w:t>
      </w:r>
      <w:r>
        <w:rPr>
          <w:vertAlign w:val="subscript"/>
        </w:rPr>
        <w:t>2</w:t>
      </w:r>
      <w:r>
        <w:t>S</w:t>
      </w:r>
      <w:r>
        <w:rPr>
          <w:vertAlign w:val="subscript"/>
        </w:rPr>
        <w:t>3</w:t>
      </w:r>
      <w:r>
        <w:t>，Fe</w:t>
      </w:r>
      <w:r>
        <w:rPr>
          <w:vertAlign w:val="subscript"/>
        </w:rPr>
        <w:t>2</w:t>
      </w:r>
      <w:r>
        <w:t>S</w:t>
      </w:r>
      <w:r>
        <w:rPr>
          <w:vertAlign w:val="subscript"/>
        </w:rPr>
        <w:t>3</w:t>
      </w:r>
      <w:r>
        <w:t>要还原成Fe</w:t>
      </w:r>
      <w:r>
        <w:rPr>
          <w:vertAlign w:val="subscript"/>
        </w:rPr>
        <w:t>2</w:t>
      </w:r>
      <w:r>
        <w:t>O</w:t>
      </w:r>
      <w:r>
        <w:rPr>
          <w:vertAlign w:val="subscript"/>
        </w:rPr>
        <w:t>3</w:t>
      </w:r>
      <w:r>
        <w:t>，需要O</w:t>
      </w:r>
      <w:r>
        <w:rPr>
          <w:vertAlign w:val="subscript"/>
        </w:rPr>
        <w:t>2</w:t>
      </w:r>
      <w:r>
        <w:t>，通过鼓风机在脱硫塔之前向沼气中鼓入空气即可满足脱硫剂还原对O</w:t>
      </w:r>
      <w:r>
        <w:rPr>
          <w:vertAlign w:val="subscript"/>
        </w:rPr>
        <w:t>2</w:t>
      </w:r>
      <w:r>
        <w:t>的要求。</w:t>
      </w:r>
    </w:p>
    <w:p>
      <w:pPr>
        <w:pStyle w:val="79"/>
        <w:ind w:firstLine="480"/>
      </w:pPr>
      <w:r>
        <w:t>因此，在沼气进入脱硫塔通过脱硫剂时，同时鼓入空气，脱硫剂吸收H</w:t>
      </w:r>
      <w:r>
        <w:rPr>
          <w:vertAlign w:val="subscript"/>
        </w:rPr>
        <w:t>2</w:t>
      </w:r>
      <w:r>
        <w:t>S失效，空气中的O</w:t>
      </w:r>
      <w:r>
        <w:rPr>
          <w:vertAlign w:val="subscript"/>
        </w:rPr>
        <w:t>2</w:t>
      </w:r>
      <w:r>
        <w:t>将失效的脱硫剂还原再生成Fe</w:t>
      </w:r>
      <w:r>
        <w:rPr>
          <w:vertAlign w:val="subscript"/>
        </w:rPr>
        <w:t>2</w:t>
      </w:r>
      <w:r>
        <w:t>O</w:t>
      </w:r>
      <w:r>
        <w:rPr>
          <w:vertAlign w:val="subscript"/>
        </w:rPr>
        <w:t>3</w:t>
      </w:r>
      <w:r>
        <w:t>，此工艺即为沼气干法脱硫的连续再生工艺。</w:t>
      </w:r>
    </w:p>
    <w:p>
      <w:pPr>
        <w:pStyle w:val="79"/>
        <w:ind w:firstLine="480"/>
      </w:pPr>
      <w:r>
        <w:t>Fe</w:t>
      </w:r>
      <w:r>
        <w:rPr>
          <w:vertAlign w:val="subscript"/>
        </w:rPr>
        <w:t>2</w:t>
      </w:r>
      <w:r>
        <w:t>O</w:t>
      </w:r>
      <w:r>
        <w:rPr>
          <w:vertAlign w:val="subscript"/>
        </w:rPr>
        <w:t>3</w:t>
      </w:r>
      <w:r>
        <w:t>脱硫剂为条状多孔结构固体，对H</w:t>
      </w:r>
      <w:r>
        <w:rPr>
          <w:vertAlign w:val="subscript"/>
        </w:rPr>
        <w:t>2</w:t>
      </w:r>
      <w:r>
        <w:t>S能进行快速的不可逆化学吸附，数秒内可将H</w:t>
      </w:r>
      <w:r>
        <w:rPr>
          <w:vertAlign w:val="subscript"/>
        </w:rPr>
        <w:t>2</w:t>
      </w:r>
      <w:r>
        <w:t>S脱除到1×10</w:t>
      </w:r>
      <w:r>
        <w:rPr>
          <w:vertAlign w:val="superscript"/>
        </w:rPr>
        <w:t>-6</w:t>
      </w:r>
      <w:r>
        <w:t>以下。脱硫剂工作一定时间后，其活性会逐渐下降，脱硫效果逐渐变差。当脱硫装置出口沼气中H</w:t>
      </w:r>
      <w:r>
        <w:rPr>
          <w:vertAlign w:val="subscript"/>
        </w:rPr>
        <w:t>2</w:t>
      </w:r>
      <w:r>
        <w:t>S的含量超过20mg/m</w:t>
      </w:r>
      <w:r>
        <w:rPr>
          <w:vertAlign w:val="superscript"/>
        </w:rPr>
        <w:t>3</w:t>
      </w:r>
      <w:r>
        <w:t>时，就需要对脱硫剂进行处理。当脱硫剂中硫未达到30%时，脱硫剂可进行再生；若脱硫剂硫容超过30%时，就要更新脱硫剂。项目一年更换一次脱硫剂。</w:t>
      </w:r>
    </w:p>
    <w:p>
      <w:pPr>
        <w:pStyle w:val="79"/>
        <w:ind w:firstLine="480"/>
      </w:pPr>
      <w:r>
        <w:t>（</w:t>
      </w:r>
      <w:r>
        <w:rPr>
          <w:rFonts w:hint="eastAsia"/>
        </w:rPr>
        <w:t>3</w:t>
      </w:r>
      <w:r>
        <w:t>）沼气利用方案</w:t>
      </w:r>
    </w:p>
    <w:p>
      <w:pPr>
        <w:wordWrap w:val="0"/>
        <w:topLinePunct/>
        <w:ind w:firstLine="480"/>
        <w:contextualSpacing/>
      </w:pPr>
      <w:r>
        <w:rPr>
          <w:rFonts w:hint="eastAsia"/>
        </w:rPr>
        <w:t>根据</w:t>
      </w:r>
      <w:r>
        <w:t>项目实际情况，经脱水、脱硫装置净化后的沼气，</w:t>
      </w:r>
      <w:r>
        <w:rPr>
          <w:rFonts w:hint="eastAsia"/>
        </w:rPr>
        <w:t>通过</w:t>
      </w:r>
      <w:r>
        <w:t>火炬系统充分燃烧后排入大气环境，火炬排放口</w:t>
      </w:r>
      <w:r>
        <w:rPr>
          <w:rFonts w:hint="eastAsia"/>
        </w:rPr>
        <w:t>高度</w:t>
      </w:r>
      <w:r>
        <w:t>不低于</w:t>
      </w:r>
      <w:r>
        <w:rPr>
          <w:rFonts w:hint="eastAsia"/>
        </w:rPr>
        <w:t>8</w:t>
      </w:r>
      <w:r>
        <w:t>m。</w:t>
      </w:r>
    </w:p>
    <w:p>
      <w:pPr>
        <w:topLinePunct/>
        <w:spacing w:line="240" w:lineRule="auto"/>
        <w:ind w:firstLine="0" w:firstLineChars="0"/>
        <w:contextualSpacing/>
        <w:jc w:val="center"/>
      </w:pPr>
      <w:r>
        <w:object>
          <v:shape id="_x0000_i1028" o:spt="75" type="#_x0000_t75" style="height:82.2pt;width:415.35pt;" o:ole="t" filled="f" o:preferrelative="t" stroked="f" coordsize="21600,21600">
            <v:path/>
            <v:fill on="f" focussize="0,0"/>
            <v:stroke on="f" joinstyle="miter"/>
            <v:imagedata r:id="rId81" o:title=""/>
            <o:lock v:ext="edit" aspectratio="t"/>
            <w10:wrap type="none"/>
            <w10:anchorlock/>
          </v:shape>
          <o:OLEObject Type="Embed" ProgID="Visio.Drawing.11" ShapeID="_x0000_i1028" DrawAspect="Content" ObjectID="_1468075728" r:id="rId80">
            <o:LockedField>false</o:LockedField>
          </o:OLEObject>
        </w:object>
      </w:r>
      <w:r>
        <w:rPr>
          <w:rFonts w:hint="eastAsia"/>
          <w:b/>
        </w:rPr>
        <w:t>图3.2-</w:t>
      </w:r>
      <w:r>
        <w:rPr>
          <w:b/>
        </w:rPr>
        <w:t xml:space="preserve">9 </w:t>
      </w:r>
      <w:r>
        <w:rPr>
          <w:rFonts w:hint="eastAsia"/>
          <w:b/>
        </w:rPr>
        <w:t>沼气利用流程及产排污环节图</w:t>
      </w:r>
    </w:p>
    <w:p>
      <w:pPr>
        <w:pStyle w:val="79"/>
        <w:ind w:firstLine="482"/>
        <w:rPr>
          <w:b/>
        </w:rPr>
      </w:pPr>
      <w:bookmarkStart w:id="85" w:name="_Toc20357"/>
      <w:bookmarkStart w:id="86" w:name="_Toc23219"/>
      <w:bookmarkStart w:id="87" w:name="_Toc17356"/>
      <w:r>
        <w:rPr>
          <w:b/>
        </w:rPr>
        <w:t>3</w:t>
      </w:r>
      <w:r>
        <w:rPr>
          <w:rFonts w:hint="eastAsia"/>
          <w:b/>
        </w:rPr>
        <w:t>、</w:t>
      </w:r>
      <w:r>
        <w:rPr>
          <w:b/>
        </w:rPr>
        <w:t>病死猪及分娩废物处理处置</w:t>
      </w:r>
      <w:bookmarkEnd w:id="85"/>
      <w:bookmarkEnd w:id="86"/>
      <w:bookmarkEnd w:id="87"/>
    </w:p>
    <w:p>
      <w:pPr>
        <w:ind w:firstLine="480"/>
      </w:pPr>
      <w:r>
        <w:t>根据《畜禽规模养殖污染防治条例》（中华人民共和国国务院令第643号）的有关内容，染疫畜禽以及染疫畜禽排泄物、染疫畜禽产品、病死或者死因不明的畜禽尸体等病害畜禽养殖废弃物，应当按照有关法律、法规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pPr>
        <w:ind w:firstLine="480"/>
      </w:pPr>
      <w:r>
        <w:t>《畜禽养殖业污染防治技术规范》（HJ/T81-2001）第9条病死畜禽尸体的处理与处置：</w:t>
      </w:r>
    </w:p>
    <w:p>
      <w:pPr>
        <w:ind w:firstLine="480"/>
      </w:pPr>
      <w:r>
        <w:t>（1）病死畜禽尸体要及时处理，严禁随意丢弃，严禁出售或作为饲料再利用。</w:t>
      </w:r>
    </w:p>
    <w:p>
      <w:pPr>
        <w:ind w:firstLine="480"/>
      </w:pPr>
      <w:r>
        <w:t>（</w:t>
      </w:r>
      <w:r>
        <w:rPr>
          <w:rFonts w:hint="eastAsia"/>
        </w:rPr>
        <w:t>2</w:t>
      </w:r>
      <w:r>
        <w:t>）不具备焚烧条件的养殖场应设置两个以上安全填埋井，填埋井应为混凝土结构，深度大于2m，直径1m，井口加盖密封。进行填埋时，在每次投入畜禽尸体后，应覆盖一层厚度大于10cm的熟石灰，井填满后，须用粘土填埋压实并封口。</w:t>
      </w:r>
    </w:p>
    <w:p>
      <w:pPr>
        <w:ind w:firstLine="480"/>
        <w:rPr>
          <w:bCs/>
          <w:highlight w:val="yellow"/>
        </w:rPr>
      </w:pPr>
      <w:r>
        <w:t>本项目病死猪</w:t>
      </w:r>
      <w:r>
        <w:rPr>
          <w:rFonts w:hint="eastAsia"/>
        </w:rPr>
        <w:t>产生</w:t>
      </w:r>
      <w:r>
        <w:t>量2.86t/a，分娩废物产生量为2.76t/a，</w:t>
      </w:r>
      <w:r>
        <w:rPr>
          <w:rFonts w:hint="eastAsia"/>
        </w:rPr>
        <w:t>项目在</w:t>
      </w:r>
      <w:r>
        <w:t>养殖场区域设置2</w:t>
      </w:r>
      <w:r>
        <w:rPr>
          <w:rFonts w:hint="eastAsia"/>
        </w:rPr>
        <w:t>个</w:t>
      </w:r>
      <w:r>
        <w:t>安全填埋井，（直径3m，深度5m）</w:t>
      </w:r>
      <w:r>
        <w:rPr>
          <w:bCs/>
        </w:rPr>
        <w:t>。采用混凝土结构，远离生活区。在进行填埋时，每次投入畜禽尸体后，覆盖一层厚度大于10cm的熟石灰。安全填埋井在填埋后，须用粘土填埋压实封口，并永久封存。</w:t>
      </w:r>
    </w:p>
    <w:p>
      <w:pPr>
        <w:pStyle w:val="6"/>
      </w:pPr>
      <w:r>
        <w:rPr>
          <w:rFonts w:hint="eastAsia"/>
        </w:rPr>
        <w:t>五</w:t>
      </w:r>
      <w:r>
        <w:t>、</w:t>
      </w:r>
      <w:r>
        <w:rPr>
          <w:rFonts w:hint="eastAsia"/>
        </w:rPr>
        <w:t>运营期</w:t>
      </w:r>
      <w:r>
        <w:t>产污环节</w:t>
      </w:r>
    </w:p>
    <w:p>
      <w:pPr>
        <w:pStyle w:val="79"/>
        <w:ind w:firstLine="480"/>
      </w:pPr>
      <w:r>
        <w:rPr>
          <w:rFonts w:hint="eastAsia"/>
        </w:rPr>
        <w:t>项目</w:t>
      </w:r>
      <w:r>
        <w:t>产污</w:t>
      </w:r>
      <w:r>
        <w:rPr>
          <w:rFonts w:hint="eastAsia"/>
        </w:rPr>
        <w:t>环节</w:t>
      </w:r>
      <w:r>
        <w:t>汇总见</w:t>
      </w:r>
      <w:r>
        <w:fldChar w:fldCharType="begin"/>
      </w:r>
      <w:r>
        <w:instrText xml:space="preserve"> REF _Ref26178917 \h  \* MERGEFORMAT </w:instrText>
      </w:r>
      <w:r>
        <w:fldChar w:fldCharType="separate"/>
      </w:r>
      <w:r>
        <w:t>表3.2</w:t>
      </w:r>
      <w:r>
        <w:noBreakHyphen/>
      </w:r>
      <w:r>
        <w:t>1</w:t>
      </w:r>
      <w:r>
        <w:fldChar w:fldCharType="end"/>
      </w:r>
      <w:r>
        <w:rPr>
          <w:rFonts w:hint="eastAsia"/>
        </w:rPr>
        <w:t>。</w:t>
      </w:r>
    </w:p>
    <w:p>
      <w:pPr>
        <w:spacing w:line="240" w:lineRule="auto"/>
        <w:ind w:firstLine="0" w:firstLineChars="0"/>
        <w:jc w:val="center"/>
        <w:rPr>
          <w:b/>
          <w:sz w:val="20"/>
          <w:szCs w:val="20"/>
        </w:rPr>
      </w:pPr>
      <w:bookmarkStart w:id="88" w:name="_Ref26178917"/>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3.2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88"/>
      <w:r>
        <w:rPr>
          <w:b/>
          <w:sz w:val="21"/>
          <w:szCs w:val="21"/>
        </w:rPr>
        <w:t>项目</w:t>
      </w:r>
      <w:r>
        <w:rPr>
          <w:rFonts w:hint="eastAsia"/>
          <w:b/>
          <w:sz w:val="21"/>
          <w:szCs w:val="21"/>
        </w:rPr>
        <w:t>运营期</w:t>
      </w:r>
      <w:r>
        <w:rPr>
          <w:b/>
          <w:sz w:val="21"/>
          <w:szCs w:val="21"/>
        </w:rPr>
        <w:t>产污环节汇总表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37"/>
        <w:gridCol w:w="1410"/>
        <w:gridCol w:w="1554"/>
        <w:gridCol w:w="684"/>
        <w:gridCol w:w="32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7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要素</w:t>
            </w: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序号</w:t>
            </w:r>
          </w:p>
        </w:tc>
        <w:tc>
          <w:tcPr>
            <w:tcW w:w="1410"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污染源</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主要污染物</w:t>
            </w:r>
          </w:p>
        </w:tc>
        <w:tc>
          <w:tcPr>
            <w:tcW w:w="68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产生</w:t>
            </w:r>
          </w:p>
          <w:p>
            <w:pPr>
              <w:autoSpaceDE w:val="0"/>
              <w:autoSpaceDN w:val="0"/>
              <w:snapToGrid/>
              <w:spacing w:line="240" w:lineRule="auto"/>
              <w:ind w:firstLine="0" w:firstLineChars="0"/>
              <w:jc w:val="center"/>
              <w:textAlignment w:val="bottom"/>
              <w:rPr>
                <w:kern w:val="0"/>
                <w:sz w:val="21"/>
                <w:szCs w:val="20"/>
              </w:rPr>
            </w:pPr>
            <w:r>
              <w:rPr>
                <w:kern w:val="0"/>
                <w:sz w:val="21"/>
                <w:szCs w:val="20"/>
              </w:rPr>
              <w:t>规律</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治理措施及排放去向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restart"/>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废气</w:t>
            </w: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G1</w:t>
            </w:r>
          </w:p>
        </w:tc>
        <w:tc>
          <w:tcPr>
            <w:tcW w:w="1410"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养殖</w:t>
            </w:r>
            <w:r>
              <w:rPr>
                <w:sz w:val="21"/>
                <w:szCs w:val="20"/>
              </w:rPr>
              <w:t>区、</w:t>
            </w:r>
            <w:r>
              <w:rPr>
                <w:rFonts w:hint="eastAsia"/>
                <w:sz w:val="21"/>
                <w:szCs w:val="20"/>
              </w:rPr>
              <w:t>粪污</w:t>
            </w:r>
            <w:r>
              <w:rPr>
                <w:sz w:val="21"/>
                <w:szCs w:val="20"/>
              </w:rPr>
              <w:t>处理区</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NH</w:t>
            </w:r>
            <w:r>
              <w:rPr>
                <w:sz w:val="21"/>
                <w:szCs w:val="20"/>
                <w:vertAlign w:val="subscript"/>
              </w:rPr>
              <w:t>3</w:t>
            </w:r>
            <w:r>
              <w:rPr>
                <w:rFonts w:hint="eastAsia"/>
                <w:sz w:val="21"/>
                <w:szCs w:val="20"/>
              </w:rPr>
              <w:t>、</w:t>
            </w:r>
            <w:r>
              <w:rPr>
                <w:sz w:val="21"/>
                <w:szCs w:val="20"/>
              </w:rPr>
              <w:t>H</w:t>
            </w:r>
            <w:r>
              <w:rPr>
                <w:sz w:val="21"/>
                <w:szCs w:val="20"/>
                <w:vertAlign w:val="subscript"/>
              </w:rPr>
              <w:t>2</w:t>
            </w:r>
            <w:r>
              <w:rPr>
                <w:sz w:val="21"/>
                <w:szCs w:val="20"/>
              </w:rPr>
              <w:t>S、臭气浓度</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连续</w:t>
            </w:r>
          </w:p>
        </w:tc>
        <w:tc>
          <w:tcPr>
            <w:tcW w:w="3222" w:type="dxa"/>
            <w:vAlign w:val="center"/>
          </w:tcPr>
          <w:p>
            <w:pPr>
              <w:autoSpaceDE w:val="0"/>
              <w:autoSpaceDN w:val="0"/>
              <w:snapToGrid/>
              <w:spacing w:line="240" w:lineRule="auto"/>
              <w:ind w:firstLine="0" w:firstLineChars="0"/>
              <w:jc w:val="left"/>
              <w:textAlignment w:val="bottom"/>
              <w:rPr>
                <w:sz w:val="21"/>
                <w:szCs w:val="20"/>
              </w:rPr>
            </w:pPr>
            <w:r>
              <w:rPr>
                <w:rFonts w:hint="eastAsia"/>
                <w:sz w:val="21"/>
                <w:szCs w:val="20"/>
              </w:rPr>
              <w:t>养殖区</w:t>
            </w:r>
            <w:r>
              <w:rPr>
                <w:sz w:val="21"/>
                <w:szCs w:val="20"/>
              </w:rPr>
              <w:t>：</w:t>
            </w:r>
            <w:r>
              <w:rPr>
                <w:rFonts w:hint="eastAsia"/>
                <w:sz w:val="21"/>
                <w:szCs w:val="20"/>
              </w:rPr>
              <w:t>优化养殖，饲料中添加抑制剂，干清粪工艺，喷洒除臭剂，加强通风；</w:t>
            </w:r>
          </w:p>
          <w:p>
            <w:pPr>
              <w:autoSpaceDE w:val="0"/>
              <w:autoSpaceDN w:val="0"/>
              <w:snapToGrid/>
              <w:spacing w:line="240" w:lineRule="auto"/>
              <w:ind w:firstLine="0" w:firstLineChars="0"/>
              <w:jc w:val="left"/>
              <w:textAlignment w:val="bottom"/>
              <w:rPr>
                <w:sz w:val="21"/>
                <w:szCs w:val="20"/>
              </w:rPr>
            </w:pPr>
            <w:r>
              <w:rPr>
                <w:rFonts w:hint="eastAsia"/>
                <w:sz w:val="21"/>
                <w:szCs w:val="20"/>
              </w:rPr>
              <w:t>堆粪棚</w:t>
            </w:r>
            <w:r>
              <w:rPr>
                <w:sz w:val="21"/>
                <w:szCs w:val="20"/>
              </w:rPr>
              <w:t>：</w:t>
            </w:r>
            <w:r>
              <w:rPr>
                <w:rFonts w:hint="eastAsia"/>
                <w:sz w:val="21"/>
                <w:szCs w:val="20"/>
              </w:rPr>
              <w:t>干清粪</w:t>
            </w:r>
            <w:r>
              <w:rPr>
                <w:sz w:val="21"/>
                <w:szCs w:val="20"/>
              </w:rPr>
              <w:t>工艺，堆粪棚</w:t>
            </w:r>
            <w:r>
              <w:rPr>
                <w:rFonts w:hint="eastAsia"/>
                <w:sz w:val="21"/>
                <w:szCs w:val="20"/>
              </w:rPr>
              <w:t>喷洒除臭剂</w:t>
            </w:r>
            <w:r>
              <w:rPr>
                <w:sz w:val="21"/>
                <w:szCs w:val="20"/>
              </w:rPr>
              <w:t>，</w:t>
            </w:r>
            <w:r>
              <w:rPr>
                <w:rFonts w:hint="eastAsia"/>
                <w:sz w:val="21"/>
                <w:szCs w:val="20"/>
              </w:rPr>
              <w:t>堆存</w:t>
            </w:r>
            <w:r>
              <w:rPr>
                <w:sz w:val="21"/>
                <w:szCs w:val="20"/>
              </w:rPr>
              <w:t>猪粪</w:t>
            </w:r>
            <w:r>
              <w:rPr>
                <w:rFonts w:hint="eastAsia"/>
                <w:sz w:val="21"/>
                <w:szCs w:val="20"/>
              </w:rPr>
              <w:t>及时</w:t>
            </w:r>
            <w:r>
              <w:rPr>
                <w:sz w:val="21"/>
                <w:szCs w:val="20"/>
              </w:rPr>
              <w:t>清运；</w:t>
            </w:r>
          </w:p>
          <w:p>
            <w:pPr>
              <w:autoSpaceDE w:val="0"/>
              <w:autoSpaceDN w:val="0"/>
              <w:snapToGrid/>
              <w:spacing w:line="240" w:lineRule="auto"/>
              <w:ind w:firstLine="0" w:firstLineChars="0"/>
              <w:textAlignment w:val="bottom"/>
              <w:rPr>
                <w:sz w:val="21"/>
                <w:szCs w:val="20"/>
                <w:highlight w:val="yellow"/>
              </w:rPr>
            </w:pPr>
            <w:r>
              <w:rPr>
                <w:rFonts w:hint="eastAsia"/>
                <w:sz w:val="21"/>
                <w:szCs w:val="20"/>
              </w:rPr>
              <w:t>粪污</w:t>
            </w:r>
            <w:r>
              <w:rPr>
                <w:sz w:val="21"/>
                <w:szCs w:val="20"/>
              </w:rPr>
              <w:t>处理区:</w:t>
            </w:r>
            <w:r>
              <w:rPr>
                <w:rFonts w:hint="eastAsia"/>
                <w:sz w:val="21"/>
                <w:szCs w:val="20"/>
              </w:rPr>
              <w:t>猪粪及时</w:t>
            </w:r>
            <w:r>
              <w:rPr>
                <w:sz w:val="21"/>
                <w:szCs w:val="20"/>
              </w:rPr>
              <w:t>清运，厌氧反应池加盖密闭，喷洒除臭剂。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sz w:val="21"/>
                <w:szCs w:val="20"/>
                <w:highlight w:val="yellow"/>
              </w:rPr>
            </w:pPr>
            <w:r>
              <w:rPr>
                <w:kern w:val="0"/>
                <w:sz w:val="21"/>
                <w:szCs w:val="20"/>
              </w:rPr>
              <w:t>G2</w:t>
            </w:r>
          </w:p>
        </w:tc>
        <w:tc>
          <w:tcPr>
            <w:tcW w:w="1410" w:type="dxa"/>
            <w:vAlign w:val="center"/>
          </w:tcPr>
          <w:p>
            <w:pPr>
              <w:autoSpaceDE w:val="0"/>
              <w:autoSpaceDN w:val="0"/>
              <w:snapToGrid/>
              <w:spacing w:line="240" w:lineRule="auto"/>
              <w:ind w:firstLine="0" w:firstLineChars="0"/>
              <w:jc w:val="center"/>
              <w:textAlignment w:val="bottom"/>
              <w:rPr>
                <w:sz w:val="21"/>
                <w:szCs w:val="20"/>
                <w:highlight w:val="yellow"/>
              </w:rPr>
            </w:pPr>
            <w:r>
              <w:rPr>
                <w:rFonts w:hint="eastAsia"/>
                <w:sz w:val="21"/>
                <w:szCs w:val="20"/>
              </w:rPr>
              <w:t>食堂</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油烟</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油烟净化器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G3</w:t>
            </w:r>
          </w:p>
        </w:tc>
        <w:tc>
          <w:tcPr>
            <w:tcW w:w="1410"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饲料破碎</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粉尘</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饲料</w:t>
            </w:r>
            <w:r>
              <w:rPr>
                <w:sz w:val="21"/>
                <w:szCs w:val="20"/>
              </w:rPr>
              <w:t>库房密闭，无组织排放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restart"/>
            <w:vAlign w:val="center"/>
          </w:tcPr>
          <w:p>
            <w:pPr>
              <w:autoSpaceDE w:val="0"/>
              <w:autoSpaceDN w:val="0"/>
              <w:snapToGrid/>
              <w:spacing w:line="240" w:lineRule="auto"/>
              <w:ind w:firstLine="0" w:firstLineChars="0"/>
              <w:jc w:val="center"/>
              <w:textAlignment w:val="bottom"/>
              <w:rPr>
                <w:sz w:val="21"/>
                <w:szCs w:val="20"/>
              </w:rPr>
            </w:pPr>
            <w:r>
              <w:rPr>
                <w:sz w:val="21"/>
                <w:szCs w:val="20"/>
              </w:rPr>
              <w:t>废水</w:t>
            </w:r>
          </w:p>
        </w:tc>
        <w:tc>
          <w:tcPr>
            <w:tcW w:w="73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W1</w:t>
            </w:r>
          </w:p>
        </w:tc>
        <w:tc>
          <w:tcPr>
            <w:tcW w:w="1410" w:type="dxa"/>
            <w:vAlign w:val="center"/>
          </w:tcPr>
          <w:p>
            <w:pPr>
              <w:autoSpaceDE w:val="0"/>
              <w:autoSpaceDN w:val="0"/>
              <w:snapToGrid/>
              <w:spacing w:line="240" w:lineRule="auto"/>
              <w:ind w:firstLine="0" w:firstLineChars="0"/>
              <w:jc w:val="center"/>
              <w:textAlignment w:val="bottom"/>
              <w:rPr>
                <w:sz w:val="21"/>
              </w:rPr>
            </w:pPr>
            <w:r>
              <w:rPr>
                <w:rFonts w:hint="eastAsia"/>
                <w:sz w:val="21"/>
              </w:rPr>
              <w:t>猪</w:t>
            </w:r>
            <w:r>
              <w:rPr>
                <w:sz w:val="21"/>
              </w:rPr>
              <w:t>尿、猪舍冲洗废水</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COD、BOD</w:t>
            </w:r>
            <w:r>
              <w:rPr>
                <w:rFonts w:hint="eastAsia"/>
                <w:sz w:val="21"/>
                <w:szCs w:val="20"/>
                <w:vertAlign w:val="subscript"/>
              </w:rPr>
              <w:t>5</w:t>
            </w:r>
            <w:r>
              <w:rPr>
                <w:rFonts w:hint="eastAsia"/>
                <w:sz w:val="21"/>
                <w:szCs w:val="20"/>
              </w:rPr>
              <w:t>、SS、氨氮、TP</w:t>
            </w:r>
          </w:p>
        </w:tc>
        <w:tc>
          <w:tcPr>
            <w:tcW w:w="68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间歇</w:t>
            </w:r>
          </w:p>
        </w:tc>
        <w:tc>
          <w:tcPr>
            <w:tcW w:w="3222" w:type="dxa"/>
            <w:vMerge w:val="restart"/>
            <w:vAlign w:val="center"/>
          </w:tcPr>
          <w:p>
            <w:pPr>
              <w:autoSpaceDE w:val="0"/>
              <w:autoSpaceDN w:val="0"/>
              <w:snapToGrid/>
              <w:spacing w:line="240" w:lineRule="auto"/>
              <w:ind w:firstLine="0" w:firstLineChars="0"/>
              <w:jc w:val="center"/>
              <w:textAlignment w:val="bottom"/>
              <w:rPr>
                <w:sz w:val="21"/>
              </w:rPr>
            </w:pPr>
            <w:r>
              <w:rPr>
                <w:rFonts w:hint="eastAsia" w:ascii="宋体" w:hAnsi="Calibri" w:cs="宋体"/>
                <w:kern w:val="0"/>
                <w:sz w:val="21"/>
                <w:szCs w:val="21"/>
              </w:rPr>
              <w:t>污水处理系统处理后用于农田施肥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W2</w:t>
            </w:r>
          </w:p>
        </w:tc>
        <w:tc>
          <w:tcPr>
            <w:tcW w:w="1410" w:type="dxa"/>
            <w:vAlign w:val="center"/>
          </w:tcPr>
          <w:p>
            <w:pPr>
              <w:autoSpaceDE w:val="0"/>
              <w:autoSpaceDN w:val="0"/>
              <w:snapToGrid/>
              <w:spacing w:line="240" w:lineRule="auto"/>
              <w:ind w:firstLine="0" w:firstLineChars="0"/>
              <w:jc w:val="center"/>
              <w:textAlignment w:val="bottom"/>
              <w:rPr>
                <w:sz w:val="21"/>
              </w:rPr>
            </w:pPr>
            <w:r>
              <w:rPr>
                <w:rFonts w:hint="eastAsia"/>
                <w:sz w:val="21"/>
              </w:rPr>
              <w:t>职工</w:t>
            </w:r>
            <w:r>
              <w:rPr>
                <w:sz w:val="21"/>
              </w:rPr>
              <w:t>生活</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COD、BOD</w:t>
            </w:r>
            <w:r>
              <w:rPr>
                <w:rFonts w:hint="eastAsia"/>
                <w:sz w:val="21"/>
                <w:szCs w:val="20"/>
                <w:vertAlign w:val="subscript"/>
              </w:rPr>
              <w:t>5</w:t>
            </w:r>
            <w:r>
              <w:rPr>
                <w:rFonts w:hint="eastAsia"/>
                <w:sz w:val="21"/>
                <w:szCs w:val="20"/>
              </w:rPr>
              <w:t>、SS、氨氮</w:t>
            </w:r>
          </w:p>
        </w:tc>
        <w:tc>
          <w:tcPr>
            <w:tcW w:w="68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间歇</w:t>
            </w:r>
          </w:p>
        </w:tc>
        <w:tc>
          <w:tcPr>
            <w:tcW w:w="3222" w:type="dxa"/>
            <w:vMerge w:val="continue"/>
            <w:vAlign w:val="center"/>
          </w:tcPr>
          <w:p>
            <w:pPr>
              <w:autoSpaceDE w:val="0"/>
              <w:autoSpaceDN w:val="0"/>
              <w:snapToGrid/>
              <w:spacing w:line="240" w:lineRule="auto"/>
              <w:ind w:firstLine="0" w:firstLineChars="0"/>
              <w:jc w:val="center"/>
              <w:textAlignment w:val="bottom"/>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restart"/>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噪声</w:t>
            </w: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N1</w:t>
            </w:r>
          </w:p>
        </w:tc>
        <w:tc>
          <w:tcPr>
            <w:tcW w:w="1410"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养殖区</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猪</w:t>
            </w:r>
            <w:r>
              <w:rPr>
                <w:sz w:val="21"/>
                <w:szCs w:val="20"/>
              </w:rPr>
              <w:t>只叫声</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喂足饲料和水，避免饥渴及突发性噪声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N2</w:t>
            </w:r>
          </w:p>
        </w:tc>
        <w:tc>
          <w:tcPr>
            <w:tcW w:w="1410"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风扇、水泵、热风机、筛分机、运输车辆等</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设备</w:t>
            </w:r>
            <w:r>
              <w:rPr>
                <w:sz w:val="21"/>
                <w:szCs w:val="20"/>
              </w:rPr>
              <w:t>运行噪声</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选用低噪声设备、基础减振、隔声、消声等降噪措施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restart"/>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固废</w:t>
            </w: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S1</w:t>
            </w:r>
          </w:p>
        </w:tc>
        <w:tc>
          <w:tcPr>
            <w:tcW w:w="1410" w:type="dxa"/>
            <w:vMerge w:val="restart"/>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生猪养殖</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猪粪</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采用</w:t>
            </w:r>
            <w:r>
              <w:rPr>
                <w:sz w:val="21"/>
                <w:szCs w:val="20"/>
              </w:rPr>
              <w:t>干清粪工艺，</w:t>
            </w:r>
            <w:r>
              <w:rPr>
                <w:rFonts w:hint="eastAsia"/>
                <w:sz w:val="21"/>
                <w:szCs w:val="20"/>
              </w:rPr>
              <w:t>外售有机肥厂</w:t>
            </w:r>
            <w:r>
              <w:rPr>
                <w:sz w:val="21"/>
                <w:szCs w:val="20"/>
              </w:rPr>
              <w:t>作为原料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S2</w:t>
            </w:r>
          </w:p>
        </w:tc>
        <w:tc>
          <w:tcPr>
            <w:tcW w:w="1410"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病死猪</w:t>
            </w:r>
            <w:r>
              <w:rPr>
                <w:sz w:val="21"/>
                <w:szCs w:val="20"/>
              </w:rPr>
              <w:t>、分娩物</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安全</w:t>
            </w:r>
            <w:r>
              <w:rPr>
                <w:sz w:val="21"/>
                <w:szCs w:val="20"/>
              </w:rPr>
              <w:t>填埋井填埋处置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S3</w:t>
            </w:r>
          </w:p>
        </w:tc>
        <w:tc>
          <w:tcPr>
            <w:tcW w:w="1410"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生猪</w:t>
            </w:r>
            <w:r>
              <w:rPr>
                <w:sz w:val="21"/>
                <w:szCs w:val="20"/>
              </w:rPr>
              <w:t>检疫</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医疗</w:t>
            </w:r>
            <w:r>
              <w:rPr>
                <w:sz w:val="21"/>
                <w:szCs w:val="20"/>
              </w:rPr>
              <w:t>废物</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定期委托有危险废物处置资质的单位进行处置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S4</w:t>
            </w:r>
          </w:p>
        </w:tc>
        <w:tc>
          <w:tcPr>
            <w:tcW w:w="141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沼气脱硫</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废脱硫剂</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属于</w:t>
            </w:r>
            <w:r>
              <w:rPr>
                <w:sz w:val="21"/>
                <w:szCs w:val="20"/>
              </w:rPr>
              <w:t>一般工业固体废物，由</w:t>
            </w:r>
            <w:r>
              <w:rPr>
                <w:rFonts w:hint="eastAsia"/>
                <w:sz w:val="21"/>
                <w:szCs w:val="20"/>
              </w:rPr>
              <w:t>厂家</w:t>
            </w:r>
            <w:r>
              <w:rPr>
                <w:sz w:val="21"/>
                <w:szCs w:val="20"/>
              </w:rPr>
              <w:t>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5"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737"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S5</w:t>
            </w:r>
          </w:p>
        </w:tc>
        <w:tc>
          <w:tcPr>
            <w:tcW w:w="1410"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职工</w:t>
            </w:r>
            <w:r>
              <w:rPr>
                <w:kern w:val="0"/>
                <w:sz w:val="21"/>
                <w:szCs w:val="20"/>
              </w:rPr>
              <w:t>生活</w:t>
            </w:r>
          </w:p>
        </w:tc>
        <w:tc>
          <w:tcPr>
            <w:tcW w:w="155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生活</w:t>
            </w:r>
            <w:r>
              <w:rPr>
                <w:sz w:val="21"/>
                <w:szCs w:val="20"/>
              </w:rPr>
              <w:t>垃圾</w:t>
            </w:r>
          </w:p>
        </w:tc>
        <w:tc>
          <w:tcPr>
            <w:tcW w:w="68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2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由</w:t>
            </w:r>
            <w:r>
              <w:rPr>
                <w:sz w:val="21"/>
                <w:szCs w:val="20"/>
              </w:rPr>
              <w:t>环卫部门定期清运处理</w:t>
            </w:r>
          </w:p>
        </w:tc>
      </w:tr>
    </w:tbl>
    <w:p>
      <w:pPr>
        <w:pStyle w:val="4"/>
      </w:pPr>
      <w:r>
        <w:rPr>
          <w:rFonts w:hint="eastAsia"/>
        </w:rPr>
        <w:t>生态影响</w:t>
      </w:r>
      <w:r>
        <w:t>因素分析</w:t>
      </w:r>
    </w:p>
    <w:p>
      <w:pPr>
        <w:ind w:firstLine="480"/>
      </w:pPr>
      <w:r>
        <w:rPr>
          <w:rFonts w:hint="eastAsia"/>
        </w:rPr>
        <w:t>项目用地面积约41.6065亩，用地现状为林地、荒地和农用地，根据现场调查，项目所在地附近没有珍稀野生动植物，区域地表覆盖原有丰富的草本植物，不涉及基本农田。项目</w:t>
      </w:r>
      <w:r>
        <w:t>施工期已</w:t>
      </w:r>
      <w:r>
        <w:rPr>
          <w:rFonts w:hint="eastAsia"/>
        </w:rPr>
        <w:t>结束</w:t>
      </w:r>
      <w:r>
        <w:t>，</w:t>
      </w:r>
      <w:r>
        <w:rPr>
          <w:rFonts w:hint="eastAsia"/>
        </w:rPr>
        <w:t>项目生态影响主要是改变土地利用格局、影响局部植被、产生一定的水土流失，项目</w:t>
      </w:r>
      <w:r>
        <w:t>运营后，场</w:t>
      </w:r>
      <w:r>
        <w:rPr>
          <w:rFonts w:hint="eastAsia"/>
        </w:rPr>
        <w:t>界四周通过加强绿化，辅以乔、灌、草等相结合的形式，相对增加了植被生态系统的多样性。随着绿化种植，施工时的人为干扰消失，一部分外迁动物又会回归，对该地区动物生态系统影响不大。项目建成运营后，场界主要种植高大乔木辅以灌木，场内以灌木草坪为主，对氨和硫化氢有一定的吸收作用，可减轻猪舍臭气对大气环境的影响。</w:t>
      </w:r>
    </w:p>
    <w:p>
      <w:pPr>
        <w:pStyle w:val="3"/>
      </w:pPr>
      <w:bookmarkStart w:id="89" w:name="_Toc488102162"/>
      <w:bookmarkStart w:id="90" w:name="_Toc108422230"/>
      <w:r>
        <w:rPr>
          <w:rFonts w:hint="eastAsia"/>
        </w:rPr>
        <w:t>污染源强核算</w:t>
      </w:r>
      <w:bookmarkEnd w:id="89"/>
      <w:bookmarkEnd w:id="90"/>
    </w:p>
    <w:p>
      <w:pPr>
        <w:pStyle w:val="4"/>
      </w:pPr>
      <w:r>
        <w:rPr>
          <w:rFonts w:hint="eastAsia"/>
        </w:rPr>
        <w:t>施工期</w:t>
      </w:r>
      <w:r>
        <w:t>污染</w:t>
      </w:r>
      <w:r>
        <w:rPr>
          <w:rFonts w:hint="eastAsia"/>
        </w:rPr>
        <w:t>物源强</w:t>
      </w:r>
      <w:r>
        <w:t>核算</w:t>
      </w:r>
    </w:p>
    <w:p>
      <w:pPr>
        <w:ind w:firstLine="480"/>
      </w:pPr>
      <w:r>
        <w:rPr>
          <w:rFonts w:hint="eastAsia"/>
        </w:rPr>
        <w:t>项目属于“未批</w:t>
      </w:r>
      <w:r>
        <w:t>先建</w:t>
      </w:r>
      <w:r>
        <w:rPr>
          <w:rFonts w:hint="eastAsia"/>
        </w:rPr>
        <w:t>”</w:t>
      </w:r>
      <w:r>
        <w:t>项目</w:t>
      </w:r>
      <w:r>
        <w:rPr>
          <w:rFonts w:hint="eastAsia"/>
        </w:rPr>
        <w:t>，根据现场调查，项目施工阶段已经结束，无遗留施工期环境问题，</w:t>
      </w:r>
      <w:r>
        <w:t>本次评价不</w:t>
      </w:r>
      <w:r>
        <w:rPr>
          <w:rFonts w:hint="eastAsia"/>
        </w:rPr>
        <w:t>再对</w:t>
      </w:r>
      <w:r>
        <w:t>施工期</w:t>
      </w:r>
      <w:r>
        <w:rPr>
          <w:rFonts w:hint="eastAsia"/>
        </w:rPr>
        <w:t>进行评价</w:t>
      </w:r>
      <w:r>
        <w:t>。</w:t>
      </w:r>
    </w:p>
    <w:p>
      <w:pPr>
        <w:pStyle w:val="4"/>
      </w:pPr>
      <w:r>
        <w:rPr>
          <w:rFonts w:hint="eastAsia"/>
        </w:rPr>
        <w:t>运营期污染物源强</w:t>
      </w:r>
      <w:r>
        <w:t>核算</w:t>
      </w:r>
    </w:p>
    <w:p>
      <w:pPr>
        <w:pStyle w:val="5"/>
      </w:pPr>
      <w:r>
        <w:rPr>
          <w:rFonts w:hint="eastAsia"/>
        </w:rPr>
        <w:t>废气</w:t>
      </w:r>
    </w:p>
    <w:p>
      <w:pPr>
        <w:ind w:firstLine="480"/>
      </w:pPr>
      <w:r>
        <w:rPr>
          <w:rFonts w:hint="eastAsia"/>
        </w:rPr>
        <w:t>项目</w:t>
      </w:r>
      <w:r>
        <w:t>运营期</w:t>
      </w:r>
      <w:r>
        <w:rPr>
          <w:rFonts w:hint="eastAsia"/>
        </w:rPr>
        <w:t>废气</w:t>
      </w:r>
      <w:r>
        <w:t>主要为</w:t>
      </w:r>
      <w:r>
        <w:rPr>
          <w:rFonts w:hint="eastAsia"/>
        </w:rPr>
        <w:t>猪舍</w:t>
      </w:r>
      <w:r>
        <w:t>养殖</w:t>
      </w:r>
      <w:r>
        <w:rPr>
          <w:rFonts w:hint="eastAsia"/>
        </w:rPr>
        <w:t>过程</w:t>
      </w:r>
      <w:r>
        <w:t>、</w:t>
      </w:r>
      <w:r>
        <w:rPr>
          <w:rFonts w:hint="eastAsia"/>
        </w:rPr>
        <w:t>污水</w:t>
      </w:r>
      <w:r>
        <w:t>处理过程产生的恶臭气体，</w:t>
      </w:r>
      <w:r>
        <w:rPr>
          <w:rFonts w:hint="eastAsia"/>
        </w:rPr>
        <w:t>食堂油烟、</w:t>
      </w:r>
      <w:r>
        <w:t>饲料加工破碎粉尘</w:t>
      </w:r>
      <w:r>
        <w:rPr>
          <w:rFonts w:hint="eastAsia"/>
        </w:rPr>
        <w:t>。</w:t>
      </w:r>
    </w:p>
    <w:p>
      <w:pPr>
        <w:ind w:firstLine="482"/>
        <w:rPr>
          <w:b/>
        </w:rPr>
      </w:pPr>
      <w:r>
        <w:rPr>
          <w:rFonts w:hint="eastAsia"/>
          <w:b/>
        </w:rPr>
        <w:t>1、恶臭</w:t>
      </w:r>
      <w:r>
        <w:rPr>
          <w:b/>
        </w:rPr>
        <w:t>气体</w:t>
      </w:r>
    </w:p>
    <w:p>
      <w:pPr>
        <w:ind w:firstLine="480"/>
      </w:pPr>
      <w:r>
        <w:rPr>
          <w:rFonts w:hint="eastAsia"/>
        </w:rPr>
        <w:t>猪舍内生猪排泄的粪便、尿液等在养殖区（猪舍、粪便储存场、污水处理系统）滞存、周转及处置过程产生的恶臭气体，主要成分为氨、硫化氢以及其他恶臭类气体等，在高温季节尤为明显。产生恶臭异味的原因：饲料中的氨以粪尿的形式排泄出来，在高温下粪便发酵会产生大量的氨和硫化氢等臭味气体；若未及时清除或清除后不及时处理，会产生氨、甲基硫醇、硫化氢等恶臭气体，造成空气中含氧量的相对下降，污浊度升高，降低空气质量。</w:t>
      </w:r>
    </w:p>
    <w:p>
      <w:pPr>
        <w:ind w:firstLine="480"/>
      </w:pPr>
      <w:r>
        <w:rPr>
          <w:rFonts w:hint="eastAsia"/>
        </w:rPr>
        <w:t>据统计养猪场臭气污染属于复合型污染，包括氨气、硫化氢、硫醇、三甲基胺、硫化甲基以及粪臭素等各种含氮或含硫之有机成份，污染物成份十分复杂，畜舍内可能存在的臭味化合物不少于168 种，而且臭气污染物对居民的影响程度更多的是人的一种主观感受，</w:t>
      </w:r>
      <w:r>
        <w:t>本环评废气以NH</w:t>
      </w:r>
      <w:r>
        <w:rPr>
          <w:vertAlign w:val="subscript"/>
        </w:rPr>
        <w:t>3</w:t>
      </w:r>
      <w:r>
        <w:t>和H</w:t>
      </w:r>
      <w:r>
        <w:rPr>
          <w:vertAlign w:val="subscript"/>
        </w:rPr>
        <w:t>2</w:t>
      </w:r>
      <w:r>
        <w:t>S为标准，其主要恶臭物质的理化性质见</w:t>
      </w:r>
      <w:r>
        <w:rPr>
          <w:rFonts w:hint="eastAsia"/>
        </w:rPr>
        <w:t>表3.3-1。</w:t>
      </w:r>
    </w:p>
    <w:p>
      <w:pPr>
        <w:pStyle w:val="41"/>
      </w:pPr>
      <w:bookmarkStart w:id="91" w:name="_Ref37162519"/>
      <w:r>
        <w:rPr>
          <w:rFonts w:hint="eastAsia"/>
          <w:szCs w:val="21"/>
        </w:rPr>
        <w:t>表</w:t>
      </w:r>
      <w:r>
        <w:rPr>
          <w:szCs w:val="21"/>
        </w:rPr>
        <w:fldChar w:fldCharType="begin"/>
      </w:r>
      <w:r>
        <w:rPr>
          <w:rFonts w:hint="eastAsia"/>
          <w:szCs w:val="21"/>
        </w:rPr>
        <w:instrText xml:space="preserve">STYLEREF 2 \s</w:instrText>
      </w:r>
      <w:r>
        <w:rPr>
          <w:szCs w:val="21"/>
        </w:rPr>
        <w:fldChar w:fldCharType="separate"/>
      </w:r>
      <w:r>
        <w:rPr>
          <w:szCs w:val="21"/>
        </w:rPr>
        <w:t>3.3</w:t>
      </w:r>
      <w:r>
        <w:rPr>
          <w:szCs w:val="21"/>
        </w:rPr>
        <w:fldChar w:fldCharType="end"/>
      </w:r>
      <w:r>
        <w:rPr>
          <w:szCs w:val="21"/>
        </w:rPr>
        <w:noBreakHyphen/>
      </w:r>
      <w:r>
        <w:rPr>
          <w:szCs w:val="21"/>
        </w:rPr>
        <w:fldChar w:fldCharType="begin"/>
      </w:r>
      <w:r>
        <w:rPr>
          <w:rFonts w:hint="eastAsia"/>
          <w:szCs w:val="21"/>
        </w:rPr>
        <w:instrText xml:space="preserve">SEQ 表 \* ARABIC \s 2</w:instrText>
      </w:r>
      <w:r>
        <w:rPr>
          <w:szCs w:val="21"/>
        </w:rPr>
        <w:fldChar w:fldCharType="separate"/>
      </w:r>
      <w:r>
        <w:rPr>
          <w:szCs w:val="21"/>
        </w:rPr>
        <w:t>1</w:t>
      </w:r>
      <w:r>
        <w:rPr>
          <w:szCs w:val="21"/>
        </w:rPr>
        <w:fldChar w:fldCharType="end"/>
      </w:r>
      <w:bookmarkEnd w:id="91"/>
      <w:r>
        <w:rPr>
          <w:szCs w:val="21"/>
        </w:rPr>
        <w:t xml:space="preserve">  </w:t>
      </w:r>
      <w:r>
        <w:rPr>
          <w:rFonts w:hint="eastAsia" w:ascii="宋体" w:hAnsi="宋体" w:eastAsia="宋体" w:cs="宋体"/>
        </w:rPr>
        <w:t>恶臭物质理化性质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2049"/>
        <w:gridCol w:w="2225"/>
        <w:gridCol w:w="2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93" w:type="dxa"/>
            <w:vAlign w:val="center"/>
          </w:tcPr>
          <w:p>
            <w:pPr>
              <w:pStyle w:val="89"/>
            </w:pPr>
            <w:r>
              <w:t>恶臭物质</w:t>
            </w:r>
          </w:p>
        </w:tc>
        <w:tc>
          <w:tcPr>
            <w:tcW w:w="2049" w:type="dxa"/>
            <w:vAlign w:val="center"/>
          </w:tcPr>
          <w:p>
            <w:pPr>
              <w:pStyle w:val="89"/>
            </w:pPr>
            <w:r>
              <w:t>分子式</w:t>
            </w:r>
          </w:p>
        </w:tc>
        <w:tc>
          <w:tcPr>
            <w:tcW w:w="2225" w:type="dxa"/>
            <w:vAlign w:val="center"/>
          </w:tcPr>
          <w:p>
            <w:pPr>
              <w:pStyle w:val="89"/>
            </w:pPr>
            <w:r>
              <w:t>嗅阈值</w:t>
            </w:r>
            <w:r>
              <w:rPr>
                <w:rFonts w:hint="eastAsia"/>
              </w:rPr>
              <w:t>（</w:t>
            </w:r>
            <w:r>
              <w:t>ppm</w:t>
            </w:r>
            <w:r>
              <w:rPr>
                <w:rFonts w:hint="eastAsia"/>
              </w:rPr>
              <w:t>）</w:t>
            </w:r>
          </w:p>
        </w:tc>
        <w:tc>
          <w:tcPr>
            <w:tcW w:w="2215" w:type="dxa"/>
            <w:vAlign w:val="center"/>
          </w:tcPr>
          <w:p>
            <w:pPr>
              <w:pStyle w:val="89"/>
            </w:pPr>
            <w:r>
              <w:t>臭气特征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93" w:type="dxa"/>
            <w:vAlign w:val="center"/>
          </w:tcPr>
          <w:p>
            <w:pPr>
              <w:pStyle w:val="89"/>
            </w:pPr>
            <w:r>
              <w:t>氨</w:t>
            </w:r>
          </w:p>
        </w:tc>
        <w:tc>
          <w:tcPr>
            <w:tcW w:w="2049" w:type="dxa"/>
            <w:vAlign w:val="center"/>
          </w:tcPr>
          <w:p>
            <w:pPr>
              <w:pStyle w:val="89"/>
            </w:pPr>
            <w:r>
              <w:t>NH</w:t>
            </w:r>
            <w:r>
              <w:rPr>
                <w:vertAlign w:val="subscript"/>
              </w:rPr>
              <w:t>3</w:t>
            </w:r>
          </w:p>
        </w:tc>
        <w:tc>
          <w:tcPr>
            <w:tcW w:w="2225" w:type="dxa"/>
            <w:vAlign w:val="center"/>
          </w:tcPr>
          <w:p>
            <w:pPr>
              <w:pStyle w:val="89"/>
            </w:pPr>
            <w:r>
              <w:t>1.54</w:t>
            </w:r>
          </w:p>
        </w:tc>
        <w:tc>
          <w:tcPr>
            <w:tcW w:w="2215" w:type="dxa"/>
            <w:vAlign w:val="center"/>
          </w:tcPr>
          <w:p>
            <w:pPr>
              <w:pStyle w:val="89"/>
            </w:pPr>
            <w:r>
              <w:t>刺激味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93" w:type="dxa"/>
            <w:vAlign w:val="center"/>
          </w:tcPr>
          <w:p>
            <w:pPr>
              <w:pStyle w:val="89"/>
            </w:pPr>
            <w:r>
              <w:t>硫化氢</w:t>
            </w:r>
          </w:p>
        </w:tc>
        <w:tc>
          <w:tcPr>
            <w:tcW w:w="2049" w:type="dxa"/>
            <w:vAlign w:val="center"/>
          </w:tcPr>
          <w:p>
            <w:pPr>
              <w:pStyle w:val="89"/>
            </w:pPr>
            <w:r>
              <w:t>H</w:t>
            </w:r>
            <w:r>
              <w:rPr>
                <w:vertAlign w:val="subscript"/>
              </w:rPr>
              <w:t>2</w:t>
            </w:r>
            <w:r>
              <w:t>S</w:t>
            </w:r>
          </w:p>
        </w:tc>
        <w:tc>
          <w:tcPr>
            <w:tcW w:w="2225" w:type="dxa"/>
            <w:vAlign w:val="center"/>
          </w:tcPr>
          <w:p>
            <w:pPr>
              <w:pStyle w:val="89"/>
            </w:pPr>
            <w:r>
              <w:t>0.0041</w:t>
            </w:r>
          </w:p>
        </w:tc>
        <w:tc>
          <w:tcPr>
            <w:tcW w:w="2215" w:type="dxa"/>
            <w:vAlign w:val="center"/>
          </w:tcPr>
          <w:p>
            <w:pPr>
              <w:pStyle w:val="89"/>
            </w:pPr>
            <w:r>
              <w:t>臭蛋味</w:t>
            </w:r>
          </w:p>
        </w:tc>
      </w:tr>
    </w:tbl>
    <w:p>
      <w:pPr>
        <w:ind w:firstLine="480"/>
      </w:pPr>
      <w:r>
        <w:rPr>
          <w:rFonts w:hint="eastAsia"/>
        </w:rPr>
        <w:t>（1）养殖区臭气源强</w:t>
      </w:r>
      <w:r>
        <w:t>分析</w:t>
      </w:r>
    </w:p>
    <w:p>
      <w:pPr>
        <w:ind w:firstLine="480"/>
      </w:pPr>
      <w:r>
        <w:rPr>
          <w:rFonts w:hint="eastAsia"/>
        </w:rPr>
        <w:t>猪舍</w:t>
      </w:r>
      <w:r>
        <w:t>NH</w:t>
      </w:r>
      <w:r>
        <w:rPr>
          <w:vertAlign w:val="subscript"/>
        </w:rPr>
        <w:t>3</w:t>
      </w:r>
      <w:r>
        <w:rPr>
          <w:rFonts w:hint="eastAsia"/>
        </w:rPr>
        <w:t>和</w:t>
      </w:r>
      <w:r>
        <w:t>H</w:t>
      </w:r>
      <w:r>
        <w:rPr>
          <w:vertAlign w:val="subscript"/>
        </w:rPr>
        <w:t>2</w:t>
      </w:r>
      <w:r>
        <w:t>S</w:t>
      </w:r>
      <w:r>
        <w:rPr>
          <w:rFonts w:hint="eastAsia"/>
        </w:rPr>
        <w:t>的排放强度受到许多因素的影响，包括生产工艺、气温、湿度、猪群种类、室内排风情况以及粪便的堆积时间等。</w:t>
      </w:r>
    </w:p>
    <w:p>
      <w:pPr>
        <w:pStyle w:val="15"/>
        <w:spacing w:after="60" w:line="360" w:lineRule="auto"/>
        <w:ind w:firstLine="480" w:firstLineChars="200"/>
        <w:contextualSpacing/>
        <w:rPr>
          <w:rFonts w:ascii="Times New Roman" w:hAnsi="Times New Roman"/>
          <w:sz w:val="24"/>
        </w:rPr>
      </w:pPr>
      <w:r>
        <w:rPr>
          <w:rFonts w:ascii="Times New Roman" w:hAnsi="Times New Roman"/>
          <w:sz w:val="24"/>
        </w:rPr>
        <w:t>据《养猪场恶臭影响量化分析及控制对策研究》（孙艳青、张潞、李万庆，天津市环境影响评价中心，2010 年）的研究资料及类比调查，养猪场猪舍NH</w:t>
      </w:r>
      <w:r>
        <w:rPr>
          <w:rFonts w:ascii="Times New Roman" w:hAnsi="Times New Roman"/>
          <w:sz w:val="24"/>
          <w:vertAlign w:val="subscript"/>
        </w:rPr>
        <w:t>3</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 浓度分布特征是：厂区内地点浓度差异显著，生产区中心部位高于下风向；不同季节的氨气浓度则表现为，春季显著高于冬、夏两季。猪舍的NH</w:t>
      </w:r>
      <w:r>
        <w:rPr>
          <w:rFonts w:ascii="Times New Roman" w:hAnsi="Times New Roman"/>
          <w:sz w:val="24"/>
          <w:vertAlign w:val="subscript"/>
        </w:rPr>
        <w:t>3</w:t>
      </w:r>
      <w:r>
        <w:rPr>
          <w:rFonts w:ascii="Times New Roman" w:hAnsi="Times New Roman"/>
          <w:sz w:val="24"/>
        </w:rPr>
        <w:t>、H</w:t>
      </w:r>
      <w:r>
        <w:rPr>
          <w:rFonts w:ascii="Times New Roman" w:hAnsi="Times New Roman"/>
          <w:sz w:val="24"/>
          <w:vertAlign w:val="subscript"/>
        </w:rPr>
        <w:t>2</w:t>
      </w:r>
      <w:r>
        <w:rPr>
          <w:rFonts w:ascii="Times New Roman" w:hAnsi="Times New Roman"/>
          <w:sz w:val="24"/>
        </w:rPr>
        <w:t>S 的排放强度受到许多因素的影响，包括生产工艺、气温、湿度、猪群种类、室内排风情况以及粪便的堆积时间等。</w:t>
      </w:r>
    </w:p>
    <w:p>
      <w:pPr>
        <w:pStyle w:val="15"/>
        <w:spacing w:after="60" w:line="360" w:lineRule="auto"/>
        <w:ind w:firstLine="480" w:firstLineChars="200"/>
        <w:contextualSpacing/>
        <w:rPr>
          <w:rFonts w:ascii="Times New Roman" w:hAnsi="Times New Roman"/>
          <w:sz w:val="24"/>
        </w:rPr>
      </w:pPr>
      <w:r>
        <w:rPr>
          <w:rFonts w:ascii="Times New Roman" w:hAnsi="Times New Roman"/>
          <w:sz w:val="24"/>
        </w:rPr>
        <w:t>根据猪舍浓度、空间大小及排风强度，经对猪的NH</w:t>
      </w:r>
      <w:r>
        <w:rPr>
          <w:rFonts w:ascii="Times New Roman" w:hAnsi="Times New Roman"/>
          <w:sz w:val="24"/>
          <w:vertAlign w:val="subscript"/>
        </w:rPr>
        <w:t>3</w:t>
      </w:r>
      <w:r>
        <w:rPr>
          <w:rFonts w:ascii="Times New Roman" w:hAnsi="Times New Roman"/>
          <w:sz w:val="24"/>
        </w:rPr>
        <w:t>排放量统计，公猪的氨气排放量为5.3g/（头·d），母猪的氨气排放量为5.3g/（头·d），</w:t>
      </w:r>
      <w:r>
        <w:rPr>
          <w:rFonts w:hint="eastAsia" w:ascii="Times New Roman" w:hAnsi="Times New Roman"/>
          <w:sz w:val="24"/>
        </w:rPr>
        <w:t>保育猪</w:t>
      </w:r>
      <w:r>
        <w:rPr>
          <w:rFonts w:ascii="Times New Roman" w:hAnsi="Times New Roman"/>
          <w:sz w:val="24"/>
        </w:rPr>
        <w:t>的氨气排放量为</w:t>
      </w:r>
      <w:r>
        <w:rPr>
          <w:rFonts w:hint="eastAsia" w:ascii="Times New Roman" w:hAnsi="Times New Roman"/>
          <w:sz w:val="24"/>
        </w:rPr>
        <w:t>0.8</w:t>
      </w:r>
      <w:r>
        <w:rPr>
          <w:rFonts w:ascii="Times New Roman" w:hAnsi="Times New Roman"/>
          <w:sz w:val="24"/>
        </w:rPr>
        <w:t>~1.1 g/（头·d）</w:t>
      </w:r>
      <w:r>
        <w:rPr>
          <w:rFonts w:hint="eastAsia" w:ascii="Times New Roman" w:hAnsi="Times New Roman"/>
          <w:sz w:val="24"/>
        </w:rPr>
        <w:t>，</w:t>
      </w:r>
      <w:r>
        <w:rPr>
          <w:rFonts w:ascii="Times New Roman" w:hAnsi="Times New Roman"/>
          <w:sz w:val="24"/>
        </w:rPr>
        <w:t>育肥猪的氨气排放量为1.9~2.1g/（头·d），排放强度随气温增加而增加，受排风影响则较小。经对猪舍H</w:t>
      </w:r>
      <w:r>
        <w:rPr>
          <w:rFonts w:ascii="Times New Roman" w:hAnsi="Times New Roman"/>
          <w:sz w:val="24"/>
          <w:vertAlign w:val="subscript"/>
        </w:rPr>
        <w:t>2</w:t>
      </w:r>
      <w:r>
        <w:rPr>
          <w:rFonts w:ascii="Times New Roman" w:hAnsi="Times New Roman"/>
          <w:sz w:val="24"/>
        </w:rPr>
        <w:t>S 气体的排放强度统计，公猪的硫化氢排放量为0.5g/（头·d），母猪的硫化氢排放量为0.8g/（头·d），</w:t>
      </w:r>
      <w:r>
        <w:rPr>
          <w:rFonts w:hint="eastAsia" w:ascii="Times New Roman" w:hAnsi="Times New Roman"/>
          <w:sz w:val="24"/>
        </w:rPr>
        <w:t>保育猪硫化氢</w:t>
      </w:r>
      <w:r>
        <w:rPr>
          <w:rFonts w:ascii="Times New Roman" w:hAnsi="Times New Roman"/>
          <w:sz w:val="24"/>
        </w:rPr>
        <w:t>排放量</w:t>
      </w:r>
      <w:r>
        <w:rPr>
          <w:rFonts w:hint="eastAsia" w:ascii="Times New Roman" w:hAnsi="Times New Roman"/>
          <w:sz w:val="24"/>
        </w:rPr>
        <w:t>为0.25</w:t>
      </w:r>
      <w:r>
        <w:rPr>
          <w:rFonts w:ascii="Times New Roman" w:hAnsi="Times New Roman"/>
          <w:sz w:val="24"/>
        </w:rPr>
        <w:t xml:space="preserve"> g/（头·d）</w:t>
      </w:r>
      <w:r>
        <w:rPr>
          <w:rFonts w:hint="eastAsia" w:ascii="Times New Roman" w:hAnsi="Times New Roman"/>
          <w:sz w:val="24"/>
        </w:rPr>
        <w:t>，</w:t>
      </w:r>
      <w:r>
        <w:rPr>
          <w:rFonts w:ascii="Times New Roman" w:hAnsi="Times New Roman"/>
          <w:sz w:val="24"/>
        </w:rPr>
        <w:t>育肥猪的硫化氢排放量为0.3g/（头·d）。</w:t>
      </w:r>
      <w:r>
        <w:rPr>
          <w:rFonts w:hint="eastAsia" w:ascii="Times New Roman" w:hAnsi="Times New Roman"/>
          <w:sz w:val="24"/>
        </w:rPr>
        <w:t>一般养殖</w:t>
      </w:r>
      <w:r>
        <w:rPr>
          <w:rFonts w:ascii="Times New Roman" w:hAnsi="Times New Roman"/>
          <w:sz w:val="24"/>
        </w:rPr>
        <w:t>过程中恶臭产生情</w:t>
      </w:r>
      <w:r>
        <w:rPr>
          <w:rFonts w:hint="eastAsia" w:ascii="Times New Roman" w:hAnsi="Times New Roman"/>
          <w:sz w:val="24"/>
        </w:rPr>
        <w:t>况见表3.3-2</w:t>
      </w:r>
      <w:r>
        <w:rPr>
          <w:rFonts w:ascii="Times New Roman" w:hAnsi="Times New Roman"/>
          <w:sz w:val="24"/>
        </w:rPr>
        <w:t>。</w:t>
      </w:r>
    </w:p>
    <w:p>
      <w:pPr>
        <w:pStyle w:val="41"/>
        <w:rPr>
          <w:szCs w:val="21"/>
        </w:rPr>
      </w:pPr>
      <w:bookmarkStart w:id="92" w:name="_Ref40094741"/>
      <w:r>
        <w:rPr>
          <w:rFonts w:hint="eastAsia" w:ascii="宋体" w:hAnsi="宋体" w:eastAsia="宋体" w:cs="宋体"/>
          <w:szCs w:val="21"/>
        </w:rPr>
        <w:t>表</w:t>
      </w:r>
      <w:bookmarkEnd w:id="92"/>
      <w:r>
        <w:rPr>
          <w:rFonts w:hint="eastAsia" w:eastAsiaTheme="minorEastAsia"/>
          <w:szCs w:val="21"/>
        </w:rPr>
        <w:t xml:space="preserve">3.3-2 </w:t>
      </w:r>
      <w:r>
        <w:rPr>
          <w:rFonts w:hint="eastAsia" w:ascii="宋体" w:hAnsi="宋体" w:eastAsia="宋体" w:cs="宋体"/>
          <w:szCs w:val="21"/>
        </w:rPr>
        <w:t xml:space="preserve">一般养殖过程中猪舍恶臭产生源强 </w:t>
      </w:r>
      <w:r>
        <w:t>（g/头·d）</w:t>
      </w:r>
    </w:p>
    <w:tbl>
      <w:tblPr>
        <w:tblStyle w:val="28"/>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2761"/>
        <w:gridCol w:w="2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60" w:type="dxa"/>
            <w:vAlign w:val="center"/>
          </w:tcPr>
          <w:p>
            <w:pPr>
              <w:pStyle w:val="84"/>
              <w:rPr>
                <w:rStyle w:val="80"/>
                <w:sz w:val="21"/>
                <w:szCs w:val="21"/>
              </w:rPr>
            </w:pPr>
            <w:r>
              <w:rPr>
                <w:rStyle w:val="80"/>
                <w:rFonts w:hint="eastAsia"/>
                <w:sz w:val="21"/>
                <w:szCs w:val="21"/>
              </w:rPr>
              <w:t>猪种类</w:t>
            </w:r>
          </w:p>
        </w:tc>
        <w:tc>
          <w:tcPr>
            <w:tcW w:w="2761" w:type="dxa"/>
            <w:vAlign w:val="center"/>
          </w:tcPr>
          <w:p>
            <w:pPr>
              <w:pStyle w:val="84"/>
              <w:rPr>
                <w:rStyle w:val="80"/>
                <w:sz w:val="21"/>
                <w:szCs w:val="21"/>
              </w:rPr>
            </w:pPr>
            <w:r>
              <w:rPr>
                <w:rStyle w:val="80"/>
                <w:rFonts w:hint="eastAsia"/>
                <w:sz w:val="21"/>
                <w:szCs w:val="21"/>
              </w:rPr>
              <w:t>NH</w:t>
            </w:r>
            <w:r>
              <w:rPr>
                <w:rStyle w:val="80"/>
                <w:rFonts w:hint="eastAsia"/>
                <w:sz w:val="21"/>
                <w:szCs w:val="21"/>
                <w:vertAlign w:val="subscript"/>
              </w:rPr>
              <w:t>3</w:t>
            </w:r>
            <w:r>
              <w:rPr>
                <w:rStyle w:val="80"/>
                <w:rFonts w:hint="eastAsia"/>
                <w:sz w:val="21"/>
                <w:szCs w:val="21"/>
              </w:rPr>
              <w:t>产生</w:t>
            </w:r>
            <w:r>
              <w:rPr>
                <w:rStyle w:val="80"/>
                <w:sz w:val="21"/>
                <w:szCs w:val="21"/>
              </w:rPr>
              <w:t>系数</w:t>
            </w:r>
          </w:p>
        </w:tc>
        <w:tc>
          <w:tcPr>
            <w:tcW w:w="2761" w:type="dxa"/>
            <w:vAlign w:val="center"/>
          </w:tcPr>
          <w:p>
            <w:pPr>
              <w:pStyle w:val="84"/>
              <w:rPr>
                <w:rStyle w:val="80"/>
                <w:sz w:val="21"/>
                <w:szCs w:val="21"/>
              </w:rPr>
            </w:pPr>
            <w:r>
              <w:rPr>
                <w:rStyle w:val="80"/>
                <w:rFonts w:hint="eastAsia"/>
                <w:sz w:val="21"/>
                <w:szCs w:val="21"/>
              </w:rPr>
              <w:t>H</w:t>
            </w:r>
            <w:r>
              <w:rPr>
                <w:rStyle w:val="80"/>
                <w:rFonts w:hint="eastAsia"/>
                <w:sz w:val="21"/>
                <w:szCs w:val="21"/>
                <w:vertAlign w:val="subscript"/>
              </w:rPr>
              <w:t>2</w:t>
            </w:r>
            <w:r>
              <w:rPr>
                <w:rStyle w:val="80"/>
                <w:rFonts w:hint="eastAsia"/>
                <w:sz w:val="21"/>
                <w:szCs w:val="21"/>
              </w:rPr>
              <w:t>S</w:t>
            </w:r>
            <w:r>
              <w:rPr>
                <w:rStyle w:val="80"/>
                <w:sz w:val="21"/>
                <w:szCs w:val="21"/>
              </w:rPr>
              <w:t>产生系数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60" w:type="dxa"/>
            <w:vAlign w:val="center"/>
          </w:tcPr>
          <w:p>
            <w:pPr>
              <w:pStyle w:val="84"/>
              <w:rPr>
                <w:rStyle w:val="80"/>
                <w:sz w:val="21"/>
                <w:szCs w:val="21"/>
              </w:rPr>
            </w:pPr>
            <w:r>
              <w:rPr>
                <w:rStyle w:val="80"/>
                <w:rFonts w:hint="eastAsia"/>
                <w:sz w:val="21"/>
                <w:szCs w:val="21"/>
              </w:rPr>
              <w:t>母猪</w:t>
            </w:r>
          </w:p>
        </w:tc>
        <w:tc>
          <w:tcPr>
            <w:tcW w:w="2761" w:type="dxa"/>
            <w:vAlign w:val="center"/>
          </w:tcPr>
          <w:p>
            <w:pPr>
              <w:pStyle w:val="84"/>
              <w:rPr>
                <w:rStyle w:val="80"/>
                <w:sz w:val="21"/>
                <w:szCs w:val="21"/>
              </w:rPr>
            </w:pPr>
            <w:r>
              <w:rPr>
                <w:rStyle w:val="80"/>
                <w:rFonts w:hint="eastAsia"/>
                <w:sz w:val="21"/>
                <w:szCs w:val="21"/>
              </w:rPr>
              <w:t>5.3</w:t>
            </w:r>
          </w:p>
        </w:tc>
        <w:tc>
          <w:tcPr>
            <w:tcW w:w="2761" w:type="dxa"/>
            <w:vAlign w:val="center"/>
          </w:tcPr>
          <w:p>
            <w:pPr>
              <w:pStyle w:val="84"/>
              <w:rPr>
                <w:rStyle w:val="80"/>
                <w:sz w:val="21"/>
                <w:szCs w:val="21"/>
              </w:rPr>
            </w:pPr>
            <w:r>
              <w:rPr>
                <w:rStyle w:val="80"/>
                <w:rFonts w:hint="eastAsia"/>
                <w:sz w:val="21"/>
                <w:szCs w:val="21"/>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60" w:type="dxa"/>
            <w:vAlign w:val="center"/>
          </w:tcPr>
          <w:p>
            <w:pPr>
              <w:pStyle w:val="84"/>
              <w:rPr>
                <w:rStyle w:val="80"/>
                <w:sz w:val="21"/>
                <w:szCs w:val="21"/>
              </w:rPr>
            </w:pPr>
            <w:r>
              <w:rPr>
                <w:rStyle w:val="80"/>
                <w:rFonts w:hint="eastAsia"/>
                <w:sz w:val="21"/>
                <w:szCs w:val="21"/>
              </w:rPr>
              <w:t>公猪</w:t>
            </w:r>
          </w:p>
        </w:tc>
        <w:tc>
          <w:tcPr>
            <w:tcW w:w="2761" w:type="dxa"/>
            <w:vAlign w:val="center"/>
          </w:tcPr>
          <w:p>
            <w:pPr>
              <w:pStyle w:val="84"/>
              <w:rPr>
                <w:rStyle w:val="80"/>
                <w:sz w:val="21"/>
                <w:szCs w:val="21"/>
              </w:rPr>
            </w:pPr>
            <w:r>
              <w:rPr>
                <w:rStyle w:val="80"/>
                <w:rFonts w:hint="eastAsia"/>
                <w:sz w:val="21"/>
                <w:szCs w:val="21"/>
              </w:rPr>
              <w:t>5.3</w:t>
            </w:r>
          </w:p>
        </w:tc>
        <w:tc>
          <w:tcPr>
            <w:tcW w:w="2761" w:type="dxa"/>
            <w:vAlign w:val="center"/>
          </w:tcPr>
          <w:p>
            <w:pPr>
              <w:pStyle w:val="84"/>
              <w:rPr>
                <w:rStyle w:val="80"/>
                <w:sz w:val="21"/>
                <w:szCs w:val="21"/>
              </w:rPr>
            </w:pPr>
            <w:r>
              <w:rPr>
                <w:rStyle w:val="80"/>
                <w:rFonts w:hint="eastAsia"/>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60" w:type="dxa"/>
            <w:vAlign w:val="center"/>
          </w:tcPr>
          <w:p>
            <w:pPr>
              <w:pStyle w:val="84"/>
              <w:rPr>
                <w:rStyle w:val="80"/>
                <w:sz w:val="21"/>
                <w:szCs w:val="21"/>
              </w:rPr>
            </w:pPr>
            <w:r>
              <w:rPr>
                <w:rStyle w:val="80"/>
                <w:rFonts w:hint="eastAsia"/>
                <w:sz w:val="21"/>
                <w:szCs w:val="21"/>
              </w:rPr>
              <w:t>保育猪</w:t>
            </w:r>
          </w:p>
        </w:tc>
        <w:tc>
          <w:tcPr>
            <w:tcW w:w="2761" w:type="dxa"/>
            <w:vAlign w:val="center"/>
          </w:tcPr>
          <w:p>
            <w:pPr>
              <w:pStyle w:val="84"/>
              <w:rPr>
                <w:rStyle w:val="80"/>
                <w:sz w:val="21"/>
                <w:szCs w:val="21"/>
              </w:rPr>
            </w:pPr>
            <w:r>
              <w:rPr>
                <w:rStyle w:val="80"/>
                <w:rFonts w:hint="eastAsia"/>
                <w:sz w:val="21"/>
                <w:szCs w:val="21"/>
              </w:rPr>
              <w:t>0.95</w:t>
            </w:r>
          </w:p>
        </w:tc>
        <w:tc>
          <w:tcPr>
            <w:tcW w:w="2761" w:type="dxa"/>
            <w:vAlign w:val="center"/>
          </w:tcPr>
          <w:p>
            <w:pPr>
              <w:pStyle w:val="84"/>
              <w:rPr>
                <w:rStyle w:val="80"/>
                <w:sz w:val="21"/>
                <w:szCs w:val="21"/>
              </w:rPr>
            </w:pPr>
            <w:r>
              <w:rPr>
                <w:rStyle w:val="80"/>
                <w:rFonts w:hint="eastAsia"/>
                <w:sz w:val="21"/>
                <w:szCs w:val="21"/>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760" w:type="dxa"/>
            <w:vAlign w:val="center"/>
          </w:tcPr>
          <w:p>
            <w:pPr>
              <w:pStyle w:val="84"/>
              <w:rPr>
                <w:rStyle w:val="80"/>
                <w:sz w:val="21"/>
                <w:szCs w:val="21"/>
              </w:rPr>
            </w:pPr>
            <w:r>
              <w:rPr>
                <w:rStyle w:val="80"/>
                <w:rFonts w:hint="eastAsia"/>
                <w:sz w:val="21"/>
                <w:szCs w:val="21"/>
              </w:rPr>
              <w:t>育肥猪</w:t>
            </w:r>
          </w:p>
        </w:tc>
        <w:tc>
          <w:tcPr>
            <w:tcW w:w="2761" w:type="dxa"/>
            <w:vAlign w:val="center"/>
          </w:tcPr>
          <w:p>
            <w:pPr>
              <w:pStyle w:val="84"/>
              <w:rPr>
                <w:rStyle w:val="80"/>
                <w:sz w:val="21"/>
                <w:szCs w:val="21"/>
              </w:rPr>
            </w:pPr>
            <w:r>
              <w:rPr>
                <w:rStyle w:val="80"/>
                <w:rFonts w:hint="eastAsia"/>
                <w:sz w:val="21"/>
                <w:szCs w:val="21"/>
              </w:rPr>
              <w:t>2.0</w:t>
            </w:r>
          </w:p>
        </w:tc>
        <w:tc>
          <w:tcPr>
            <w:tcW w:w="2761" w:type="dxa"/>
            <w:vAlign w:val="center"/>
          </w:tcPr>
          <w:p>
            <w:pPr>
              <w:pStyle w:val="84"/>
              <w:rPr>
                <w:rStyle w:val="80"/>
                <w:sz w:val="21"/>
                <w:szCs w:val="21"/>
              </w:rPr>
            </w:pPr>
            <w:r>
              <w:rPr>
                <w:rStyle w:val="80"/>
                <w:rFonts w:hint="eastAsia"/>
                <w:sz w:val="21"/>
                <w:szCs w:val="21"/>
              </w:rPr>
              <w:t>0.3</w:t>
            </w:r>
          </w:p>
        </w:tc>
      </w:tr>
    </w:tbl>
    <w:p>
      <w:pPr>
        <w:autoSpaceDE w:val="0"/>
        <w:autoSpaceDN w:val="0"/>
        <w:snapToGrid/>
        <w:ind w:firstLine="480"/>
        <w:rPr>
          <w:szCs w:val="24"/>
        </w:rPr>
      </w:pPr>
      <w:r>
        <w:rPr>
          <w:rFonts w:hint="eastAsia"/>
          <w:szCs w:val="24"/>
        </w:rPr>
        <w:t>猪舍养殖产生的</w:t>
      </w:r>
      <w:r>
        <w:rPr>
          <w:szCs w:val="24"/>
        </w:rPr>
        <w:t>NH</w:t>
      </w:r>
      <w:r>
        <w:rPr>
          <w:szCs w:val="24"/>
          <w:vertAlign w:val="subscript"/>
        </w:rPr>
        <w:t>3</w:t>
      </w:r>
      <w:r>
        <w:rPr>
          <w:szCs w:val="24"/>
        </w:rPr>
        <w:t>和H</w:t>
      </w:r>
      <w:r>
        <w:rPr>
          <w:szCs w:val="24"/>
          <w:vertAlign w:val="subscript"/>
        </w:rPr>
        <w:t>2</w:t>
      </w:r>
      <w:r>
        <w:rPr>
          <w:szCs w:val="24"/>
        </w:rPr>
        <w:t>S</w:t>
      </w:r>
      <w:r>
        <w:rPr>
          <w:rFonts w:hint="eastAsia"/>
          <w:szCs w:val="24"/>
        </w:rPr>
        <w:t>多附着在猪粪、猪尿内，根据《恶臭的评价与分析（第一版）》（沈培明、陈正夫、张东平等）可知，猪舍中粪尿的</w:t>
      </w:r>
      <w:r>
        <w:rPr>
          <w:szCs w:val="24"/>
        </w:rPr>
        <w:t>NH</w:t>
      </w:r>
      <w:r>
        <w:rPr>
          <w:szCs w:val="24"/>
          <w:vertAlign w:val="subscript"/>
        </w:rPr>
        <w:t>3</w:t>
      </w:r>
      <w:r>
        <w:rPr>
          <w:szCs w:val="24"/>
        </w:rPr>
        <w:t>和H</w:t>
      </w:r>
      <w:r>
        <w:rPr>
          <w:szCs w:val="24"/>
          <w:vertAlign w:val="subscript"/>
        </w:rPr>
        <w:t>2</w:t>
      </w:r>
      <w:r>
        <w:rPr>
          <w:szCs w:val="24"/>
        </w:rPr>
        <w:t>S</w:t>
      </w:r>
      <w:r>
        <w:rPr>
          <w:rFonts w:hint="eastAsia"/>
          <w:szCs w:val="24"/>
        </w:rPr>
        <w:t>挥发系数为15%左右，在猪舍管理得当时转化率不大于10%，本次评价按10%计算，则挥发的气态</w:t>
      </w:r>
      <w:r>
        <w:rPr>
          <w:szCs w:val="24"/>
        </w:rPr>
        <w:t>NH</w:t>
      </w:r>
      <w:r>
        <w:rPr>
          <w:szCs w:val="24"/>
          <w:vertAlign w:val="subscript"/>
        </w:rPr>
        <w:t>3</w:t>
      </w:r>
      <w:r>
        <w:rPr>
          <w:rFonts w:hint="eastAsia"/>
          <w:szCs w:val="24"/>
        </w:rPr>
        <w:t>、</w:t>
      </w:r>
      <w:r>
        <w:rPr>
          <w:szCs w:val="24"/>
        </w:rPr>
        <w:t>H</w:t>
      </w:r>
      <w:r>
        <w:rPr>
          <w:szCs w:val="24"/>
          <w:vertAlign w:val="subscript"/>
        </w:rPr>
        <w:t>2</w:t>
      </w:r>
      <w:r>
        <w:rPr>
          <w:szCs w:val="24"/>
        </w:rPr>
        <w:t>S</w:t>
      </w:r>
      <w:r>
        <w:rPr>
          <w:rFonts w:hint="eastAsia"/>
          <w:szCs w:val="24"/>
        </w:rPr>
        <w:t>产生量分别为</w:t>
      </w:r>
      <w:r>
        <w:rPr>
          <w:szCs w:val="24"/>
        </w:rPr>
        <w:t>0.393t/a、0.064t/a</w:t>
      </w:r>
      <w:r>
        <w:rPr>
          <w:rFonts w:hint="eastAsia"/>
          <w:szCs w:val="24"/>
        </w:rPr>
        <w:t>，产生</w:t>
      </w:r>
      <w:r>
        <w:rPr>
          <w:szCs w:val="24"/>
        </w:rPr>
        <w:t>速率分别约</w:t>
      </w:r>
      <w:r>
        <w:rPr>
          <w:rFonts w:hint="eastAsia"/>
          <w:szCs w:val="24"/>
        </w:rPr>
        <w:t>0.0</w:t>
      </w:r>
      <w:r>
        <w:rPr>
          <w:szCs w:val="24"/>
        </w:rPr>
        <w:t>45</w:t>
      </w:r>
      <w:r>
        <w:rPr>
          <w:rFonts w:hint="eastAsia"/>
          <w:szCs w:val="24"/>
        </w:rPr>
        <w:t>kg/h</w:t>
      </w:r>
      <w:r>
        <w:rPr>
          <w:szCs w:val="24"/>
        </w:rPr>
        <w:t>、</w:t>
      </w:r>
      <w:r>
        <w:rPr>
          <w:rFonts w:hint="eastAsia"/>
          <w:szCs w:val="24"/>
        </w:rPr>
        <w:t>0.007</w:t>
      </w:r>
      <w:r>
        <w:rPr>
          <w:szCs w:val="24"/>
        </w:rPr>
        <w:t>kg/</w:t>
      </w:r>
      <w:r>
        <w:rPr>
          <w:rFonts w:hint="eastAsia"/>
          <w:szCs w:val="24"/>
        </w:rPr>
        <w:t>h</w:t>
      </w:r>
      <w:r>
        <w:rPr>
          <w:szCs w:val="24"/>
        </w:rPr>
        <w:t>。</w:t>
      </w:r>
    </w:p>
    <w:p>
      <w:pPr>
        <w:pStyle w:val="41"/>
        <w:rPr>
          <w:rFonts w:hAnsi="Times New Roman"/>
        </w:rPr>
      </w:pPr>
      <w:bookmarkStart w:id="93" w:name="_Ref37167267"/>
      <w:r>
        <w:rPr>
          <w:rFonts w:hint="eastAsia"/>
          <w:szCs w:val="21"/>
        </w:rPr>
        <w:t>表</w:t>
      </w:r>
      <w:r>
        <w:rPr>
          <w:szCs w:val="21"/>
        </w:rPr>
        <w:fldChar w:fldCharType="begin"/>
      </w:r>
      <w:r>
        <w:rPr>
          <w:rFonts w:hint="eastAsia"/>
          <w:szCs w:val="21"/>
        </w:rPr>
        <w:instrText xml:space="preserve">STYLEREF 2 \s</w:instrText>
      </w:r>
      <w:r>
        <w:rPr>
          <w:szCs w:val="21"/>
        </w:rPr>
        <w:fldChar w:fldCharType="separate"/>
      </w:r>
      <w:r>
        <w:rPr>
          <w:szCs w:val="21"/>
        </w:rPr>
        <w:t>3.3</w:t>
      </w:r>
      <w:r>
        <w:rPr>
          <w:szCs w:val="21"/>
        </w:rPr>
        <w:fldChar w:fldCharType="end"/>
      </w:r>
      <w:r>
        <w:rPr>
          <w:szCs w:val="21"/>
        </w:rPr>
        <w:noBreakHyphen/>
      </w:r>
      <w:bookmarkEnd w:id="93"/>
      <w:r>
        <w:rPr>
          <w:szCs w:val="21"/>
        </w:rPr>
        <w:t xml:space="preserve">3  </w:t>
      </w:r>
      <w:r>
        <w:rPr>
          <w:rFonts w:hAnsi="Times New Roman" w:eastAsia="宋体"/>
        </w:rPr>
        <w:t>项目养殖过程中猪舍恶臭气体产生量一览表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60"/>
        <w:gridCol w:w="989"/>
        <w:gridCol w:w="793"/>
        <w:gridCol w:w="689"/>
        <w:gridCol w:w="846"/>
        <w:gridCol w:w="792"/>
        <w:gridCol w:w="794"/>
        <w:gridCol w:w="794"/>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restart"/>
            <w:vAlign w:val="center"/>
          </w:tcPr>
          <w:p>
            <w:pPr>
              <w:pStyle w:val="84"/>
            </w:pPr>
            <w:r>
              <w:t>序号</w:t>
            </w:r>
          </w:p>
        </w:tc>
        <w:tc>
          <w:tcPr>
            <w:tcW w:w="1260" w:type="dxa"/>
            <w:vMerge w:val="restart"/>
            <w:vAlign w:val="center"/>
          </w:tcPr>
          <w:p>
            <w:pPr>
              <w:pStyle w:val="84"/>
            </w:pPr>
            <w:r>
              <w:rPr>
                <w:rFonts w:hint="eastAsia"/>
              </w:rPr>
              <w:t>位置</w:t>
            </w:r>
          </w:p>
        </w:tc>
        <w:tc>
          <w:tcPr>
            <w:tcW w:w="989" w:type="dxa"/>
            <w:vMerge w:val="restart"/>
            <w:vAlign w:val="center"/>
          </w:tcPr>
          <w:p>
            <w:pPr>
              <w:pStyle w:val="84"/>
            </w:pPr>
            <w:r>
              <w:t>污染源</w:t>
            </w:r>
          </w:p>
        </w:tc>
        <w:tc>
          <w:tcPr>
            <w:tcW w:w="1482" w:type="dxa"/>
            <w:gridSpan w:val="2"/>
            <w:vAlign w:val="center"/>
          </w:tcPr>
          <w:p>
            <w:pPr>
              <w:pStyle w:val="84"/>
            </w:pPr>
            <w:r>
              <w:t>产污系数（g/头·d）</w:t>
            </w:r>
          </w:p>
        </w:tc>
        <w:tc>
          <w:tcPr>
            <w:tcW w:w="846" w:type="dxa"/>
            <w:vMerge w:val="restart"/>
            <w:vAlign w:val="center"/>
          </w:tcPr>
          <w:p>
            <w:pPr>
              <w:pStyle w:val="84"/>
            </w:pPr>
            <w:r>
              <w:t>存栏量（头）</w:t>
            </w:r>
          </w:p>
        </w:tc>
        <w:tc>
          <w:tcPr>
            <w:tcW w:w="1586" w:type="dxa"/>
            <w:gridSpan w:val="2"/>
            <w:vAlign w:val="center"/>
          </w:tcPr>
          <w:p>
            <w:pPr>
              <w:pStyle w:val="84"/>
            </w:pPr>
            <w:r>
              <w:t>产生量（t/a）</w:t>
            </w:r>
          </w:p>
        </w:tc>
        <w:tc>
          <w:tcPr>
            <w:tcW w:w="1693" w:type="dxa"/>
            <w:gridSpan w:val="2"/>
            <w:vAlign w:val="center"/>
          </w:tcPr>
          <w:p>
            <w:pPr>
              <w:pStyle w:val="84"/>
            </w:pPr>
            <w:r>
              <w:rPr>
                <w:rFonts w:hint="eastAsia"/>
              </w:rPr>
              <w:t>产生</w:t>
            </w:r>
            <w:r>
              <w:t>速率（</w:t>
            </w:r>
            <w:r>
              <w:rPr>
                <w:rFonts w:hint="eastAsia"/>
              </w:rPr>
              <w:t>kg/h</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pStyle w:val="84"/>
            </w:pPr>
          </w:p>
        </w:tc>
        <w:tc>
          <w:tcPr>
            <w:tcW w:w="1260" w:type="dxa"/>
            <w:vMerge w:val="continue"/>
            <w:vAlign w:val="center"/>
          </w:tcPr>
          <w:p>
            <w:pPr>
              <w:pStyle w:val="84"/>
            </w:pPr>
          </w:p>
        </w:tc>
        <w:tc>
          <w:tcPr>
            <w:tcW w:w="989" w:type="dxa"/>
            <w:vMerge w:val="continue"/>
            <w:vAlign w:val="center"/>
          </w:tcPr>
          <w:p>
            <w:pPr>
              <w:pStyle w:val="84"/>
            </w:pPr>
          </w:p>
        </w:tc>
        <w:tc>
          <w:tcPr>
            <w:tcW w:w="793" w:type="dxa"/>
            <w:vAlign w:val="center"/>
          </w:tcPr>
          <w:p>
            <w:pPr>
              <w:pStyle w:val="84"/>
            </w:pPr>
            <w:r>
              <w:t>NH</w:t>
            </w:r>
            <w:r>
              <w:rPr>
                <w:vertAlign w:val="subscript"/>
              </w:rPr>
              <w:t>3</w:t>
            </w:r>
          </w:p>
        </w:tc>
        <w:tc>
          <w:tcPr>
            <w:tcW w:w="689" w:type="dxa"/>
            <w:vAlign w:val="center"/>
          </w:tcPr>
          <w:p>
            <w:pPr>
              <w:pStyle w:val="84"/>
            </w:pPr>
            <w:r>
              <w:t>H</w:t>
            </w:r>
            <w:r>
              <w:rPr>
                <w:vertAlign w:val="subscript"/>
              </w:rPr>
              <w:t>2</w:t>
            </w:r>
            <w:r>
              <w:t>S</w:t>
            </w:r>
          </w:p>
        </w:tc>
        <w:tc>
          <w:tcPr>
            <w:tcW w:w="846" w:type="dxa"/>
            <w:vMerge w:val="continue"/>
            <w:vAlign w:val="center"/>
          </w:tcPr>
          <w:p>
            <w:pPr>
              <w:pStyle w:val="84"/>
            </w:pPr>
          </w:p>
        </w:tc>
        <w:tc>
          <w:tcPr>
            <w:tcW w:w="792" w:type="dxa"/>
            <w:vAlign w:val="center"/>
          </w:tcPr>
          <w:p>
            <w:pPr>
              <w:pStyle w:val="84"/>
            </w:pPr>
            <w:r>
              <w:t>NH</w:t>
            </w:r>
            <w:r>
              <w:rPr>
                <w:vertAlign w:val="subscript"/>
              </w:rPr>
              <w:t>3</w:t>
            </w:r>
          </w:p>
        </w:tc>
        <w:tc>
          <w:tcPr>
            <w:tcW w:w="794" w:type="dxa"/>
            <w:vAlign w:val="center"/>
          </w:tcPr>
          <w:p>
            <w:pPr>
              <w:pStyle w:val="84"/>
            </w:pPr>
            <w:r>
              <w:t>H</w:t>
            </w:r>
            <w:r>
              <w:rPr>
                <w:vertAlign w:val="subscript"/>
              </w:rPr>
              <w:t>2</w:t>
            </w:r>
            <w:r>
              <w:t>S</w:t>
            </w:r>
          </w:p>
        </w:tc>
        <w:tc>
          <w:tcPr>
            <w:tcW w:w="794" w:type="dxa"/>
            <w:vAlign w:val="center"/>
          </w:tcPr>
          <w:p>
            <w:pPr>
              <w:pStyle w:val="84"/>
            </w:pPr>
            <w:r>
              <w:t>NH</w:t>
            </w:r>
            <w:r>
              <w:rPr>
                <w:vertAlign w:val="subscript"/>
              </w:rPr>
              <w:t>3</w:t>
            </w:r>
          </w:p>
        </w:tc>
        <w:tc>
          <w:tcPr>
            <w:tcW w:w="899" w:type="dxa"/>
            <w:vAlign w:val="center"/>
          </w:tcPr>
          <w:p>
            <w:pPr>
              <w:pStyle w:val="84"/>
            </w:pPr>
            <w:r>
              <w:t>H</w:t>
            </w:r>
            <w:r>
              <w:rPr>
                <w:vertAlign w:val="subscript"/>
              </w:rPr>
              <w:t>2</w:t>
            </w:r>
            <w: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restart"/>
            <w:vAlign w:val="center"/>
          </w:tcPr>
          <w:p>
            <w:pPr>
              <w:pStyle w:val="84"/>
            </w:pPr>
            <w:r>
              <w:t>1</w:t>
            </w:r>
          </w:p>
        </w:tc>
        <w:tc>
          <w:tcPr>
            <w:tcW w:w="1260" w:type="dxa"/>
            <w:vMerge w:val="restart"/>
            <w:vAlign w:val="center"/>
          </w:tcPr>
          <w:p>
            <w:pPr>
              <w:pStyle w:val="84"/>
            </w:pPr>
            <w:r>
              <w:rPr>
                <w:rFonts w:hint="eastAsia"/>
              </w:rPr>
              <w:t>种猪舍、配怀舍、分娩舍</w:t>
            </w:r>
          </w:p>
        </w:tc>
        <w:tc>
          <w:tcPr>
            <w:tcW w:w="989" w:type="dxa"/>
            <w:vAlign w:val="center"/>
          </w:tcPr>
          <w:p>
            <w:pPr>
              <w:pStyle w:val="84"/>
            </w:pPr>
            <w:r>
              <w:rPr>
                <w:rFonts w:hint="eastAsia"/>
              </w:rPr>
              <w:t>母猪</w:t>
            </w:r>
          </w:p>
        </w:tc>
        <w:tc>
          <w:tcPr>
            <w:tcW w:w="793" w:type="dxa"/>
            <w:vAlign w:val="center"/>
          </w:tcPr>
          <w:p>
            <w:pPr>
              <w:pStyle w:val="84"/>
            </w:pPr>
            <w:r>
              <w:rPr>
                <w:rFonts w:hint="eastAsia"/>
              </w:rPr>
              <w:t>0.</w:t>
            </w:r>
            <w:r>
              <w:t>53</w:t>
            </w:r>
          </w:p>
        </w:tc>
        <w:tc>
          <w:tcPr>
            <w:tcW w:w="689" w:type="dxa"/>
            <w:vAlign w:val="center"/>
          </w:tcPr>
          <w:p>
            <w:pPr>
              <w:pStyle w:val="84"/>
            </w:pPr>
            <w:r>
              <w:rPr>
                <w:rFonts w:hint="eastAsia"/>
              </w:rPr>
              <w:t>0.0</w:t>
            </w:r>
            <w:r>
              <w:t>8</w:t>
            </w:r>
          </w:p>
        </w:tc>
        <w:tc>
          <w:tcPr>
            <w:tcW w:w="846" w:type="dxa"/>
            <w:vAlign w:val="center"/>
          </w:tcPr>
          <w:p>
            <w:pPr>
              <w:pStyle w:val="84"/>
            </w:pPr>
            <w:r>
              <w:rPr>
                <w:rFonts w:hint="eastAsia"/>
              </w:rPr>
              <w:t>600</w:t>
            </w:r>
          </w:p>
        </w:tc>
        <w:tc>
          <w:tcPr>
            <w:tcW w:w="792" w:type="dxa"/>
            <w:vAlign w:val="center"/>
          </w:tcPr>
          <w:p>
            <w:pPr>
              <w:pStyle w:val="84"/>
            </w:pPr>
            <w:r>
              <w:rPr>
                <w:rFonts w:hint="eastAsia"/>
              </w:rPr>
              <w:t>0.116</w:t>
            </w:r>
          </w:p>
        </w:tc>
        <w:tc>
          <w:tcPr>
            <w:tcW w:w="794" w:type="dxa"/>
            <w:vAlign w:val="center"/>
          </w:tcPr>
          <w:p>
            <w:pPr>
              <w:pStyle w:val="84"/>
            </w:pPr>
            <w:r>
              <w:rPr>
                <w:rFonts w:hint="eastAsia"/>
              </w:rPr>
              <w:t>0.018</w:t>
            </w:r>
          </w:p>
        </w:tc>
        <w:tc>
          <w:tcPr>
            <w:tcW w:w="794" w:type="dxa"/>
            <w:vAlign w:val="bottom"/>
          </w:tcPr>
          <w:p>
            <w:pPr>
              <w:pStyle w:val="84"/>
            </w:pPr>
            <w:r>
              <w:rPr>
                <w:rFonts w:hint="eastAsia"/>
              </w:rPr>
              <w:t>0.013</w:t>
            </w:r>
          </w:p>
        </w:tc>
        <w:tc>
          <w:tcPr>
            <w:tcW w:w="899" w:type="dxa"/>
            <w:vAlign w:val="bottom"/>
          </w:tcPr>
          <w:p>
            <w:pPr>
              <w:pStyle w:val="84"/>
            </w:pPr>
            <w:r>
              <w:rPr>
                <w:rFonts w:hint="eastAsia"/>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pStyle w:val="84"/>
            </w:pPr>
          </w:p>
        </w:tc>
        <w:tc>
          <w:tcPr>
            <w:tcW w:w="1260" w:type="dxa"/>
            <w:vMerge w:val="continue"/>
            <w:vAlign w:val="center"/>
          </w:tcPr>
          <w:p>
            <w:pPr>
              <w:pStyle w:val="84"/>
            </w:pPr>
          </w:p>
        </w:tc>
        <w:tc>
          <w:tcPr>
            <w:tcW w:w="989" w:type="dxa"/>
            <w:vAlign w:val="center"/>
          </w:tcPr>
          <w:p>
            <w:pPr>
              <w:pStyle w:val="84"/>
            </w:pPr>
            <w:r>
              <w:rPr>
                <w:rFonts w:hint="eastAsia"/>
              </w:rPr>
              <w:t>公猪</w:t>
            </w:r>
          </w:p>
        </w:tc>
        <w:tc>
          <w:tcPr>
            <w:tcW w:w="793" w:type="dxa"/>
            <w:vAlign w:val="center"/>
          </w:tcPr>
          <w:p>
            <w:pPr>
              <w:pStyle w:val="84"/>
            </w:pPr>
            <w:r>
              <w:rPr>
                <w:rFonts w:hint="eastAsia"/>
              </w:rPr>
              <w:t>0.</w:t>
            </w:r>
            <w:r>
              <w:t>53</w:t>
            </w:r>
          </w:p>
        </w:tc>
        <w:tc>
          <w:tcPr>
            <w:tcW w:w="689" w:type="dxa"/>
            <w:vAlign w:val="center"/>
          </w:tcPr>
          <w:p>
            <w:pPr>
              <w:pStyle w:val="84"/>
            </w:pPr>
            <w:r>
              <w:t>0.05</w:t>
            </w:r>
          </w:p>
        </w:tc>
        <w:tc>
          <w:tcPr>
            <w:tcW w:w="846" w:type="dxa"/>
            <w:vAlign w:val="center"/>
          </w:tcPr>
          <w:p>
            <w:pPr>
              <w:pStyle w:val="84"/>
            </w:pPr>
            <w:r>
              <w:rPr>
                <w:rFonts w:hint="eastAsia"/>
              </w:rPr>
              <w:t>8</w:t>
            </w:r>
          </w:p>
        </w:tc>
        <w:tc>
          <w:tcPr>
            <w:tcW w:w="792" w:type="dxa"/>
            <w:vAlign w:val="center"/>
          </w:tcPr>
          <w:p>
            <w:pPr>
              <w:pStyle w:val="84"/>
            </w:pPr>
            <w:r>
              <w:rPr>
                <w:rFonts w:hint="eastAsia"/>
              </w:rPr>
              <w:t>0.002</w:t>
            </w:r>
          </w:p>
        </w:tc>
        <w:tc>
          <w:tcPr>
            <w:tcW w:w="794" w:type="dxa"/>
            <w:vAlign w:val="center"/>
          </w:tcPr>
          <w:p>
            <w:pPr>
              <w:pStyle w:val="84"/>
            </w:pPr>
            <w:r>
              <w:rPr>
                <w:rFonts w:hint="eastAsia"/>
              </w:rPr>
              <w:t>0.0001</w:t>
            </w:r>
          </w:p>
        </w:tc>
        <w:tc>
          <w:tcPr>
            <w:tcW w:w="794" w:type="dxa"/>
            <w:vAlign w:val="center"/>
          </w:tcPr>
          <w:p>
            <w:pPr>
              <w:pStyle w:val="84"/>
            </w:pPr>
            <w:r>
              <w:rPr>
                <w:rFonts w:hint="eastAsia"/>
              </w:rPr>
              <w:t>0.0002</w:t>
            </w:r>
          </w:p>
        </w:tc>
        <w:tc>
          <w:tcPr>
            <w:tcW w:w="899" w:type="dxa"/>
            <w:vAlign w:val="center"/>
          </w:tcPr>
          <w:p>
            <w:pPr>
              <w:pStyle w:val="84"/>
            </w:pPr>
            <w:r>
              <w:rPr>
                <w:rFonts w:hint="eastAsia"/>
              </w:rPr>
              <w:t>0.00002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Align w:val="center"/>
          </w:tcPr>
          <w:p>
            <w:pPr>
              <w:pStyle w:val="84"/>
            </w:pPr>
            <w:r>
              <w:rPr>
                <w:rFonts w:hint="eastAsia"/>
              </w:rPr>
              <w:t>2</w:t>
            </w:r>
          </w:p>
        </w:tc>
        <w:tc>
          <w:tcPr>
            <w:tcW w:w="1260" w:type="dxa"/>
            <w:vAlign w:val="center"/>
          </w:tcPr>
          <w:p>
            <w:pPr>
              <w:pStyle w:val="84"/>
            </w:pPr>
            <w:r>
              <w:rPr>
                <w:rFonts w:hint="eastAsia"/>
              </w:rPr>
              <w:t>保育舍</w:t>
            </w:r>
          </w:p>
        </w:tc>
        <w:tc>
          <w:tcPr>
            <w:tcW w:w="989" w:type="dxa"/>
            <w:vAlign w:val="center"/>
          </w:tcPr>
          <w:p>
            <w:pPr>
              <w:pStyle w:val="84"/>
            </w:pPr>
            <w:r>
              <w:t>保育猪</w:t>
            </w:r>
          </w:p>
        </w:tc>
        <w:tc>
          <w:tcPr>
            <w:tcW w:w="793" w:type="dxa"/>
            <w:vAlign w:val="center"/>
          </w:tcPr>
          <w:p>
            <w:pPr>
              <w:pStyle w:val="84"/>
            </w:pPr>
            <w:r>
              <w:t>0.095</w:t>
            </w:r>
          </w:p>
        </w:tc>
        <w:tc>
          <w:tcPr>
            <w:tcW w:w="689" w:type="dxa"/>
            <w:vAlign w:val="center"/>
          </w:tcPr>
          <w:p>
            <w:pPr>
              <w:pStyle w:val="84"/>
            </w:pPr>
            <w:r>
              <w:t>0.025</w:t>
            </w:r>
          </w:p>
        </w:tc>
        <w:tc>
          <w:tcPr>
            <w:tcW w:w="846" w:type="dxa"/>
            <w:vAlign w:val="center"/>
          </w:tcPr>
          <w:p>
            <w:pPr>
              <w:pStyle w:val="84"/>
            </w:pPr>
            <w:r>
              <w:t>1192</w:t>
            </w:r>
          </w:p>
        </w:tc>
        <w:tc>
          <w:tcPr>
            <w:tcW w:w="792" w:type="dxa"/>
            <w:vAlign w:val="center"/>
          </w:tcPr>
          <w:p>
            <w:pPr>
              <w:pStyle w:val="84"/>
            </w:pPr>
            <w:r>
              <w:rPr>
                <w:rFonts w:hint="eastAsia"/>
              </w:rPr>
              <w:t>0.041</w:t>
            </w:r>
          </w:p>
        </w:tc>
        <w:tc>
          <w:tcPr>
            <w:tcW w:w="794" w:type="dxa"/>
            <w:vAlign w:val="center"/>
          </w:tcPr>
          <w:p>
            <w:pPr>
              <w:pStyle w:val="84"/>
            </w:pPr>
            <w:r>
              <w:rPr>
                <w:rFonts w:hint="eastAsia"/>
              </w:rPr>
              <w:t>0.011</w:t>
            </w:r>
          </w:p>
        </w:tc>
        <w:tc>
          <w:tcPr>
            <w:tcW w:w="794" w:type="dxa"/>
            <w:vAlign w:val="bottom"/>
          </w:tcPr>
          <w:p>
            <w:pPr>
              <w:pStyle w:val="84"/>
            </w:pPr>
            <w:r>
              <w:rPr>
                <w:rFonts w:hint="eastAsia"/>
              </w:rPr>
              <w:t>0.00</w:t>
            </w:r>
            <w:r>
              <w:t>5</w:t>
            </w:r>
          </w:p>
        </w:tc>
        <w:tc>
          <w:tcPr>
            <w:tcW w:w="899" w:type="dxa"/>
            <w:vAlign w:val="bottom"/>
          </w:tcPr>
          <w:p>
            <w:pPr>
              <w:pStyle w:val="84"/>
            </w:pPr>
            <w:r>
              <w:rPr>
                <w:rFonts w:hint="eastAsia"/>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Align w:val="center"/>
          </w:tcPr>
          <w:p>
            <w:pPr>
              <w:pStyle w:val="84"/>
            </w:pPr>
            <w:r>
              <w:t>4</w:t>
            </w:r>
          </w:p>
        </w:tc>
        <w:tc>
          <w:tcPr>
            <w:tcW w:w="1260" w:type="dxa"/>
            <w:vAlign w:val="center"/>
          </w:tcPr>
          <w:p>
            <w:pPr>
              <w:pStyle w:val="84"/>
            </w:pPr>
            <w:r>
              <w:rPr>
                <w:rFonts w:hint="eastAsia"/>
              </w:rPr>
              <w:t>育肥舍</w:t>
            </w:r>
          </w:p>
        </w:tc>
        <w:tc>
          <w:tcPr>
            <w:tcW w:w="989" w:type="dxa"/>
            <w:vAlign w:val="center"/>
          </w:tcPr>
          <w:p>
            <w:pPr>
              <w:pStyle w:val="84"/>
            </w:pPr>
            <w:r>
              <w:t>育肥猪</w:t>
            </w:r>
          </w:p>
        </w:tc>
        <w:tc>
          <w:tcPr>
            <w:tcW w:w="793" w:type="dxa"/>
            <w:vAlign w:val="center"/>
          </w:tcPr>
          <w:p>
            <w:pPr>
              <w:pStyle w:val="84"/>
            </w:pPr>
            <w:r>
              <w:t>0.2</w:t>
            </w:r>
          </w:p>
        </w:tc>
        <w:tc>
          <w:tcPr>
            <w:tcW w:w="689" w:type="dxa"/>
            <w:vAlign w:val="center"/>
          </w:tcPr>
          <w:p>
            <w:pPr>
              <w:pStyle w:val="84"/>
            </w:pPr>
            <w:r>
              <w:rPr>
                <w:rFonts w:hint="eastAsia"/>
              </w:rPr>
              <w:t>0.</w:t>
            </w:r>
            <w:r>
              <w:t>03</w:t>
            </w:r>
          </w:p>
        </w:tc>
        <w:tc>
          <w:tcPr>
            <w:tcW w:w="846" w:type="dxa"/>
            <w:vAlign w:val="center"/>
          </w:tcPr>
          <w:p>
            <w:pPr>
              <w:pStyle w:val="84"/>
            </w:pPr>
            <w:r>
              <w:t>3200</w:t>
            </w:r>
          </w:p>
        </w:tc>
        <w:tc>
          <w:tcPr>
            <w:tcW w:w="792" w:type="dxa"/>
            <w:vAlign w:val="center"/>
          </w:tcPr>
          <w:p>
            <w:pPr>
              <w:pStyle w:val="84"/>
            </w:pPr>
            <w:r>
              <w:rPr>
                <w:rFonts w:hint="eastAsia"/>
              </w:rPr>
              <w:t>0.234</w:t>
            </w:r>
          </w:p>
        </w:tc>
        <w:tc>
          <w:tcPr>
            <w:tcW w:w="794" w:type="dxa"/>
            <w:vAlign w:val="center"/>
          </w:tcPr>
          <w:p>
            <w:pPr>
              <w:pStyle w:val="84"/>
            </w:pPr>
            <w:r>
              <w:rPr>
                <w:rFonts w:hint="eastAsia"/>
              </w:rPr>
              <w:t>0.035</w:t>
            </w:r>
          </w:p>
        </w:tc>
        <w:tc>
          <w:tcPr>
            <w:tcW w:w="794" w:type="dxa"/>
            <w:vAlign w:val="bottom"/>
          </w:tcPr>
          <w:p>
            <w:pPr>
              <w:pStyle w:val="84"/>
            </w:pPr>
            <w:r>
              <w:rPr>
                <w:rFonts w:hint="eastAsia"/>
              </w:rPr>
              <w:t>0.027</w:t>
            </w:r>
          </w:p>
        </w:tc>
        <w:tc>
          <w:tcPr>
            <w:tcW w:w="899" w:type="dxa"/>
            <w:vAlign w:val="bottom"/>
          </w:tcPr>
          <w:p>
            <w:pPr>
              <w:pStyle w:val="84"/>
            </w:pPr>
            <w:r>
              <w:rPr>
                <w:rFonts w:hint="eastAsia"/>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Align w:val="center"/>
          </w:tcPr>
          <w:p>
            <w:pPr>
              <w:pStyle w:val="84"/>
            </w:pPr>
            <w:r>
              <w:t>5</w:t>
            </w:r>
          </w:p>
        </w:tc>
        <w:tc>
          <w:tcPr>
            <w:tcW w:w="2249" w:type="dxa"/>
            <w:gridSpan w:val="2"/>
            <w:vAlign w:val="center"/>
          </w:tcPr>
          <w:p>
            <w:pPr>
              <w:pStyle w:val="84"/>
            </w:pPr>
            <w:r>
              <w:t>合计</w:t>
            </w:r>
          </w:p>
        </w:tc>
        <w:tc>
          <w:tcPr>
            <w:tcW w:w="793" w:type="dxa"/>
            <w:vAlign w:val="center"/>
          </w:tcPr>
          <w:p>
            <w:pPr>
              <w:pStyle w:val="84"/>
            </w:pPr>
            <w:r>
              <w:rPr>
                <w:rFonts w:hint="eastAsia"/>
              </w:rPr>
              <w:t>/</w:t>
            </w:r>
          </w:p>
        </w:tc>
        <w:tc>
          <w:tcPr>
            <w:tcW w:w="689" w:type="dxa"/>
            <w:vAlign w:val="center"/>
          </w:tcPr>
          <w:p>
            <w:pPr>
              <w:pStyle w:val="84"/>
            </w:pPr>
            <w:r>
              <w:rPr>
                <w:rFonts w:hint="eastAsia"/>
              </w:rPr>
              <w:t>/</w:t>
            </w:r>
          </w:p>
        </w:tc>
        <w:tc>
          <w:tcPr>
            <w:tcW w:w="846" w:type="dxa"/>
            <w:vAlign w:val="center"/>
          </w:tcPr>
          <w:p>
            <w:pPr>
              <w:pStyle w:val="84"/>
            </w:pPr>
            <w:r>
              <w:rPr>
                <w:rFonts w:hint="eastAsia"/>
              </w:rPr>
              <w:t>/</w:t>
            </w:r>
          </w:p>
        </w:tc>
        <w:tc>
          <w:tcPr>
            <w:tcW w:w="792" w:type="dxa"/>
            <w:vAlign w:val="center"/>
          </w:tcPr>
          <w:p>
            <w:pPr>
              <w:pStyle w:val="84"/>
            </w:pPr>
            <w:r>
              <w:t>0.393</w:t>
            </w:r>
          </w:p>
        </w:tc>
        <w:tc>
          <w:tcPr>
            <w:tcW w:w="794" w:type="dxa"/>
            <w:vAlign w:val="center"/>
          </w:tcPr>
          <w:p>
            <w:pPr>
              <w:pStyle w:val="84"/>
            </w:pPr>
            <w:r>
              <w:t>0.064</w:t>
            </w:r>
          </w:p>
        </w:tc>
        <w:tc>
          <w:tcPr>
            <w:tcW w:w="794" w:type="dxa"/>
            <w:vAlign w:val="bottom"/>
          </w:tcPr>
          <w:p>
            <w:pPr>
              <w:pStyle w:val="84"/>
            </w:pPr>
            <w:r>
              <w:rPr>
                <w:rFonts w:hint="eastAsia"/>
              </w:rPr>
              <w:t>0.0</w:t>
            </w:r>
            <w:r>
              <w:t>45</w:t>
            </w:r>
          </w:p>
        </w:tc>
        <w:tc>
          <w:tcPr>
            <w:tcW w:w="899" w:type="dxa"/>
            <w:vAlign w:val="bottom"/>
          </w:tcPr>
          <w:p>
            <w:pPr>
              <w:pStyle w:val="84"/>
            </w:pPr>
            <w:r>
              <w:rPr>
                <w:rFonts w:hint="eastAsia"/>
              </w:rPr>
              <w:t>0.0</w:t>
            </w:r>
            <w:r>
              <w:t>07</w:t>
            </w:r>
          </w:p>
        </w:tc>
      </w:tr>
    </w:tbl>
    <w:p>
      <w:pPr>
        <w:pStyle w:val="15"/>
        <w:spacing w:after="60" w:line="360" w:lineRule="auto"/>
        <w:ind w:firstLine="480" w:firstLineChars="200"/>
        <w:contextualSpacing/>
        <w:rPr>
          <w:rStyle w:val="80"/>
        </w:rPr>
      </w:pPr>
      <w:r>
        <w:rPr>
          <w:rStyle w:val="80"/>
          <w:rFonts w:hint="eastAsia"/>
        </w:rPr>
        <w:t>根据《规模畜禽养殖场污染防治最佳可行技术指南（试行）编制</w:t>
      </w:r>
      <w:r>
        <w:rPr>
          <w:rStyle w:val="80"/>
        </w:rPr>
        <w:t>说明</w:t>
      </w:r>
      <w:r>
        <w:rPr>
          <w:rStyle w:val="80"/>
          <w:rFonts w:hint="eastAsia"/>
        </w:rPr>
        <w:t>》6.2.1.4介绍，合理设计的猪舍对67%的氨产生影响，清除粪便可影响另外25%的氨，调整饲料对氨的影响占15%-20%。本项目通过调控饲料（采用低氮），猪粪及时</w:t>
      </w:r>
      <w:r>
        <w:rPr>
          <w:rStyle w:val="80"/>
        </w:rPr>
        <w:t>清运</w:t>
      </w:r>
      <w:r>
        <w:rPr>
          <w:rStyle w:val="80"/>
          <w:rFonts w:hint="eastAsia"/>
        </w:rPr>
        <w:t>，恶臭产生量将降低80%。</w:t>
      </w:r>
    </w:p>
    <w:p>
      <w:pPr>
        <w:pStyle w:val="15"/>
        <w:spacing w:after="60" w:line="360" w:lineRule="auto"/>
        <w:ind w:firstLine="480" w:firstLineChars="200"/>
        <w:contextualSpacing/>
        <w:rPr>
          <w:rFonts w:ascii="Times New Roman" w:hAnsi="Times New Roman" w:cstheme="minorBidi"/>
          <w:sz w:val="24"/>
          <w:szCs w:val="22"/>
        </w:rPr>
      </w:pPr>
      <w:r>
        <w:rPr>
          <w:rFonts w:hint="eastAsia" w:ascii="Times New Roman" w:hAnsi="Times New Roman" w:cstheme="minorBidi"/>
          <w:sz w:val="24"/>
          <w:szCs w:val="22"/>
        </w:rPr>
        <w:t>根据《自然科学》现代化农业，</w:t>
      </w:r>
      <w:r>
        <w:rPr>
          <w:rFonts w:ascii="Times New Roman" w:hAnsi="Times New Roman" w:cstheme="minorBidi"/>
          <w:sz w:val="24"/>
          <w:szCs w:val="22"/>
        </w:rPr>
        <w:t>2011</w:t>
      </w:r>
      <w:r>
        <w:rPr>
          <w:rFonts w:hint="eastAsia" w:ascii="Times New Roman" w:hAnsi="Times New Roman" w:cstheme="minorBidi"/>
          <w:sz w:val="24"/>
          <w:szCs w:val="22"/>
        </w:rPr>
        <w:t>年第</w:t>
      </w:r>
      <w:r>
        <w:rPr>
          <w:rFonts w:ascii="Times New Roman" w:hAnsi="Times New Roman" w:cstheme="minorBidi"/>
          <w:sz w:val="24"/>
          <w:szCs w:val="22"/>
        </w:rPr>
        <w:t>6</w:t>
      </w:r>
      <w:r>
        <w:rPr>
          <w:rFonts w:hint="eastAsia" w:ascii="Times New Roman" w:hAnsi="Times New Roman" w:cstheme="minorBidi"/>
          <w:sz w:val="24"/>
          <w:szCs w:val="22"/>
        </w:rPr>
        <w:t>期（总第</w:t>
      </w:r>
      <w:r>
        <w:rPr>
          <w:rFonts w:ascii="Times New Roman" w:hAnsi="Times New Roman" w:cstheme="minorBidi"/>
          <w:sz w:val="24"/>
          <w:szCs w:val="22"/>
        </w:rPr>
        <w:t>383</w:t>
      </w:r>
      <w:r>
        <w:rPr>
          <w:rFonts w:hint="eastAsia" w:ascii="Times New Roman" w:hAnsi="Times New Roman" w:cstheme="minorBidi"/>
          <w:sz w:val="24"/>
          <w:szCs w:val="22"/>
        </w:rPr>
        <w:t>期）“微生物除臭剂研究进展”（赵晓锋、隋文志）的资料，经国家环境分析测试中心和陕西环境监测中心测试养殖场生物除臭剂（大力克、万洁芬等）对</w:t>
      </w:r>
      <w:r>
        <w:rPr>
          <w:rFonts w:ascii="Times New Roman" w:hAnsi="Times New Roman" w:cstheme="minorBidi"/>
          <w:sz w:val="24"/>
          <w:szCs w:val="22"/>
        </w:rPr>
        <w:t>NH</w:t>
      </w:r>
      <w:r>
        <w:rPr>
          <w:rFonts w:ascii="Times New Roman" w:hAnsi="Times New Roman" w:cstheme="minorBidi"/>
          <w:sz w:val="24"/>
          <w:szCs w:val="22"/>
          <w:vertAlign w:val="subscript"/>
        </w:rPr>
        <w:t>3</w:t>
      </w:r>
      <w:r>
        <w:rPr>
          <w:rFonts w:hint="eastAsia" w:ascii="Times New Roman" w:hAnsi="Times New Roman" w:cstheme="minorBidi"/>
          <w:sz w:val="24"/>
          <w:szCs w:val="22"/>
        </w:rPr>
        <w:t>和</w:t>
      </w:r>
      <w:r>
        <w:rPr>
          <w:rFonts w:ascii="Times New Roman" w:hAnsi="Times New Roman" w:cstheme="minorBidi"/>
          <w:sz w:val="24"/>
          <w:szCs w:val="22"/>
        </w:rPr>
        <w:t>H</w:t>
      </w:r>
      <w:r>
        <w:rPr>
          <w:rFonts w:ascii="Times New Roman" w:hAnsi="Times New Roman" w:cstheme="minorBidi"/>
          <w:sz w:val="24"/>
          <w:szCs w:val="22"/>
          <w:vertAlign w:val="subscript"/>
        </w:rPr>
        <w:t>2</w:t>
      </w:r>
      <w:r>
        <w:rPr>
          <w:rFonts w:ascii="Times New Roman" w:hAnsi="Times New Roman" w:cstheme="minorBidi"/>
          <w:sz w:val="24"/>
          <w:szCs w:val="22"/>
        </w:rPr>
        <w:t>S</w:t>
      </w:r>
      <w:r>
        <w:rPr>
          <w:rFonts w:hint="eastAsia" w:ascii="Times New Roman" w:hAnsi="Times New Roman" w:cstheme="minorBidi"/>
          <w:sz w:val="24"/>
          <w:szCs w:val="22"/>
        </w:rPr>
        <w:t>的去除效率分别为</w:t>
      </w:r>
      <w:r>
        <w:rPr>
          <w:rFonts w:ascii="Times New Roman" w:hAnsi="Times New Roman" w:cstheme="minorBidi"/>
          <w:sz w:val="24"/>
          <w:szCs w:val="22"/>
        </w:rPr>
        <w:t>92.6%</w:t>
      </w:r>
      <w:r>
        <w:rPr>
          <w:rFonts w:hint="eastAsia" w:ascii="Times New Roman" w:hAnsi="Times New Roman" w:cstheme="minorBidi"/>
          <w:sz w:val="24"/>
          <w:szCs w:val="22"/>
        </w:rPr>
        <w:t>和</w:t>
      </w:r>
      <w:r>
        <w:rPr>
          <w:rFonts w:ascii="Times New Roman" w:hAnsi="Times New Roman" w:cstheme="minorBidi"/>
          <w:sz w:val="24"/>
          <w:szCs w:val="22"/>
        </w:rPr>
        <w:t>89%</w:t>
      </w:r>
      <w:r>
        <w:rPr>
          <w:rFonts w:hint="eastAsia" w:ascii="Times New Roman" w:hAnsi="Times New Roman" w:cstheme="minorBidi"/>
          <w:sz w:val="24"/>
          <w:szCs w:val="22"/>
        </w:rPr>
        <w:t>。根据《动物科学》现代化农业科技，</w:t>
      </w:r>
      <w:r>
        <w:rPr>
          <w:rFonts w:ascii="Times New Roman" w:hAnsi="Times New Roman" w:cstheme="minorBidi"/>
          <w:sz w:val="24"/>
          <w:szCs w:val="22"/>
        </w:rPr>
        <w:t>2011</w:t>
      </w:r>
      <w:r>
        <w:rPr>
          <w:rFonts w:hint="eastAsia" w:ascii="Times New Roman" w:hAnsi="Times New Roman" w:cstheme="minorBidi"/>
          <w:sz w:val="24"/>
          <w:szCs w:val="22"/>
        </w:rPr>
        <w:t>年第</w:t>
      </w:r>
      <w:r>
        <w:rPr>
          <w:rFonts w:ascii="Times New Roman" w:hAnsi="Times New Roman" w:cstheme="minorBidi"/>
          <w:sz w:val="24"/>
          <w:szCs w:val="22"/>
        </w:rPr>
        <w:t>6</w:t>
      </w:r>
      <w:r>
        <w:rPr>
          <w:rFonts w:hint="eastAsia" w:ascii="Times New Roman" w:hAnsi="Times New Roman" w:cstheme="minorBidi"/>
          <w:sz w:val="24"/>
          <w:szCs w:val="22"/>
        </w:rPr>
        <w:t>期“猪舍内氨气排放控制研究进展”（山东省滕州市畜牧兽医局，高建萱），通过在饲料中添加活菌剂，可使猪舍中臭气含量下降</w:t>
      </w:r>
      <w:r>
        <w:rPr>
          <w:rFonts w:ascii="Times New Roman" w:hAnsi="Times New Roman" w:cstheme="minorBidi"/>
          <w:sz w:val="24"/>
          <w:szCs w:val="22"/>
        </w:rPr>
        <w:t>40.28%-56.46%</w:t>
      </w:r>
      <w:r>
        <w:rPr>
          <w:rFonts w:hint="eastAsia" w:ascii="Times New Roman" w:hAnsi="Times New Roman" w:cstheme="minorBidi"/>
          <w:sz w:val="24"/>
          <w:szCs w:val="22"/>
        </w:rPr>
        <w:t>。</w:t>
      </w:r>
    </w:p>
    <w:p>
      <w:pPr>
        <w:ind w:firstLine="480"/>
        <w:contextualSpacing/>
        <w:rPr>
          <w:rFonts w:eastAsia="仿宋_GB2312"/>
          <w:szCs w:val="24"/>
        </w:rPr>
      </w:pPr>
      <w:r>
        <w:rPr>
          <w:rFonts w:hint="eastAsia" w:cstheme="minorBidi"/>
        </w:rPr>
        <w:t>根据</w:t>
      </w:r>
      <w:r>
        <w:rPr>
          <w:rFonts w:cstheme="minorBidi"/>
        </w:rPr>
        <w:t>以上介绍</w:t>
      </w:r>
      <w:r>
        <w:rPr>
          <w:rFonts w:hint="eastAsia" w:cstheme="minorBidi"/>
        </w:rPr>
        <w:t>，本项目</w:t>
      </w:r>
      <w:r>
        <w:rPr>
          <w:rFonts w:cstheme="minorBidi"/>
        </w:rPr>
        <w:t>粪污处理</w:t>
      </w:r>
      <w:r>
        <w:rPr>
          <w:rFonts w:hint="eastAsia" w:cstheme="minorBidi"/>
        </w:rPr>
        <w:t>采用干清粪工艺，粪污</w:t>
      </w:r>
      <w:r>
        <w:rPr>
          <w:rFonts w:cstheme="minorBidi"/>
        </w:rPr>
        <w:t>不在猪舍内存留，</w:t>
      </w:r>
      <w:r>
        <w:rPr>
          <w:rFonts w:hint="eastAsia" w:cstheme="minorBidi"/>
        </w:rPr>
        <w:t>及时清理粪尿，猪舍</w:t>
      </w:r>
      <w:r>
        <w:rPr>
          <w:rFonts w:cstheme="minorBidi"/>
        </w:rPr>
        <w:t>增加通风次数，合理布局；</w:t>
      </w:r>
      <w:r>
        <w:rPr>
          <w:rFonts w:hint="eastAsia" w:cstheme="minorBidi"/>
        </w:rPr>
        <w:t>饲料中添加活菌剂，猪舍</w:t>
      </w:r>
      <w:r>
        <w:rPr>
          <w:rFonts w:cstheme="minorBidi"/>
        </w:rPr>
        <w:t>喷洒生物除臭剂，加强厂区绿化工程等除臭措施，</w:t>
      </w:r>
      <w:r>
        <w:rPr>
          <w:rFonts w:hint="eastAsia" w:cstheme="minorBidi"/>
        </w:rPr>
        <w:t>可使恶臭产生量大大</w:t>
      </w:r>
      <w:r>
        <w:rPr>
          <w:rFonts w:cstheme="minorBidi"/>
        </w:rPr>
        <w:t>降低，本次评价恶臭污染物综合去除率按</w:t>
      </w:r>
      <w:r>
        <w:rPr>
          <w:rFonts w:hint="eastAsia" w:cstheme="minorBidi"/>
        </w:rPr>
        <w:t>90%计算</w:t>
      </w:r>
      <w:r>
        <w:rPr>
          <w:rFonts w:cstheme="minorBidi"/>
        </w:rPr>
        <w:t>，</w:t>
      </w:r>
      <w:r>
        <w:rPr>
          <w:rFonts w:hint="eastAsia" w:cstheme="minorBidi"/>
        </w:rPr>
        <w:t>则</w:t>
      </w:r>
      <w:r>
        <w:rPr>
          <w:rFonts w:cstheme="minorBidi"/>
        </w:rPr>
        <w:t>项目</w:t>
      </w:r>
      <w:r>
        <w:rPr>
          <w:rStyle w:val="80"/>
        </w:rPr>
        <w:t>项目满负荷运</w:t>
      </w:r>
      <w:r>
        <w:rPr>
          <w:rStyle w:val="80"/>
          <w:rFonts w:hint="eastAsia"/>
        </w:rPr>
        <w:t>行</w:t>
      </w:r>
      <w:r>
        <w:rPr>
          <w:rStyle w:val="80"/>
        </w:rPr>
        <w:t>时，NH</w:t>
      </w:r>
      <w:r>
        <w:rPr>
          <w:rStyle w:val="80"/>
          <w:vertAlign w:val="subscript"/>
        </w:rPr>
        <w:t>3</w:t>
      </w:r>
      <w:r>
        <w:rPr>
          <w:rStyle w:val="80"/>
        </w:rPr>
        <w:t>和H</w:t>
      </w:r>
      <w:r>
        <w:rPr>
          <w:rStyle w:val="80"/>
          <w:vertAlign w:val="subscript"/>
        </w:rPr>
        <w:t>2</w:t>
      </w:r>
      <w:r>
        <w:rPr>
          <w:rStyle w:val="80"/>
        </w:rPr>
        <w:t>S的排放量分别为0.039t/a，</w:t>
      </w:r>
      <w:r>
        <w:rPr>
          <w:rStyle w:val="80"/>
          <w:rFonts w:hint="eastAsia"/>
        </w:rPr>
        <w:t>0.0</w:t>
      </w:r>
      <w:r>
        <w:rPr>
          <w:rStyle w:val="80"/>
        </w:rPr>
        <w:t>06t/a，排放速率为</w:t>
      </w:r>
      <w:r>
        <w:rPr>
          <w:rStyle w:val="80"/>
          <w:rFonts w:hint="eastAsia"/>
        </w:rPr>
        <w:t>0.0</w:t>
      </w:r>
      <w:r>
        <w:rPr>
          <w:rStyle w:val="80"/>
        </w:rPr>
        <w:t>04kg/h，</w:t>
      </w:r>
      <w:r>
        <w:rPr>
          <w:rStyle w:val="80"/>
          <w:rFonts w:hint="eastAsia"/>
        </w:rPr>
        <w:t>0.00</w:t>
      </w:r>
      <w:r>
        <w:rPr>
          <w:rStyle w:val="80"/>
        </w:rPr>
        <w:t>07kg/h</w:t>
      </w:r>
      <w:r>
        <w:rPr>
          <w:rFonts w:eastAsia="仿宋_GB2312"/>
          <w:szCs w:val="24"/>
        </w:rPr>
        <w:t>。</w:t>
      </w:r>
    </w:p>
    <w:p>
      <w:pPr>
        <w:pStyle w:val="15"/>
        <w:spacing w:after="60" w:line="360" w:lineRule="auto"/>
        <w:ind w:firstLine="480" w:firstLineChars="200"/>
        <w:contextualSpacing/>
        <w:rPr>
          <w:rFonts w:ascii="Times New Roman" w:hAnsi="Times New Roman" w:cstheme="minorBidi"/>
          <w:sz w:val="24"/>
          <w:szCs w:val="22"/>
        </w:rPr>
      </w:pPr>
      <w:r>
        <w:rPr>
          <w:rFonts w:hint="eastAsia" w:ascii="Times New Roman" w:hAnsi="Times New Roman" w:cstheme="minorBidi"/>
          <w:sz w:val="24"/>
          <w:szCs w:val="22"/>
        </w:rPr>
        <w:t>本项目</w:t>
      </w:r>
      <w:r>
        <w:rPr>
          <w:rFonts w:ascii="Times New Roman" w:hAnsi="Times New Roman" w:cstheme="minorBidi"/>
          <w:sz w:val="24"/>
          <w:szCs w:val="22"/>
        </w:rPr>
        <w:t>猪舍恶臭气体排放量统计表见表</w:t>
      </w:r>
      <w:r>
        <w:rPr>
          <w:rFonts w:hint="eastAsia" w:ascii="Times New Roman" w:hAnsi="Times New Roman" w:cstheme="minorBidi"/>
          <w:sz w:val="24"/>
          <w:szCs w:val="22"/>
        </w:rPr>
        <w:t>3.3-4。</w:t>
      </w:r>
    </w:p>
    <w:p>
      <w:pPr>
        <w:pStyle w:val="85"/>
      </w:pPr>
      <w:bookmarkStart w:id="94" w:name="_Ref37947340"/>
      <w:r>
        <w:rPr>
          <w:rFonts w:hint="eastAsia"/>
        </w:rPr>
        <w:t>表</w:t>
      </w:r>
      <w:r>
        <w:fldChar w:fldCharType="begin"/>
      </w:r>
      <w:r>
        <w:rPr>
          <w:rFonts w:hint="eastAsia"/>
        </w:rPr>
        <w:instrText xml:space="preserve">STYLEREF 2 \s</w:instrText>
      </w:r>
      <w:r>
        <w:fldChar w:fldCharType="separate"/>
      </w:r>
      <w:r>
        <w:t>3.3</w:t>
      </w:r>
      <w:r>
        <w:fldChar w:fldCharType="end"/>
      </w:r>
      <w:r>
        <w:noBreakHyphen/>
      </w:r>
      <w:bookmarkEnd w:id="94"/>
      <w:r>
        <w:t xml:space="preserve">4  </w:t>
      </w:r>
      <w:r>
        <w:rPr>
          <w:rFonts w:hint="eastAsia"/>
        </w:rPr>
        <w:t>项目</w:t>
      </w:r>
      <w:r>
        <w:t>养殖区恶臭污染物</w:t>
      </w:r>
      <w:r>
        <w:rPr>
          <w:rFonts w:hint="eastAsia"/>
        </w:rPr>
        <w:t>产</w:t>
      </w:r>
      <w:r>
        <w:t>排情况一览表</w:t>
      </w:r>
    </w:p>
    <w:tbl>
      <w:tblPr>
        <w:tblStyle w:val="27"/>
        <w:tblW w:w="8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022"/>
        <w:gridCol w:w="1108"/>
        <w:gridCol w:w="3038"/>
        <w:gridCol w:w="1060"/>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7" w:type="dxa"/>
            <w:tcBorders>
              <w:top w:val="single" w:color="auto" w:sz="12" w:space="0"/>
              <w:left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名称</w:t>
            </w:r>
          </w:p>
        </w:tc>
        <w:tc>
          <w:tcPr>
            <w:tcW w:w="1022" w:type="dxa"/>
            <w:tcBorders>
              <w:top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产生量（t/a）</w:t>
            </w:r>
          </w:p>
        </w:tc>
        <w:tc>
          <w:tcPr>
            <w:tcW w:w="1108" w:type="dxa"/>
            <w:tcBorders>
              <w:top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产生速率（kg/h）</w:t>
            </w:r>
          </w:p>
        </w:tc>
        <w:tc>
          <w:tcPr>
            <w:tcW w:w="3038" w:type="dxa"/>
            <w:tcBorders>
              <w:top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采取措施</w:t>
            </w:r>
          </w:p>
        </w:tc>
        <w:tc>
          <w:tcPr>
            <w:tcW w:w="1060" w:type="dxa"/>
            <w:tcBorders>
              <w:top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排放量（t/a）</w:t>
            </w:r>
          </w:p>
        </w:tc>
        <w:tc>
          <w:tcPr>
            <w:tcW w:w="1067" w:type="dxa"/>
            <w:tcBorders>
              <w:top w:val="single" w:color="auto" w:sz="12" w:space="0"/>
              <w:right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7" w:type="dxa"/>
            <w:tcBorders>
              <w:left w:val="single" w:color="auto" w:sz="12" w:space="0"/>
            </w:tcBorders>
            <w:vAlign w:val="center"/>
          </w:tcPr>
          <w:p>
            <w:pPr>
              <w:autoSpaceDE w:val="0"/>
              <w:autoSpaceDN w:val="0"/>
              <w:spacing w:line="240" w:lineRule="auto"/>
              <w:ind w:firstLine="0" w:firstLineChars="0"/>
              <w:jc w:val="center"/>
              <w:rPr>
                <w:kern w:val="0"/>
                <w:sz w:val="21"/>
                <w:szCs w:val="21"/>
              </w:rPr>
            </w:pPr>
            <w:r>
              <w:rPr>
                <w:kern w:val="0"/>
                <w:sz w:val="21"/>
                <w:szCs w:val="21"/>
              </w:rPr>
              <w:t>NH</w:t>
            </w:r>
            <w:r>
              <w:rPr>
                <w:kern w:val="0"/>
                <w:sz w:val="21"/>
                <w:szCs w:val="21"/>
                <w:vertAlign w:val="subscript"/>
              </w:rPr>
              <w:t>3</w:t>
            </w:r>
          </w:p>
        </w:tc>
        <w:tc>
          <w:tcPr>
            <w:tcW w:w="1022" w:type="dxa"/>
            <w:vAlign w:val="center"/>
          </w:tcPr>
          <w:p>
            <w:pPr>
              <w:autoSpaceDE w:val="0"/>
              <w:autoSpaceDN w:val="0"/>
              <w:spacing w:line="240" w:lineRule="auto"/>
              <w:ind w:firstLine="0" w:firstLineChars="0"/>
              <w:jc w:val="center"/>
              <w:rPr>
                <w:kern w:val="0"/>
                <w:sz w:val="21"/>
                <w:szCs w:val="21"/>
              </w:rPr>
            </w:pPr>
            <w:r>
              <w:rPr>
                <w:kern w:val="0"/>
                <w:sz w:val="21"/>
                <w:szCs w:val="21"/>
              </w:rPr>
              <w:t>0.393</w:t>
            </w:r>
          </w:p>
        </w:tc>
        <w:tc>
          <w:tcPr>
            <w:tcW w:w="1108" w:type="dxa"/>
            <w:vAlign w:val="center"/>
          </w:tcPr>
          <w:p>
            <w:pPr>
              <w:autoSpaceDE w:val="0"/>
              <w:autoSpaceDN w:val="0"/>
              <w:spacing w:line="240" w:lineRule="auto"/>
              <w:ind w:firstLine="0" w:firstLineChars="0"/>
              <w:jc w:val="center"/>
              <w:rPr>
                <w:kern w:val="0"/>
                <w:sz w:val="21"/>
                <w:szCs w:val="21"/>
              </w:rPr>
            </w:pPr>
            <w:r>
              <w:rPr>
                <w:kern w:val="0"/>
                <w:sz w:val="21"/>
                <w:szCs w:val="21"/>
              </w:rPr>
              <w:t>0.045</w:t>
            </w:r>
          </w:p>
        </w:tc>
        <w:tc>
          <w:tcPr>
            <w:tcW w:w="3038" w:type="dxa"/>
            <w:vMerge w:val="restart"/>
            <w:vAlign w:val="center"/>
          </w:tcPr>
          <w:p>
            <w:pPr>
              <w:autoSpaceDE w:val="0"/>
              <w:autoSpaceDN w:val="0"/>
              <w:spacing w:line="240" w:lineRule="auto"/>
              <w:ind w:firstLine="0" w:firstLineChars="0"/>
              <w:rPr>
                <w:kern w:val="0"/>
                <w:sz w:val="21"/>
                <w:szCs w:val="21"/>
              </w:rPr>
            </w:pPr>
            <w:r>
              <w:rPr>
                <w:rFonts w:hint="eastAsia"/>
                <w:kern w:val="0"/>
                <w:sz w:val="21"/>
                <w:szCs w:val="21"/>
              </w:rPr>
              <w:t>控制饲养密度、加强通风、饲料中加入添加剂、喷洒除臭剂等，恶臭去除率可达到</w:t>
            </w:r>
            <w:r>
              <w:rPr>
                <w:kern w:val="0"/>
                <w:sz w:val="21"/>
                <w:szCs w:val="21"/>
              </w:rPr>
              <w:t>90</w:t>
            </w:r>
            <w:r>
              <w:rPr>
                <w:rFonts w:hint="eastAsia"/>
                <w:kern w:val="0"/>
                <w:sz w:val="21"/>
                <w:szCs w:val="21"/>
              </w:rPr>
              <w:t>%以上</w:t>
            </w:r>
          </w:p>
        </w:tc>
        <w:tc>
          <w:tcPr>
            <w:tcW w:w="1060" w:type="dxa"/>
            <w:vAlign w:val="center"/>
          </w:tcPr>
          <w:p>
            <w:pPr>
              <w:autoSpaceDE w:val="0"/>
              <w:autoSpaceDN w:val="0"/>
              <w:spacing w:line="240" w:lineRule="auto"/>
              <w:ind w:firstLine="0" w:firstLineChars="0"/>
              <w:jc w:val="center"/>
              <w:rPr>
                <w:kern w:val="0"/>
                <w:sz w:val="21"/>
                <w:szCs w:val="21"/>
              </w:rPr>
            </w:pPr>
            <w:r>
              <w:rPr>
                <w:rFonts w:hint="eastAsia"/>
                <w:kern w:val="0"/>
                <w:sz w:val="21"/>
                <w:szCs w:val="21"/>
              </w:rPr>
              <w:t>0.0</w:t>
            </w:r>
            <w:r>
              <w:rPr>
                <w:kern w:val="0"/>
                <w:sz w:val="21"/>
                <w:szCs w:val="21"/>
              </w:rPr>
              <w:t>39</w:t>
            </w:r>
          </w:p>
        </w:tc>
        <w:tc>
          <w:tcPr>
            <w:tcW w:w="1067" w:type="dxa"/>
            <w:tcBorders>
              <w:right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7" w:type="dxa"/>
            <w:tcBorders>
              <w:left w:val="single" w:color="auto" w:sz="12" w:space="0"/>
              <w:bottom w:val="single" w:color="auto" w:sz="12" w:space="0"/>
            </w:tcBorders>
            <w:vAlign w:val="center"/>
          </w:tcPr>
          <w:p>
            <w:pPr>
              <w:autoSpaceDE w:val="0"/>
              <w:autoSpaceDN w:val="0"/>
              <w:spacing w:line="240" w:lineRule="auto"/>
              <w:ind w:firstLine="0" w:firstLineChars="0"/>
              <w:jc w:val="center"/>
              <w:rPr>
                <w:kern w:val="0"/>
                <w:sz w:val="21"/>
                <w:szCs w:val="21"/>
              </w:rPr>
            </w:pPr>
            <w:r>
              <w:rPr>
                <w:kern w:val="0"/>
                <w:sz w:val="21"/>
                <w:szCs w:val="21"/>
              </w:rPr>
              <w:t>H</w:t>
            </w:r>
            <w:r>
              <w:rPr>
                <w:kern w:val="0"/>
                <w:sz w:val="21"/>
                <w:szCs w:val="21"/>
                <w:vertAlign w:val="subscript"/>
              </w:rPr>
              <w:t>2</w:t>
            </w:r>
            <w:r>
              <w:rPr>
                <w:kern w:val="0"/>
                <w:sz w:val="21"/>
                <w:szCs w:val="21"/>
              </w:rPr>
              <w:t>S</w:t>
            </w:r>
          </w:p>
        </w:tc>
        <w:tc>
          <w:tcPr>
            <w:tcW w:w="1022" w:type="dxa"/>
            <w:tcBorders>
              <w:bottom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0.064</w:t>
            </w:r>
          </w:p>
        </w:tc>
        <w:tc>
          <w:tcPr>
            <w:tcW w:w="1108" w:type="dxa"/>
            <w:tcBorders>
              <w:bottom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0.0</w:t>
            </w:r>
            <w:r>
              <w:rPr>
                <w:kern w:val="0"/>
                <w:sz w:val="21"/>
                <w:szCs w:val="21"/>
              </w:rPr>
              <w:t>07</w:t>
            </w:r>
          </w:p>
        </w:tc>
        <w:tc>
          <w:tcPr>
            <w:tcW w:w="3038" w:type="dxa"/>
            <w:vMerge w:val="continue"/>
            <w:tcBorders>
              <w:bottom w:val="single" w:color="auto" w:sz="12" w:space="0"/>
            </w:tcBorders>
            <w:vAlign w:val="center"/>
          </w:tcPr>
          <w:p>
            <w:pPr>
              <w:autoSpaceDE w:val="0"/>
              <w:autoSpaceDN w:val="0"/>
              <w:spacing w:line="240" w:lineRule="auto"/>
              <w:ind w:firstLine="0" w:firstLineChars="0"/>
              <w:jc w:val="center"/>
              <w:rPr>
                <w:kern w:val="0"/>
                <w:sz w:val="21"/>
                <w:szCs w:val="21"/>
              </w:rPr>
            </w:pPr>
          </w:p>
        </w:tc>
        <w:tc>
          <w:tcPr>
            <w:tcW w:w="1060" w:type="dxa"/>
            <w:tcBorders>
              <w:bottom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0.0</w:t>
            </w:r>
            <w:r>
              <w:rPr>
                <w:kern w:val="0"/>
                <w:sz w:val="21"/>
                <w:szCs w:val="21"/>
              </w:rPr>
              <w:t>06</w:t>
            </w:r>
          </w:p>
        </w:tc>
        <w:tc>
          <w:tcPr>
            <w:tcW w:w="1067" w:type="dxa"/>
            <w:tcBorders>
              <w:bottom w:val="single" w:color="auto" w:sz="12" w:space="0"/>
              <w:right w:val="single" w:color="auto" w:sz="12" w:space="0"/>
            </w:tcBorders>
            <w:vAlign w:val="center"/>
          </w:tcPr>
          <w:p>
            <w:pPr>
              <w:autoSpaceDE w:val="0"/>
              <w:autoSpaceDN w:val="0"/>
              <w:spacing w:line="240" w:lineRule="auto"/>
              <w:ind w:firstLine="0" w:firstLineChars="0"/>
              <w:jc w:val="center"/>
              <w:rPr>
                <w:kern w:val="0"/>
                <w:sz w:val="21"/>
                <w:szCs w:val="21"/>
              </w:rPr>
            </w:pPr>
            <w:r>
              <w:rPr>
                <w:rFonts w:hint="eastAsia"/>
                <w:kern w:val="0"/>
                <w:sz w:val="21"/>
                <w:szCs w:val="21"/>
              </w:rPr>
              <w:t>0.0007</w:t>
            </w:r>
          </w:p>
        </w:tc>
      </w:tr>
    </w:tbl>
    <w:p>
      <w:pPr>
        <w:pStyle w:val="85"/>
      </w:pPr>
    </w:p>
    <w:p>
      <w:pPr>
        <w:ind w:firstLine="480"/>
      </w:pPr>
      <w:r>
        <w:rPr>
          <w:rFonts w:hint="eastAsia"/>
        </w:rPr>
        <w:t>（2）堆</w:t>
      </w:r>
      <w:r>
        <w:t>粪区</w:t>
      </w:r>
      <w:r>
        <w:rPr>
          <w:rFonts w:hint="eastAsia"/>
        </w:rPr>
        <w:t>恶臭</w:t>
      </w:r>
    </w:p>
    <w:p>
      <w:pPr>
        <w:ind w:firstLine="480"/>
        <w:rPr>
          <w:kern w:val="0"/>
        </w:rPr>
      </w:pPr>
      <w:r>
        <w:rPr>
          <w:rFonts w:hint="eastAsia"/>
          <w:kern w:val="0"/>
        </w:rPr>
        <w:t>根据中国环境科学学会学术年会论文集（</w:t>
      </w:r>
      <w:r>
        <w:rPr>
          <w:kern w:val="0"/>
        </w:rPr>
        <w:t>2010)</w:t>
      </w:r>
      <w:r>
        <w:rPr>
          <w:rFonts w:hint="eastAsia"/>
          <w:kern w:val="0"/>
        </w:rPr>
        <w:t>中的《养猪场恶臭影响量化分析及控制对策研究》（天津市环境影响评价中心，孙艳青、张潞、李万庆）资料及调研同规模项目等资料：依据养殖场猪粪堆场监测的相关统计资料，NH</w:t>
      </w:r>
      <w:r>
        <w:rPr>
          <w:rFonts w:hint="eastAsia"/>
          <w:kern w:val="0"/>
          <w:vertAlign w:val="subscript"/>
        </w:rPr>
        <w:t>3</w:t>
      </w:r>
      <w:r>
        <w:rPr>
          <w:rFonts w:hint="eastAsia"/>
          <w:kern w:val="0"/>
        </w:rPr>
        <w:t>的平均排放量是</w:t>
      </w:r>
      <w:r>
        <w:rPr>
          <w:kern w:val="0"/>
        </w:rPr>
        <w:t>4.35g /</w:t>
      </w:r>
      <w:r>
        <w:rPr>
          <w:rFonts w:hint="eastAsia"/>
          <w:kern w:val="0"/>
        </w:rPr>
        <w:t>（</w:t>
      </w:r>
      <w:r>
        <w:rPr>
          <w:kern w:val="0"/>
        </w:rPr>
        <w:t>m</w:t>
      </w:r>
      <w:r>
        <w:rPr>
          <w:kern w:val="0"/>
          <w:vertAlign w:val="superscript"/>
        </w:rPr>
        <w:t>2</w:t>
      </w:r>
      <w:r>
        <w:rPr>
          <w:kern w:val="0"/>
        </w:rPr>
        <w:t>·d )</w:t>
      </w:r>
      <w:r>
        <w:rPr>
          <w:rFonts w:hint="eastAsia"/>
          <w:kern w:val="0"/>
        </w:rPr>
        <w:t>，恶臭排放随着处罝方式的改变而改变，在没有任何掩盖以及猪粪没有结皮的情况下，</w:t>
      </w:r>
      <w:r>
        <w:rPr>
          <w:kern w:val="0"/>
        </w:rPr>
        <w:t>NH</w:t>
      </w:r>
      <w:r>
        <w:rPr>
          <w:kern w:val="0"/>
          <w:vertAlign w:val="subscript"/>
        </w:rPr>
        <w:t>3</w:t>
      </w:r>
      <w:r>
        <w:rPr>
          <w:rFonts w:hint="eastAsia"/>
          <w:kern w:val="0"/>
        </w:rPr>
        <w:t>排放强度为</w:t>
      </w:r>
      <w:r>
        <w:rPr>
          <w:kern w:val="0"/>
        </w:rPr>
        <w:t>5.2g/( m</w:t>
      </w:r>
      <w:r>
        <w:rPr>
          <w:kern w:val="0"/>
          <w:vertAlign w:val="superscript"/>
        </w:rPr>
        <w:t>2</w:t>
      </w:r>
      <w:r>
        <w:rPr>
          <w:kern w:val="0"/>
        </w:rPr>
        <w:t xml:space="preserve">·d ) </w:t>
      </w:r>
      <w:r>
        <w:rPr>
          <w:rFonts w:hint="eastAsia"/>
          <w:kern w:val="0"/>
        </w:rPr>
        <w:t>，</w:t>
      </w:r>
      <w:r>
        <w:rPr>
          <w:kern w:val="0"/>
        </w:rPr>
        <w:t>H</w:t>
      </w:r>
      <w:r>
        <w:rPr>
          <w:kern w:val="0"/>
          <w:vertAlign w:val="subscript"/>
        </w:rPr>
        <w:t>2</w:t>
      </w:r>
      <w:r>
        <w:rPr>
          <w:kern w:val="0"/>
        </w:rPr>
        <w:t>S</w:t>
      </w:r>
      <w:r>
        <w:rPr>
          <w:rFonts w:hint="eastAsia"/>
          <w:kern w:val="0"/>
        </w:rPr>
        <w:t>排放强度为</w:t>
      </w:r>
      <w:r>
        <w:rPr>
          <w:kern w:val="0"/>
        </w:rPr>
        <w:t>0.3g/m</w:t>
      </w:r>
      <w:r>
        <w:rPr>
          <w:kern w:val="0"/>
          <w:vertAlign w:val="superscript"/>
        </w:rPr>
        <w:t>2</w:t>
      </w:r>
      <w:r>
        <w:rPr>
          <w:kern w:val="0"/>
        </w:rPr>
        <w:t xml:space="preserve"> ·d</w:t>
      </w:r>
      <w:r>
        <w:rPr>
          <w:rFonts w:hint="eastAsia"/>
          <w:kern w:val="0"/>
        </w:rPr>
        <w:t>，本项目按最不利因素考虑，</w:t>
      </w:r>
      <w:r>
        <w:rPr>
          <w:kern w:val="0"/>
        </w:rPr>
        <w:t>NH</w:t>
      </w:r>
      <w:r>
        <w:rPr>
          <w:kern w:val="0"/>
          <w:vertAlign w:val="subscript"/>
        </w:rPr>
        <w:t>3</w:t>
      </w:r>
      <w:r>
        <w:rPr>
          <w:rFonts w:hint="eastAsia"/>
          <w:kern w:val="0"/>
        </w:rPr>
        <w:t>排放强度按</w:t>
      </w:r>
      <w:r>
        <w:rPr>
          <w:kern w:val="0"/>
        </w:rPr>
        <w:t>5.2g/( m</w:t>
      </w:r>
      <w:r>
        <w:rPr>
          <w:kern w:val="0"/>
          <w:vertAlign w:val="superscript"/>
        </w:rPr>
        <w:t>2</w:t>
      </w:r>
      <w:r>
        <w:rPr>
          <w:kern w:val="0"/>
        </w:rPr>
        <w:t>·d )</w:t>
      </w:r>
      <w:r>
        <w:rPr>
          <w:rFonts w:hint="eastAsia"/>
          <w:kern w:val="0"/>
        </w:rPr>
        <w:t>，</w:t>
      </w:r>
      <w:r>
        <w:rPr>
          <w:kern w:val="0"/>
        </w:rPr>
        <w:t>H</w:t>
      </w:r>
      <w:r>
        <w:rPr>
          <w:kern w:val="0"/>
          <w:vertAlign w:val="subscript"/>
        </w:rPr>
        <w:t>2</w:t>
      </w:r>
      <w:r>
        <w:rPr>
          <w:kern w:val="0"/>
        </w:rPr>
        <w:t xml:space="preserve">S </w:t>
      </w:r>
      <w:r>
        <w:rPr>
          <w:rFonts w:hint="eastAsia"/>
          <w:kern w:val="0"/>
        </w:rPr>
        <w:t>排放强度为</w:t>
      </w:r>
      <w:r>
        <w:rPr>
          <w:kern w:val="0"/>
        </w:rPr>
        <w:t>0.3g/m</w:t>
      </w:r>
      <w:r>
        <w:rPr>
          <w:kern w:val="0"/>
          <w:vertAlign w:val="superscript"/>
        </w:rPr>
        <w:t>2</w:t>
      </w:r>
      <w:r>
        <w:rPr>
          <w:kern w:val="0"/>
        </w:rPr>
        <w:t xml:space="preserve">·d </w:t>
      </w:r>
      <w:r>
        <w:rPr>
          <w:rFonts w:hint="eastAsia"/>
          <w:kern w:val="0"/>
        </w:rPr>
        <w:t>计。</w:t>
      </w:r>
    </w:p>
    <w:p>
      <w:pPr>
        <w:ind w:firstLine="480"/>
        <w:rPr>
          <w:kern w:val="0"/>
        </w:rPr>
      </w:pPr>
      <w:r>
        <w:rPr>
          <w:rFonts w:hint="eastAsia"/>
          <w:kern w:val="0"/>
        </w:rPr>
        <w:t>本项目堆粪棚面积为</w:t>
      </w:r>
      <w:r>
        <w:rPr>
          <w:kern w:val="0"/>
        </w:rPr>
        <w:t>30</w:t>
      </w:r>
      <w:r>
        <w:rPr>
          <w:rFonts w:hint="eastAsia"/>
          <w:kern w:val="0"/>
        </w:rPr>
        <w:t>0</w:t>
      </w:r>
      <w:r>
        <w:rPr>
          <w:kern w:val="0"/>
        </w:rPr>
        <w:t>m</w:t>
      </w:r>
      <w:r>
        <w:rPr>
          <w:kern w:val="0"/>
          <w:vertAlign w:val="superscript"/>
        </w:rPr>
        <w:t>2</w:t>
      </w:r>
      <w:r>
        <w:rPr>
          <w:rFonts w:hint="eastAsia"/>
          <w:kern w:val="0"/>
        </w:rPr>
        <w:t>，故</w:t>
      </w:r>
      <w:r>
        <w:rPr>
          <w:kern w:val="0"/>
        </w:rPr>
        <w:t>NH</w:t>
      </w:r>
      <w:r>
        <w:rPr>
          <w:kern w:val="0"/>
          <w:vertAlign w:val="subscript"/>
        </w:rPr>
        <w:t>3</w:t>
      </w:r>
      <w:r>
        <w:rPr>
          <w:rFonts w:hint="eastAsia"/>
          <w:kern w:val="0"/>
        </w:rPr>
        <w:t>的产生量为0.</w:t>
      </w:r>
      <w:r>
        <w:rPr>
          <w:kern w:val="0"/>
        </w:rPr>
        <w:t>569t/a</w:t>
      </w:r>
      <w:r>
        <w:rPr>
          <w:rFonts w:hint="eastAsia"/>
          <w:kern w:val="0"/>
        </w:rPr>
        <w:t>，</w:t>
      </w:r>
      <w:r>
        <w:rPr>
          <w:kern w:val="0"/>
        </w:rPr>
        <w:t>H</w:t>
      </w:r>
      <w:r>
        <w:rPr>
          <w:kern w:val="0"/>
          <w:vertAlign w:val="subscript"/>
        </w:rPr>
        <w:t>2</w:t>
      </w:r>
      <w:r>
        <w:rPr>
          <w:kern w:val="0"/>
        </w:rPr>
        <w:t>S</w:t>
      </w:r>
      <w:r>
        <w:rPr>
          <w:rFonts w:hint="eastAsia"/>
          <w:kern w:val="0"/>
        </w:rPr>
        <w:t>的产生量0.0</w:t>
      </w:r>
      <w:r>
        <w:rPr>
          <w:kern w:val="0"/>
        </w:rPr>
        <w:t>33t/a</w:t>
      </w:r>
      <w:r>
        <w:rPr>
          <w:rFonts w:hint="eastAsia"/>
          <w:kern w:val="0"/>
        </w:rPr>
        <w:t>。</w:t>
      </w:r>
    </w:p>
    <w:p>
      <w:pPr>
        <w:ind w:firstLine="480"/>
      </w:pPr>
      <w:r>
        <w:rPr>
          <w:rFonts w:hint="eastAsia"/>
        </w:rPr>
        <w:t>针对堆粪棚的恶臭去除，本项目拟对堆粪棚喷洒植物性除臭剂，去除效率85%以上，则本项目NH</w:t>
      </w:r>
      <w:r>
        <w:rPr>
          <w:rFonts w:hint="eastAsia"/>
          <w:vertAlign w:val="subscript"/>
        </w:rPr>
        <w:t>3</w:t>
      </w:r>
      <w:r>
        <w:rPr>
          <w:rFonts w:hint="eastAsia"/>
        </w:rPr>
        <w:t>、H</w:t>
      </w:r>
      <w:r>
        <w:rPr>
          <w:rFonts w:hint="eastAsia"/>
          <w:vertAlign w:val="subscript"/>
        </w:rPr>
        <w:t>2</w:t>
      </w:r>
      <w:r>
        <w:rPr>
          <w:rFonts w:hint="eastAsia"/>
        </w:rPr>
        <w:t>S的排放量分别为0.0</w:t>
      </w:r>
      <w:r>
        <w:t>85</w:t>
      </w:r>
      <w:r>
        <w:rPr>
          <w:rFonts w:hint="eastAsia"/>
        </w:rPr>
        <w:t>t/a和0.005t/a。项目堆粪场恶臭污染物产排情况见表3.</w:t>
      </w:r>
      <w:r>
        <w:t>3-5</w:t>
      </w:r>
      <w:r>
        <w:rPr>
          <w:rFonts w:hint="eastAsia"/>
        </w:rPr>
        <w:t>。</w:t>
      </w:r>
    </w:p>
    <w:p>
      <w:pPr>
        <w:spacing w:line="500" w:lineRule="exact"/>
        <w:ind w:firstLine="0" w:firstLineChars="0"/>
        <w:jc w:val="center"/>
        <w:rPr>
          <w:b/>
          <w:bCs/>
          <w:szCs w:val="24"/>
        </w:rPr>
      </w:pPr>
      <w:r>
        <w:rPr>
          <w:b/>
          <w:bCs/>
          <w:szCs w:val="24"/>
        </w:rPr>
        <w:t>表3.3-5</w:t>
      </w:r>
      <w:r>
        <w:rPr>
          <w:rFonts w:hint="eastAsia"/>
          <w:b/>
          <w:bCs/>
          <w:szCs w:val="24"/>
        </w:rPr>
        <w:t xml:space="preserve"> </w:t>
      </w:r>
      <w:r>
        <w:rPr>
          <w:b/>
          <w:bCs/>
          <w:szCs w:val="24"/>
        </w:rPr>
        <w:t xml:space="preserve"> </w:t>
      </w:r>
      <w:r>
        <w:rPr>
          <w:rFonts w:hint="eastAsia"/>
          <w:b/>
          <w:bCs/>
          <w:szCs w:val="24"/>
        </w:rPr>
        <w:t>堆粪区</w:t>
      </w:r>
      <w:r>
        <w:rPr>
          <w:b/>
          <w:bCs/>
          <w:szCs w:val="24"/>
        </w:rPr>
        <w:t>恶臭产</w:t>
      </w:r>
      <w:r>
        <w:rPr>
          <w:rFonts w:hint="eastAsia"/>
          <w:b/>
          <w:bCs/>
          <w:szCs w:val="24"/>
        </w:rPr>
        <w:t>排</w:t>
      </w:r>
      <w:r>
        <w:rPr>
          <w:b/>
          <w:bCs/>
          <w:szCs w:val="24"/>
        </w:rPr>
        <w:t>情况一览表</w:t>
      </w:r>
    </w:p>
    <w:tbl>
      <w:tblPr>
        <w:tblStyle w:val="27"/>
        <w:tblW w:w="86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50"/>
        <w:gridCol w:w="1074"/>
        <w:gridCol w:w="968"/>
        <w:gridCol w:w="1147"/>
        <w:gridCol w:w="2008"/>
        <w:gridCol w:w="1147"/>
        <w:gridCol w:w="1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restart"/>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产污环节</w:t>
            </w:r>
          </w:p>
        </w:tc>
        <w:tc>
          <w:tcPr>
            <w:tcW w:w="1074" w:type="dxa"/>
            <w:vMerge w:val="restart"/>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污染因子</w:t>
            </w:r>
          </w:p>
        </w:tc>
        <w:tc>
          <w:tcPr>
            <w:tcW w:w="2115" w:type="dxa"/>
            <w:gridSpan w:val="2"/>
            <w:vAlign w:val="center"/>
          </w:tcPr>
          <w:p>
            <w:pPr>
              <w:autoSpaceDE w:val="0"/>
              <w:autoSpaceDN w:val="0"/>
              <w:spacing w:line="280" w:lineRule="exact"/>
              <w:ind w:firstLine="0" w:firstLineChars="0"/>
              <w:jc w:val="center"/>
              <w:rPr>
                <w:b/>
                <w:bCs/>
                <w:kern w:val="0"/>
                <w:sz w:val="21"/>
                <w:szCs w:val="21"/>
              </w:rPr>
            </w:pPr>
            <w:r>
              <w:rPr>
                <w:b/>
                <w:bCs/>
                <w:kern w:val="0"/>
                <w:sz w:val="21"/>
                <w:szCs w:val="21"/>
              </w:rPr>
              <w:t>污染物产生情况</w:t>
            </w:r>
          </w:p>
        </w:tc>
        <w:tc>
          <w:tcPr>
            <w:tcW w:w="2008" w:type="dxa"/>
            <w:vMerge w:val="restart"/>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处理措施</w:t>
            </w:r>
          </w:p>
        </w:tc>
        <w:tc>
          <w:tcPr>
            <w:tcW w:w="2329" w:type="dxa"/>
            <w:gridSpan w:val="2"/>
            <w:vAlign w:val="center"/>
          </w:tcPr>
          <w:p>
            <w:pPr>
              <w:autoSpaceDE w:val="0"/>
              <w:autoSpaceDN w:val="0"/>
              <w:spacing w:line="280" w:lineRule="exact"/>
              <w:ind w:firstLine="0" w:firstLineChars="0"/>
              <w:jc w:val="center"/>
              <w:rPr>
                <w:b/>
                <w:bCs/>
                <w:kern w:val="0"/>
                <w:sz w:val="21"/>
                <w:szCs w:val="21"/>
              </w:rPr>
            </w:pPr>
            <w:r>
              <w:rPr>
                <w:b/>
                <w:bCs/>
                <w:kern w:val="0"/>
                <w:sz w:val="21"/>
                <w:szCs w:val="21"/>
              </w:rPr>
              <w:t>污染物排放情况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continue"/>
            <w:vAlign w:val="center"/>
          </w:tcPr>
          <w:p>
            <w:pPr>
              <w:autoSpaceDE w:val="0"/>
              <w:autoSpaceDN w:val="0"/>
              <w:spacing w:line="280" w:lineRule="exact"/>
              <w:ind w:firstLine="0" w:firstLineChars="0"/>
              <w:jc w:val="center"/>
              <w:rPr>
                <w:b/>
                <w:bCs/>
                <w:kern w:val="0"/>
                <w:sz w:val="21"/>
                <w:szCs w:val="21"/>
              </w:rPr>
            </w:pPr>
          </w:p>
        </w:tc>
        <w:tc>
          <w:tcPr>
            <w:tcW w:w="1074" w:type="dxa"/>
            <w:vMerge w:val="continue"/>
            <w:vAlign w:val="center"/>
          </w:tcPr>
          <w:p>
            <w:pPr>
              <w:autoSpaceDE w:val="0"/>
              <w:autoSpaceDN w:val="0"/>
              <w:spacing w:line="280" w:lineRule="exact"/>
              <w:ind w:firstLine="0" w:firstLineChars="0"/>
              <w:jc w:val="center"/>
              <w:rPr>
                <w:b/>
                <w:bCs/>
                <w:kern w:val="0"/>
                <w:sz w:val="21"/>
                <w:szCs w:val="21"/>
              </w:rPr>
            </w:pPr>
          </w:p>
        </w:tc>
        <w:tc>
          <w:tcPr>
            <w:tcW w:w="968"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产生量</w:t>
            </w:r>
          </w:p>
        </w:tc>
        <w:tc>
          <w:tcPr>
            <w:tcW w:w="1147"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产生速率</w:t>
            </w:r>
          </w:p>
        </w:tc>
        <w:tc>
          <w:tcPr>
            <w:tcW w:w="2008" w:type="dxa"/>
            <w:vMerge w:val="continue"/>
            <w:vAlign w:val="center"/>
          </w:tcPr>
          <w:p>
            <w:pPr>
              <w:autoSpaceDE w:val="0"/>
              <w:autoSpaceDN w:val="0"/>
              <w:spacing w:line="280" w:lineRule="exact"/>
              <w:ind w:firstLine="0" w:firstLineChars="0"/>
              <w:jc w:val="center"/>
              <w:rPr>
                <w:b/>
                <w:bCs/>
                <w:kern w:val="0"/>
                <w:sz w:val="21"/>
                <w:szCs w:val="21"/>
              </w:rPr>
            </w:pPr>
          </w:p>
        </w:tc>
        <w:tc>
          <w:tcPr>
            <w:tcW w:w="1147"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排放量</w:t>
            </w:r>
          </w:p>
        </w:tc>
        <w:tc>
          <w:tcPr>
            <w:tcW w:w="1182"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排放速率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restart"/>
            <w:vAlign w:val="center"/>
          </w:tcPr>
          <w:p>
            <w:pPr>
              <w:autoSpaceDE w:val="0"/>
              <w:autoSpaceDN w:val="0"/>
              <w:spacing w:line="280" w:lineRule="exact"/>
              <w:ind w:firstLine="0" w:firstLineChars="0"/>
              <w:jc w:val="center"/>
              <w:rPr>
                <w:kern w:val="0"/>
                <w:sz w:val="21"/>
                <w:szCs w:val="21"/>
              </w:rPr>
            </w:pPr>
            <w:r>
              <w:rPr>
                <w:rFonts w:hint="eastAsia"/>
                <w:kern w:val="0"/>
                <w:sz w:val="21"/>
                <w:szCs w:val="21"/>
              </w:rPr>
              <w:t>猪粪堆存晾晒</w:t>
            </w:r>
          </w:p>
        </w:tc>
        <w:tc>
          <w:tcPr>
            <w:tcW w:w="1074" w:type="dxa"/>
            <w:vAlign w:val="center"/>
          </w:tcPr>
          <w:p>
            <w:pPr>
              <w:autoSpaceDE w:val="0"/>
              <w:autoSpaceDN w:val="0"/>
              <w:spacing w:line="280" w:lineRule="exact"/>
              <w:ind w:firstLine="0" w:firstLineChars="0"/>
              <w:jc w:val="center"/>
              <w:rPr>
                <w:kern w:val="0"/>
                <w:sz w:val="21"/>
                <w:szCs w:val="21"/>
              </w:rPr>
            </w:pPr>
            <w:r>
              <w:rPr>
                <w:spacing w:val="-4"/>
                <w:kern w:val="0"/>
                <w:position w:val="2"/>
                <w:sz w:val="21"/>
                <w:szCs w:val="21"/>
              </w:rPr>
              <w:t>NH</w:t>
            </w:r>
            <w:r>
              <w:rPr>
                <w:spacing w:val="-4"/>
                <w:kern w:val="0"/>
                <w:position w:val="2"/>
                <w:sz w:val="21"/>
                <w:szCs w:val="21"/>
                <w:vertAlign w:val="subscript"/>
              </w:rPr>
              <w:t>3</w:t>
            </w:r>
          </w:p>
        </w:tc>
        <w:tc>
          <w:tcPr>
            <w:tcW w:w="968" w:type="dxa"/>
            <w:vAlign w:val="center"/>
          </w:tcPr>
          <w:p>
            <w:pPr>
              <w:autoSpaceDE w:val="0"/>
              <w:autoSpaceDN w:val="0"/>
              <w:spacing w:line="280" w:lineRule="exact"/>
              <w:ind w:firstLine="0" w:firstLineChars="0"/>
              <w:jc w:val="center"/>
              <w:rPr>
                <w:kern w:val="0"/>
                <w:sz w:val="21"/>
                <w:szCs w:val="21"/>
              </w:rPr>
            </w:pPr>
            <w:r>
              <w:rPr>
                <w:kern w:val="0"/>
                <w:sz w:val="21"/>
                <w:szCs w:val="21"/>
              </w:rPr>
              <w:t>0.569</w:t>
            </w:r>
            <w:r>
              <w:rPr>
                <w:rFonts w:hint="eastAsia"/>
                <w:kern w:val="0"/>
                <w:sz w:val="21"/>
                <w:szCs w:val="21"/>
              </w:rPr>
              <w:t>t</w:t>
            </w:r>
            <w:r>
              <w:rPr>
                <w:kern w:val="0"/>
                <w:sz w:val="21"/>
                <w:szCs w:val="21"/>
              </w:rPr>
              <w:t>/</w:t>
            </w:r>
            <w:r>
              <w:rPr>
                <w:rFonts w:hint="eastAsia"/>
                <w:kern w:val="0"/>
                <w:sz w:val="21"/>
                <w:szCs w:val="21"/>
              </w:rPr>
              <w:t>a</w:t>
            </w:r>
          </w:p>
        </w:tc>
        <w:tc>
          <w:tcPr>
            <w:tcW w:w="1147" w:type="dxa"/>
            <w:vAlign w:val="center"/>
          </w:tcPr>
          <w:p>
            <w:pPr>
              <w:autoSpaceDE w:val="0"/>
              <w:autoSpaceDN w:val="0"/>
              <w:spacing w:line="280" w:lineRule="exact"/>
              <w:ind w:firstLine="0" w:firstLineChars="0"/>
              <w:jc w:val="center"/>
              <w:rPr>
                <w:kern w:val="0"/>
                <w:sz w:val="21"/>
                <w:szCs w:val="21"/>
                <w:highlight w:val="red"/>
              </w:rPr>
            </w:pPr>
            <w:r>
              <w:rPr>
                <w:kern w:val="0"/>
                <w:sz w:val="21"/>
                <w:szCs w:val="21"/>
              </w:rPr>
              <w:t>0.065</w:t>
            </w:r>
            <w:r>
              <w:rPr>
                <w:rFonts w:hint="eastAsia"/>
                <w:kern w:val="0"/>
                <w:sz w:val="21"/>
                <w:szCs w:val="21"/>
              </w:rPr>
              <w:t>kg</w:t>
            </w:r>
            <w:r>
              <w:rPr>
                <w:kern w:val="0"/>
                <w:sz w:val="21"/>
                <w:szCs w:val="21"/>
              </w:rPr>
              <w:t>/</w:t>
            </w:r>
            <w:r>
              <w:rPr>
                <w:rFonts w:hint="eastAsia"/>
                <w:kern w:val="0"/>
                <w:sz w:val="21"/>
                <w:szCs w:val="21"/>
              </w:rPr>
              <w:t>h</w:t>
            </w:r>
          </w:p>
        </w:tc>
        <w:tc>
          <w:tcPr>
            <w:tcW w:w="2008" w:type="dxa"/>
            <w:vMerge w:val="restart"/>
            <w:vAlign w:val="center"/>
          </w:tcPr>
          <w:p>
            <w:pPr>
              <w:autoSpaceDE w:val="0"/>
              <w:autoSpaceDN w:val="0"/>
              <w:spacing w:line="280" w:lineRule="exact"/>
              <w:ind w:firstLine="0" w:firstLineChars="0"/>
              <w:jc w:val="center"/>
              <w:rPr>
                <w:kern w:val="0"/>
                <w:sz w:val="21"/>
                <w:szCs w:val="21"/>
              </w:rPr>
            </w:pPr>
            <w:r>
              <w:rPr>
                <w:rFonts w:hint="eastAsia"/>
                <w:kern w:val="0"/>
                <w:sz w:val="21"/>
                <w:szCs w:val="21"/>
              </w:rPr>
              <w:t>干</w:t>
            </w:r>
            <w:r>
              <w:rPr>
                <w:kern w:val="0"/>
                <w:sz w:val="21"/>
                <w:szCs w:val="21"/>
              </w:rPr>
              <w:t>清粪，</w:t>
            </w:r>
            <w:r>
              <w:rPr>
                <w:rFonts w:hint="eastAsia"/>
                <w:kern w:val="0"/>
                <w:sz w:val="21"/>
                <w:szCs w:val="21"/>
              </w:rPr>
              <w:t>设置</w:t>
            </w:r>
            <w:r>
              <w:rPr>
                <w:kern w:val="0"/>
                <w:sz w:val="21"/>
                <w:szCs w:val="21"/>
              </w:rPr>
              <w:t>堆粪棚，</w:t>
            </w:r>
            <w:r>
              <w:rPr>
                <w:rFonts w:hint="eastAsia"/>
                <w:kern w:val="0"/>
                <w:sz w:val="21"/>
                <w:szCs w:val="21"/>
              </w:rPr>
              <w:t>喷洒植物性除臭剂，及时清运</w:t>
            </w:r>
            <w:r>
              <w:rPr>
                <w:kern w:val="0"/>
                <w:sz w:val="21"/>
                <w:szCs w:val="21"/>
              </w:rPr>
              <w:t>，</w:t>
            </w:r>
            <w:r>
              <w:rPr>
                <w:rFonts w:hint="eastAsia"/>
                <w:kern w:val="0"/>
                <w:sz w:val="21"/>
                <w:szCs w:val="21"/>
              </w:rPr>
              <w:t>除臭</w:t>
            </w:r>
            <w:r>
              <w:rPr>
                <w:kern w:val="0"/>
                <w:sz w:val="21"/>
                <w:szCs w:val="21"/>
              </w:rPr>
              <w:t>效率</w:t>
            </w:r>
            <w:r>
              <w:rPr>
                <w:rFonts w:hint="eastAsia"/>
                <w:kern w:val="0"/>
                <w:sz w:val="21"/>
                <w:szCs w:val="21"/>
              </w:rPr>
              <w:t>为</w:t>
            </w:r>
            <w:r>
              <w:rPr>
                <w:kern w:val="0"/>
                <w:sz w:val="21"/>
                <w:szCs w:val="21"/>
              </w:rPr>
              <w:t>85%</w:t>
            </w:r>
          </w:p>
        </w:tc>
        <w:tc>
          <w:tcPr>
            <w:tcW w:w="1147" w:type="dxa"/>
            <w:vAlign w:val="center"/>
          </w:tcPr>
          <w:p>
            <w:pPr>
              <w:autoSpaceDE w:val="0"/>
              <w:autoSpaceDN w:val="0"/>
              <w:spacing w:line="280" w:lineRule="exact"/>
              <w:ind w:firstLine="0" w:firstLineChars="0"/>
              <w:jc w:val="center"/>
              <w:rPr>
                <w:kern w:val="0"/>
                <w:sz w:val="21"/>
                <w:szCs w:val="21"/>
              </w:rPr>
            </w:pPr>
            <w:r>
              <w:rPr>
                <w:kern w:val="0"/>
                <w:sz w:val="21"/>
                <w:szCs w:val="21"/>
              </w:rPr>
              <w:t>0.085</w:t>
            </w:r>
            <w:r>
              <w:rPr>
                <w:rFonts w:hint="eastAsia"/>
                <w:kern w:val="0"/>
                <w:sz w:val="21"/>
                <w:szCs w:val="21"/>
              </w:rPr>
              <w:t>t</w:t>
            </w:r>
            <w:r>
              <w:rPr>
                <w:kern w:val="0"/>
                <w:sz w:val="21"/>
                <w:szCs w:val="21"/>
              </w:rPr>
              <w:t>/</w:t>
            </w:r>
            <w:r>
              <w:rPr>
                <w:rFonts w:hint="eastAsia"/>
                <w:kern w:val="0"/>
                <w:sz w:val="21"/>
                <w:szCs w:val="21"/>
              </w:rPr>
              <w:t>a</w:t>
            </w:r>
          </w:p>
        </w:tc>
        <w:tc>
          <w:tcPr>
            <w:tcW w:w="1182" w:type="dxa"/>
            <w:vAlign w:val="center"/>
          </w:tcPr>
          <w:p>
            <w:pPr>
              <w:autoSpaceDE w:val="0"/>
              <w:autoSpaceDN w:val="0"/>
              <w:spacing w:line="280" w:lineRule="exact"/>
              <w:ind w:firstLine="0" w:firstLineChars="0"/>
              <w:jc w:val="center"/>
              <w:rPr>
                <w:kern w:val="0"/>
                <w:sz w:val="21"/>
                <w:szCs w:val="21"/>
              </w:rPr>
            </w:pPr>
            <w:r>
              <w:rPr>
                <w:kern w:val="0"/>
                <w:sz w:val="21"/>
                <w:szCs w:val="21"/>
              </w:rPr>
              <w:t>0.009</w:t>
            </w:r>
            <w:r>
              <w:rPr>
                <w:rFonts w:hint="eastAsia"/>
                <w:kern w:val="0"/>
                <w:sz w:val="21"/>
                <w:szCs w:val="21"/>
              </w:rPr>
              <w:t>kg</w:t>
            </w:r>
            <w:r>
              <w:rPr>
                <w:kern w:val="0"/>
                <w:sz w:val="21"/>
                <w:szCs w:val="21"/>
              </w:rPr>
              <w:t>/</w:t>
            </w:r>
            <w:r>
              <w:rPr>
                <w:rFonts w:hint="eastAsia"/>
                <w:kern w:val="0"/>
                <w:sz w:val="21"/>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continue"/>
            <w:vAlign w:val="center"/>
          </w:tcPr>
          <w:p>
            <w:pPr>
              <w:widowControl/>
              <w:spacing w:line="280" w:lineRule="exact"/>
              <w:ind w:firstLine="0" w:firstLineChars="0"/>
              <w:jc w:val="left"/>
              <w:rPr>
                <w:kern w:val="0"/>
                <w:sz w:val="21"/>
                <w:szCs w:val="21"/>
              </w:rPr>
            </w:pPr>
          </w:p>
        </w:tc>
        <w:tc>
          <w:tcPr>
            <w:tcW w:w="1074" w:type="dxa"/>
            <w:vAlign w:val="center"/>
          </w:tcPr>
          <w:p>
            <w:pPr>
              <w:widowControl/>
              <w:spacing w:line="280" w:lineRule="exact"/>
              <w:ind w:firstLine="0" w:firstLineChars="0"/>
              <w:jc w:val="center"/>
              <w:rPr>
                <w:kern w:val="0"/>
                <w:sz w:val="21"/>
                <w:szCs w:val="21"/>
              </w:rPr>
            </w:pPr>
            <w:r>
              <w:rPr>
                <w:kern w:val="0"/>
                <w:sz w:val="21"/>
                <w:szCs w:val="21"/>
              </w:rPr>
              <w:t>H</w:t>
            </w:r>
            <w:r>
              <w:rPr>
                <w:kern w:val="0"/>
                <w:sz w:val="21"/>
                <w:szCs w:val="21"/>
                <w:vertAlign w:val="subscript"/>
              </w:rPr>
              <w:t>2</w:t>
            </w:r>
            <w:r>
              <w:rPr>
                <w:kern w:val="0"/>
                <w:sz w:val="21"/>
                <w:szCs w:val="21"/>
              </w:rPr>
              <w:t>S</w:t>
            </w:r>
          </w:p>
        </w:tc>
        <w:tc>
          <w:tcPr>
            <w:tcW w:w="968" w:type="dxa"/>
            <w:vAlign w:val="center"/>
          </w:tcPr>
          <w:p>
            <w:pPr>
              <w:autoSpaceDE w:val="0"/>
              <w:autoSpaceDN w:val="0"/>
              <w:spacing w:line="280" w:lineRule="exact"/>
              <w:ind w:firstLine="0" w:firstLineChars="0"/>
              <w:jc w:val="center"/>
              <w:rPr>
                <w:kern w:val="0"/>
                <w:sz w:val="21"/>
                <w:szCs w:val="21"/>
              </w:rPr>
            </w:pPr>
            <w:r>
              <w:rPr>
                <w:kern w:val="0"/>
                <w:sz w:val="21"/>
                <w:szCs w:val="21"/>
              </w:rPr>
              <w:t>0.033</w:t>
            </w:r>
            <w:r>
              <w:rPr>
                <w:rFonts w:hint="eastAsia"/>
                <w:kern w:val="0"/>
                <w:sz w:val="21"/>
                <w:szCs w:val="21"/>
              </w:rPr>
              <w:t>t</w:t>
            </w:r>
            <w:r>
              <w:rPr>
                <w:kern w:val="0"/>
                <w:sz w:val="21"/>
                <w:szCs w:val="21"/>
              </w:rPr>
              <w:t>/</w:t>
            </w:r>
            <w:r>
              <w:rPr>
                <w:rFonts w:hint="eastAsia"/>
                <w:kern w:val="0"/>
                <w:sz w:val="21"/>
                <w:szCs w:val="21"/>
              </w:rPr>
              <w:t>a</w:t>
            </w:r>
          </w:p>
        </w:tc>
        <w:tc>
          <w:tcPr>
            <w:tcW w:w="1147" w:type="dxa"/>
            <w:vAlign w:val="center"/>
          </w:tcPr>
          <w:p>
            <w:pPr>
              <w:autoSpaceDE w:val="0"/>
              <w:autoSpaceDN w:val="0"/>
              <w:spacing w:line="280" w:lineRule="exact"/>
              <w:ind w:firstLine="0" w:firstLineChars="0"/>
              <w:jc w:val="center"/>
              <w:rPr>
                <w:kern w:val="0"/>
                <w:sz w:val="21"/>
                <w:szCs w:val="21"/>
                <w:highlight w:val="red"/>
              </w:rPr>
            </w:pPr>
            <w:r>
              <w:rPr>
                <w:kern w:val="0"/>
                <w:sz w:val="21"/>
                <w:szCs w:val="21"/>
              </w:rPr>
              <w:t>0.004</w:t>
            </w:r>
            <w:r>
              <w:rPr>
                <w:rFonts w:hint="eastAsia"/>
                <w:kern w:val="0"/>
                <w:sz w:val="21"/>
                <w:szCs w:val="21"/>
              </w:rPr>
              <w:t>kg</w:t>
            </w:r>
            <w:r>
              <w:rPr>
                <w:kern w:val="0"/>
                <w:sz w:val="21"/>
                <w:szCs w:val="21"/>
              </w:rPr>
              <w:t>/</w:t>
            </w:r>
            <w:r>
              <w:rPr>
                <w:rFonts w:hint="eastAsia"/>
                <w:kern w:val="0"/>
                <w:sz w:val="21"/>
                <w:szCs w:val="21"/>
              </w:rPr>
              <w:t>h</w:t>
            </w:r>
          </w:p>
        </w:tc>
        <w:tc>
          <w:tcPr>
            <w:tcW w:w="2008" w:type="dxa"/>
            <w:vMerge w:val="continue"/>
            <w:vAlign w:val="center"/>
          </w:tcPr>
          <w:p>
            <w:pPr>
              <w:widowControl/>
              <w:spacing w:line="280" w:lineRule="exact"/>
              <w:ind w:firstLine="0" w:firstLineChars="0"/>
              <w:jc w:val="center"/>
              <w:rPr>
                <w:kern w:val="0"/>
                <w:sz w:val="21"/>
                <w:szCs w:val="21"/>
              </w:rPr>
            </w:pPr>
          </w:p>
        </w:tc>
        <w:tc>
          <w:tcPr>
            <w:tcW w:w="1147" w:type="dxa"/>
            <w:vAlign w:val="center"/>
          </w:tcPr>
          <w:p>
            <w:pPr>
              <w:autoSpaceDE w:val="0"/>
              <w:autoSpaceDN w:val="0"/>
              <w:spacing w:line="280" w:lineRule="exact"/>
              <w:ind w:firstLine="0" w:firstLineChars="0"/>
              <w:jc w:val="center"/>
              <w:rPr>
                <w:kern w:val="0"/>
                <w:sz w:val="21"/>
                <w:szCs w:val="21"/>
              </w:rPr>
            </w:pPr>
            <w:r>
              <w:rPr>
                <w:rFonts w:hint="eastAsia"/>
                <w:kern w:val="0"/>
                <w:sz w:val="21"/>
                <w:szCs w:val="21"/>
              </w:rPr>
              <w:t>0</w:t>
            </w:r>
            <w:r>
              <w:rPr>
                <w:kern w:val="0"/>
                <w:sz w:val="21"/>
                <w:szCs w:val="21"/>
              </w:rPr>
              <w:t>.005</w:t>
            </w:r>
            <w:r>
              <w:rPr>
                <w:rFonts w:hint="eastAsia"/>
                <w:kern w:val="0"/>
                <w:sz w:val="21"/>
                <w:szCs w:val="21"/>
              </w:rPr>
              <w:t>t</w:t>
            </w:r>
            <w:r>
              <w:rPr>
                <w:kern w:val="0"/>
                <w:sz w:val="21"/>
                <w:szCs w:val="21"/>
              </w:rPr>
              <w:t>/</w:t>
            </w:r>
            <w:r>
              <w:rPr>
                <w:rFonts w:hint="eastAsia"/>
                <w:kern w:val="0"/>
                <w:sz w:val="21"/>
                <w:szCs w:val="21"/>
              </w:rPr>
              <w:t>a</w:t>
            </w:r>
          </w:p>
        </w:tc>
        <w:tc>
          <w:tcPr>
            <w:tcW w:w="1182" w:type="dxa"/>
            <w:vAlign w:val="center"/>
          </w:tcPr>
          <w:p>
            <w:pPr>
              <w:autoSpaceDE w:val="0"/>
              <w:autoSpaceDN w:val="0"/>
              <w:spacing w:line="280" w:lineRule="exact"/>
              <w:ind w:firstLine="0" w:firstLineChars="0"/>
              <w:jc w:val="center"/>
              <w:rPr>
                <w:kern w:val="0"/>
                <w:sz w:val="21"/>
                <w:szCs w:val="21"/>
              </w:rPr>
            </w:pPr>
            <w:r>
              <w:rPr>
                <w:kern w:val="0"/>
                <w:sz w:val="21"/>
                <w:szCs w:val="21"/>
              </w:rPr>
              <w:t>0.0006</w:t>
            </w:r>
            <w:r>
              <w:rPr>
                <w:rFonts w:hint="eastAsia"/>
                <w:kern w:val="0"/>
                <w:sz w:val="21"/>
                <w:szCs w:val="21"/>
              </w:rPr>
              <w:t>kg</w:t>
            </w:r>
            <w:r>
              <w:rPr>
                <w:kern w:val="0"/>
                <w:sz w:val="21"/>
                <w:szCs w:val="21"/>
              </w:rPr>
              <w:t>/</w:t>
            </w:r>
            <w:r>
              <w:rPr>
                <w:rFonts w:hint="eastAsia"/>
                <w:kern w:val="0"/>
                <w:sz w:val="21"/>
                <w:szCs w:val="21"/>
              </w:rPr>
              <w:t>h</w:t>
            </w:r>
          </w:p>
        </w:tc>
      </w:tr>
    </w:tbl>
    <w:p>
      <w:pPr>
        <w:pStyle w:val="79"/>
        <w:ind w:firstLine="480"/>
      </w:pPr>
      <w:r>
        <w:rPr>
          <w:rFonts w:hint="eastAsia"/>
        </w:rPr>
        <w:t>（3）污水</w:t>
      </w:r>
      <w:r>
        <w:t>处理区恶臭</w:t>
      </w:r>
    </w:p>
    <w:p>
      <w:pPr>
        <w:pStyle w:val="79"/>
        <w:ind w:firstLine="480"/>
      </w:pPr>
      <w:r>
        <w:rPr>
          <w:rFonts w:hint="eastAsia"/>
        </w:rPr>
        <w:t>废水在处理过程中会产生</w:t>
      </w:r>
      <w:r>
        <w:t>恶臭</w:t>
      </w:r>
      <w:r>
        <w:rPr>
          <w:rFonts w:hint="eastAsia"/>
        </w:rPr>
        <w:t>，废气在各处理单元的排污系数通过单位时间内单位面积的散发量来表征。污水处理系统恶臭污染源源强采用美国EPA对恶臭污染物产生情况的研究结果，每处理lg的BOD</w:t>
      </w:r>
      <w:r>
        <w:rPr>
          <w:rFonts w:hint="eastAsia"/>
          <w:vertAlign w:val="subscript"/>
        </w:rPr>
        <w:t>5</w:t>
      </w:r>
      <w:r>
        <w:rPr>
          <w:rFonts w:hint="eastAsia"/>
        </w:rPr>
        <w:t>可产生0.0031g的NH</w:t>
      </w:r>
      <w:r>
        <w:rPr>
          <w:rFonts w:hint="eastAsia"/>
          <w:vertAlign w:val="subscript"/>
        </w:rPr>
        <w:t>3</w:t>
      </w:r>
      <w:r>
        <w:rPr>
          <w:rFonts w:hint="eastAsia"/>
        </w:rPr>
        <w:t>、0.00012g的H</w:t>
      </w:r>
      <w:r>
        <w:rPr>
          <w:rFonts w:hint="eastAsia"/>
          <w:vertAlign w:val="subscript"/>
        </w:rPr>
        <w:t>2</w:t>
      </w:r>
      <w:r>
        <w:rPr>
          <w:rFonts w:hint="eastAsia"/>
        </w:rPr>
        <w:t>S。本项目污水处理设施对BOD</w:t>
      </w:r>
      <w:r>
        <w:rPr>
          <w:rFonts w:hint="eastAsia"/>
          <w:vertAlign w:val="subscript"/>
        </w:rPr>
        <w:t>5</w:t>
      </w:r>
      <w:r>
        <w:rPr>
          <w:rFonts w:hint="eastAsia"/>
        </w:rPr>
        <w:t>的消减量为</w:t>
      </w:r>
      <w:r>
        <w:t>6.51</w:t>
      </w:r>
      <w:r>
        <w:rPr>
          <w:rFonts w:hint="eastAsia"/>
        </w:rPr>
        <w:t>t/a，NH</w:t>
      </w:r>
      <w:r>
        <w:rPr>
          <w:rFonts w:hint="eastAsia"/>
          <w:vertAlign w:val="subscript"/>
        </w:rPr>
        <w:t>3</w:t>
      </w:r>
      <w:r>
        <w:rPr>
          <w:rFonts w:hint="eastAsia"/>
        </w:rPr>
        <w:t>和H</w:t>
      </w:r>
      <w:r>
        <w:rPr>
          <w:rFonts w:hint="eastAsia"/>
          <w:vertAlign w:val="subscript"/>
        </w:rPr>
        <w:t>2</w:t>
      </w:r>
      <w:r>
        <w:rPr>
          <w:rFonts w:hint="eastAsia"/>
        </w:rPr>
        <w:t>S的产生量分别为</w:t>
      </w:r>
      <w:r>
        <w:t>0.020</w:t>
      </w:r>
      <w:r>
        <w:rPr>
          <w:rFonts w:hint="eastAsia"/>
        </w:rPr>
        <w:t>t/a和</w:t>
      </w:r>
      <w:r>
        <w:t>0.0007</w:t>
      </w:r>
      <w:r>
        <w:rPr>
          <w:rFonts w:hint="eastAsia"/>
        </w:rPr>
        <w:t>t/a，产生</w:t>
      </w:r>
      <w:r>
        <w:t>速率</w:t>
      </w:r>
      <w:r>
        <w:rPr>
          <w:rFonts w:hint="eastAsia"/>
        </w:rPr>
        <w:t>分别</w:t>
      </w:r>
      <w:r>
        <w:t>为0.002</w:t>
      </w:r>
      <w:r>
        <w:rPr>
          <w:rFonts w:hint="eastAsia"/>
        </w:rPr>
        <w:t>kg/h和</w:t>
      </w:r>
      <w:r>
        <w:t>0.00008</w:t>
      </w:r>
      <w:r>
        <w:rPr>
          <w:rFonts w:hint="eastAsia"/>
        </w:rPr>
        <w:t>kg/h。</w:t>
      </w:r>
    </w:p>
    <w:p>
      <w:pPr>
        <w:pStyle w:val="79"/>
        <w:ind w:firstLine="480"/>
        <w:rPr>
          <w:rFonts w:hAnsi="宋体"/>
        </w:rPr>
      </w:pPr>
      <w:r>
        <w:rPr>
          <w:rFonts w:hint="eastAsia"/>
        </w:rPr>
        <w:t>项目污水</w:t>
      </w:r>
      <w:r>
        <w:t>处理系统</w:t>
      </w:r>
      <w:r>
        <w:rPr>
          <w:rFonts w:hint="eastAsia"/>
        </w:rPr>
        <w:t>设施</w:t>
      </w:r>
      <w:r>
        <w:t>主要为集粪池、固液分离机</w:t>
      </w:r>
      <w:r>
        <w:rPr>
          <w:rFonts w:hint="eastAsia"/>
        </w:rPr>
        <w:t>、</w:t>
      </w:r>
      <w:r>
        <w:t>厌氧</w:t>
      </w:r>
      <w:r>
        <w:rPr>
          <w:rFonts w:hint="eastAsia"/>
        </w:rPr>
        <w:t>发酵池，</w:t>
      </w:r>
      <w:r>
        <w:rPr>
          <w:rFonts w:hAnsi="宋体"/>
        </w:rPr>
        <w:t>为了减小项目污水处理过程恶臭气体对周边环境的影响，对</w:t>
      </w:r>
      <w:r>
        <w:rPr>
          <w:rFonts w:hint="eastAsia" w:hAnsi="宋体"/>
        </w:rPr>
        <w:t>污水处理系统构筑物集粪池</w:t>
      </w:r>
      <w:r>
        <w:rPr>
          <w:rFonts w:hAnsi="宋体"/>
        </w:rPr>
        <w:t>、厌氧发酵池</w:t>
      </w:r>
      <w:r>
        <w:rPr>
          <w:rFonts w:hint="eastAsia" w:hAnsi="宋体"/>
        </w:rPr>
        <w:t>进行</w:t>
      </w:r>
      <w:r>
        <w:rPr>
          <w:rFonts w:hAnsi="宋体"/>
        </w:rPr>
        <w:t>加盖</w:t>
      </w:r>
      <w:r>
        <w:rPr>
          <w:rFonts w:hint="eastAsia" w:hAnsi="宋体"/>
        </w:rPr>
        <w:t>密闭</w:t>
      </w:r>
      <w:r>
        <w:rPr>
          <w:rFonts w:hAnsi="宋体"/>
        </w:rPr>
        <w:t>措施，</w:t>
      </w:r>
      <w:r>
        <w:t>恶臭气体主要来源于固液分离机，在固液分离机周围</w:t>
      </w:r>
      <w:r>
        <w:rPr>
          <w:rFonts w:hint="eastAsia"/>
        </w:rPr>
        <w:t>喷洒</w:t>
      </w:r>
      <w:r>
        <w:t>生物除臭剂</w:t>
      </w:r>
      <w:r>
        <w:rPr>
          <w:rFonts w:hint="eastAsia" w:hAnsi="宋体"/>
        </w:rPr>
        <w:t>，加强附近</w:t>
      </w:r>
      <w:r>
        <w:rPr>
          <w:rFonts w:hAnsi="宋体"/>
        </w:rPr>
        <w:t>绿化等进行除臭，尽量</w:t>
      </w:r>
      <w:r>
        <w:rPr>
          <w:rFonts w:hint="eastAsia" w:hAnsi="宋体"/>
        </w:rPr>
        <w:t>减少</w:t>
      </w:r>
      <w:r>
        <w:rPr>
          <w:rFonts w:hAnsi="宋体"/>
        </w:rPr>
        <w:t>恶臭产生量</w:t>
      </w:r>
      <w:r>
        <w:rPr>
          <w:rFonts w:hint="eastAsia" w:hAnsi="宋体"/>
        </w:rPr>
        <w:t>，</w:t>
      </w:r>
      <w:r>
        <w:rPr>
          <w:rFonts w:hAnsi="宋体"/>
        </w:rPr>
        <w:t>采取以上措施后，污水处理系统NH</w:t>
      </w:r>
      <w:r>
        <w:rPr>
          <w:rFonts w:hAnsi="宋体"/>
          <w:vertAlign w:val="subscript"/>
        </w:rPr>
        <w:t>3</w:t>
      </w:r>
      <w:r>
        <w:rPr>
          <w:rFonts w:hint="eastAsia" w:hAnsi="宋体"/>
        </w:rPr>
        <w:t>和H</w:t>
      </w:r>
      <w:r>
        <w:rPr>
          <w:rFonts w:hint="eastAsia" w:hAnsi="宋体"/>
          <w:vertAlign w:val="subscript"/>
        </w:rPr>
        <w:t>2</w:t>
      </w:r>
      <w:r>
        <w:rPr>
          <w:rFonts w:hint="eastAsia" w:hAnsi="宋体"/>
        </w:rPr>
        <w:t>S的</w:t>
      </w:r>
      <w:r>
        <w:rPr>
          <w:rFonts w:hAnsi="宋体"/>
        </w:rPr>
        <w:t>去除效率</w:t>
      </w:r>
      <w:r>
        <w:rPr>
          <w:rFonts w:hint="eastAsia" w:hAnsi="宋体"/>
        </w:rPr>
        <w:t>按</w:t>
      </w:r>
      <w:r>
        <w:rPr>
          <w:rFonts w:hAnsi="宋体"/>
        </w:rPr>
        <w:t>85</w:t>
      </w:r>
      <w:r>
        <w:rPr>
          <w:rFonts w:hint="eastAsia" w:hAnsi="宋体"/>
        </w:rPr>
        <w:t>%计算</w:t>
      </w:r>
      <w:r>
        <w:rPr>
          <w:rFonts w:hAnsi="宋体"/>
        </w:rPr>
        <w:t>，则污水处理</w:t>
      </w:r>
      <w:r>
        <w:rPr>
          <w:rFonts w:hint="eastAsia" w:hAnsi="宋体"/>
        </w:rPr>
        <w:t>系统排放</w:t>
      </w:r>
      <w:r>
        <w:rPr>
          <w:rFonts w:hAnsi="宋体"/>
        </w:rPr>
        <w:t>的NH</w:t>
      </w:r>
      <w:r>
        <w:rPr>
          <w:rFonts w:hAnsi="宋体"/>
          <w:vertAlign w:val="subscript"/>
        </w:rPr>
        <w:t>3</w:t>
      </w:r>
      <w:r>
        <w:rPr>
          <w:rFonts w:hint="eastAsia" w:hAnsi="宋体"/>
        </w:rPr>
        <w:t>和H</w:t>
      </w:r>
      <w:r>
        <w:rPr>
          <w:rFonts w:hint="eastAsia" w:hAnsi="宋体"/>
          <w:vertAlign w:val="subscript"/>
        </w:rPr>
        <w:t>2</w:t>
      </w:r>
      <w:r>
        <w:rPr>
          <w:rFonts w:hint="eastAsia" w:hAnsi="宋体"/>
        </w:rPr>
        <w:t>S量</w:t>
      </w:r>
      <w:r>
        <w:rPr>
          <w:rFonts w:hAnsi="宋体"/>
        </w:rPr>
        <w:t>分别</w:t>
      </w:r>
      <w:r>
        <w:rPr>
          <w:rFonts w:hint="eastAsia" w:hAnsi="宋体"/>
        </w:rPr>
        <w:t>为0.00</w:t>
      </w:r>
      <w:r>
        <w:rPr>
          <w:rFonts w:hAnsi="宋体"/>
        </w:rPr>
        <w:t>0</w:t>
      </w:r>
      <w:r>
        <w:rPr>
          <w:rFonts w:hint="eastAsia" w:hAnsi="宋体"/>
        </w:rPr>
        <w:t>8</w:t>
      </w:r>
      <w:r>
        <w:rPr>
          <w:rFonts w:hAnsi="宋体"/>
        </w:rPr>
        <w:t>t/a，</w:t>
      </w:r>
      <w:r>
        <w:rPr>
          <w:rFonts w:hint="eastAsia" w:hAnsi="宋体"/>
        </w:rPr>
        <w:t>0.0002</w:t>
      </w:r>
      <w:r>
        <w:rPr>
          <w:rFonts w:hAnsi="宋体"/>
        </w:rPr>
        <w:t>t/a。</w:t>
      </w:r>
    </w:p>
    <w:p>
      <w:pPr>
        <w:ind w:firstLine="480"/>
      </w:pPr>
      <w:r>
        <w:rPr>
          <w:rFonts w:hint="eastAsia"/>
        </w:rPr>
        <w:t>项目污水处理区恶臭污染物产排情况见表3.</w:t>
      </w:r>
      <w:r>
        <w:t>3-6</w:t>
      </w:r>
      <w:r>
        <w:rPr>
          <w:rFonts w:hint="eastAsia"/>
        </w:rPr>
        <w:t>。</w:t>
      </w:r>
    </w:p>
    <w:p>
      <w:pPr>
        <w:spacing w:line="240" w:lineRule="auto"/>
        <w:ind w:firstLine="0" w:firstLineChars="0"/>
        <w:jc w:val="center"/>
        <w:rPr>
          <w:b/>
          <w:bCs/>
          <w:szCs w:val="24"/>
        </w:rPr>
      </w:pPr>
      <w:r>
        <w:rPr>
          <w:b/>
          <w:bCs/>
          <w:szCs w:val="24"/>
        </w:rPr>
        <w:t>表3.3-6</w:t>
      </w:r>
      <w:r>
        <w:rPr>
          <w:rFonts w:hint="eastAsia"/>
          <w:b/>
          <w:bCs/>
          <w:szCs w:val="24"/>
        </w:rPr>
        <w:t xml:space="preserve"> </w:t>
      </w:r>
      <w:r>
        <w:rPr>
          <w:b/>
          <w:bCs/>
          <w:szCs w:val="24"/>
        </w:rPr>
        <w:t xml:space="preserve"> </w:t>
      </w:r>
      <w:r>
        <w:rPr>
          <w:rFonts w:hint="eastAsia"/>
          <w:b/>
          <w:bCs/>
          <w:szCs w:val="24"/>
        </w:rPr>
        <w:t>污水处理区</w:t>
      </w:r>
      <w:r>
        <w:rPr>
          <w:b/>
          <w:bCs/>
          <w:szCs w:val="24"/>
        </w:rPr>
        <w:t>恶臭产</w:t>
      </w:r>
      <w:r>
        <w:rPr>
          <w:rFonts w:hint="eastAsia"/>
          <w:b/>
          <w:bCs/>
          <w:szCs w:val="24"/>
        </w:rPr>
        <w:t>排</w:t>
      </w:r>
      <w:r>
        <w:rPr>
          <w:b/>
          <w:bCs/>
          <w:szCs w:val="24"/>
        </w:rPr>
        <w:t>情况一览表</w:t>
      </w:r>
    </w:p>
    <w:tbl>
      <w:tblPr>
        <w:tblStyle w:val="27"/>
        <w:tblW w:w="86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50"/>
        <w:gridCol w:w="1074"/>
        <w:gridCol w:w="968"/>
        <w:gridCol w:w="1147"/>
        <w:gridCol w:w="2008"/>
        <w:gridCol w:w="1147"/>
        <w:gridCol w:w="1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restart"/>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产污环节</w:t>
            </w:r>
          </w:p>
        </w:tc>
        <w:tc>
          <w:tcPr>
            <w:tcW w:w="1074" w:type="dxa"/>
            <w:vMerge w:val="restart"/>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污染因子</w:t>
            </w:r>
          </w:p>
        </w:tc>
        <w:tc>
          <w:tcPr>
            <w:tcW w:w="2115" w:type="dxa"/>
            <w:gridSpan w:val="2"/>
            <w:vAlign w:val="center"/>
          </w:tcPr>
          <w:p>
            <w:pPr>
              <w:autoSpaceDE w:val="0"/>
              <w:autoSpaceDN w:val="0"/>
              <w:spacing w:line="280" w:lineRule="exact"/>
              <w:ind w:firstLine="0" w:firstLineChars="0"/>
              <w:jc w:val="center"/>
              <w:rPr>
                <w:b/>
                <w:bCs/>
                <w:kern w:val="0"/>
                <w:sz w:val="21"/>
                <w:szCs w:val="21"/>
              </w:rPr>
            </w:pPr>
            <w:r>
              <w:rPr>
                <w:b/>
                <w:bCs/>
                <w:kern w:val="0"/>
                <w:sz w:val="21"/>
                <w:szCs w:val="21"/>
              </w:rPr>
              <w:t>污染物产生情况</w:t>
            </w:r>
          </w:p>
        </w:tc>
        <w:tc>
          <w:tcPr>
            <w:tcW w:w="2008" w:type="dxa"/>
            <w:vMerge w:val="restart"/>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处理措施</w:t>
            </w:r>
          </w:p>
        </w:tc>
        <w:tc>
          <w:tcPr>
            <w:tcW w:w="2329" w:type="dxa"/>
            <w:gridSpan w:val="2"/>
            <w:vAlign w:val="center"/>
          </w:tcPr>
          <w:p>
            <w:pPr>
              <w:autoSpaceDE w:val="0"/>
              <w:autoSpaceDN w:val="0"/>
              <w:spacing w:line="280" w:lineRule="exact"/>
              <w:ind w:firstLine="0" w:firstLineChars="0"/>
              <w:jc w:val="center"/>
              <w:rPr>
                <w:b/>
                <w:bCs/>
                <w:kern w:val="0"/>
                <w:sz w:val="21"/>
                <w:szCs w:val="21"/>
              </w:rPr>
            </w:pPr>
            <w:r>
              <w:rPr>
                <w:b/>
                <w:bCs/>
                <w:kern w:val="0"/>
                <w:sz w:val="21"/>
                <w:szCs w:val="21"/>
              </w:rPr>
              <w:t>污染物排放情况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continue"/>
            <w:vAlign w:val="center"/>
          </w:tcPr>
          <w:p>
            <w:pPr>
              <w:autoSpaceDE w:val="0"/>
              <w:autoSpaceDN w:val="0"/>
              <w:spacing w:line="280" w:lineRule="exact"/>
              <w:ind w:firstLine="0" w:firstLineChars="0"/>
              <w:jc w:val="center"/>
              <w:rPr>
                <w:b/>
                <w:bCs/>
                <w:kern w:val="0"/>
                <w:sz w:val="21"/>
                <w:szCs w:val="21"/>
              </w:rPr>
            </w:pPr>
          </w:p>
        </w:tc>
        <w:tc>
          <w:tcPr>
            <w:tcW w:w="1074" w:type="dxa"/>
            <w:vMerge w:val="continue"/>
            <w:vAlign w:val="center"/>
          </w:tcPr>
          <w:p>
            <w:pPr>
              <w:autoSpaceDE w:val="0"/>
              <w:autoSpaceDN w:val="0"/>
              <w:spacing w:line="280" w:lineRule="exact"/>
              <w:ind w:firstLine="0" w:firstLineChars="0"/>
              <w:jc w:val="center"/>
              <w:rPr>
                <w:b/>
                <w:bCs/>
                <w:kern w:val="0"/>
                <w:sz w:val="21"/>
                <w:szCs w:val="21"/>
              </w:rPr>
            </w:pPr>
          </w:p>
        </w:tc>
        <w:tc>
          <w:tcPr>
            <w:tcW w:w="968"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产生量</w:t>
            </w:r>
          </w:p>
        </w:tc>
        <w:tc>
          <w:tcPr>
            <w:tcW w:w="1147"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产生速率</w:t>
            </w:r>
          </w:p>
        </w:tc>
        <w:tc>
          <w:tcPr>
            <w:tcW w:w="2008" w:type="dxa"/>
            <w:vMerge w:val="continue"/>
            <w:vAlign w:val="center"/>
          </w:tcPr>
          <w:p>
            <w:pPr>
              <w:autoSpaceDE w:val="0"/>
              <w:autoSpaceDN w:val="0"/>
              <w:spacing w:line="280" w:lineRule="exact"/>
              <w:ind w:firstLine="0" w:firstLineChars="0"/>
              <w:jc w:val="center"/>
              <w:rPr>
                <w:b/>
                <w:bCs/>
                <w:kern w:val="0"/>
                <w:sz w:val="21"/>
                <w:szCs w:val="21"/>
              </w:rPr>
            </w:pPr>
          </w:p>
        </w:tc>
        <w:tc>
          <w:tcPr>
            <w:tcW w:w="1147"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排放量</w:t>
            </w:r>
          </w:p>
        </w:tc>
        <w:tc>
          <w:tcPr>
            <w:tcW w:w="1182" w:type="dxa"/>
            <w:vAlign w:val="center"/>
          </w:tcPr>
          <w:p>
            <w:pPr>
              <w:autoSpaceDE w:val="0"/>
              <w:autoSpaceDN w:val="0"/>
              <w:spacing w:line="280" w:lineRule="exact"/>
              <w:ind w:firstLine="0" w:firstLineChars="0"/>
              <w:jc w:val="center"/>
              <w:rPr>
                <w:b/>
                <w:bCs/>
                <w:kern w:val="0"/>
                <w:sz w:val="21"/>
                <w:szCs w:val="21"/>
              </w:rPr>
            </w:pPr>
            <w:r>
              <w:rPr>
                <w:rFonts w:hint="eastAsia"/>
                <w:b/>
                <w:bCs/>
                <w:kern w:val="0"/>
                <w:sz w:val="21"/>
                <w:szCs w:val="21"/>
              </w:rPr>
              <w:t>排放速率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restart"/>
            <w:vAlign w:val="center"/>
          </w:tcPr>
          <w:p>
            <w:pPr>
              <w:autoSpaceDE w:val="0"/>
              <w:autoSpaceDN w:val="0"/>
              <w:spacing w:line="280" w:lineRule="exact"/>
              <w:ind w:firstLine="0" w:firstLineChars="0"/>
              <w:jc w:val="center"/>
              <w:rPr>
                <w:kern w:val="0"/>
                <w:sz w:val="21"/>
                <w:szCs w:val="21"/>
              </w:rPr>
            </w:pPr>
            <w:r>
              <w:rPr>
                <w:rFonts w:hint="eastAsia"/>
                <w:kern w:val="0"/>
                <w:sz w:val="21"/>
                <w:szCs w:val="21"/>
              </w:rPr>
              <w:t>污水</w:t>
            </w:r>
            <w:r>
              <w:rPr>
                <w:kern w:val="0"/>
                <w:sz w:val="21"/>
                <w:szCs w:val="21"/>
              </w:rPr>
              <w:t>处理</w:t>
            </w:r>
          </w:p>
        </w:tc>
        <w:tc>
          <w:tcPr>
            <w:tcW w:w="1074" w:type="dxa"/>
            <w:vAlign w:val="center"/>
          </w:tcPr>
          <w:p>
            <w:pPr>
              <w:autoSpaceDE w:val="0"/>
              <w:autoSpaceDN w:val="0"/>
              <w:spacing w:line="280" w:lineRule="exact"/>
              <w:ind w:firstLine="0" w:firstLineChars="0"/>
              <w:jc w:val="center"/>
              <w:rPr>
                <w:kern w:val="0"/>
                <w:sz w:val="21"/>
                <w:szCs w:val="21"/>
              </w:rPr>
            </w:pPr>
            <w:r>
              <w:rPr>
                <w:spacing w:val="-4"/>
                <w:kern w:val="0"/>
                <w:position w:val="2"/>
                <w:sz w:val="21"/>
                <w:szCs w:val="21"/>
              </w:rPr>
              <w:t>NH</w:t>
            </w:r>
            <w:r>
              <w:rPr>
                <w:spacing w:val="-4"/>
                <w:kern w:val="0"/>
                <w:position w:val="2"/>
                <w:sz w:val="21"/>
                <w:szCs w:val="21"/>
                <w:vertAlign w:val="subscript"/>
              </w:rPr>
              <w:t>3</w:t>
            </w:r>
          </w:p>
        </w:tc>
        <w:tc>
          <w:tcPr>
            <w:tcW w:w="968" w:type="dxa"/>
            <w:vAlign w:val="center"/>
          </w:tcPr>
          <w:p>
            <w:pPr>
              <w:autoSpaceDE w:val="0"/>
              <w:autoSpaceDN w:val="0"/>
              <w:spacing w:line="280" w:lineRule="exact"/>
              <w:ind w:firstLine="0" w:firstLineChars="0"/>
              <w:jc w:val="center"/>
              <w:rPr>
                <w:kern w:val="0"/>
                <w:sz w:val="21"/>
                <w:szCs w:val="21"/>
              </w:rPr>
            </w:pPr>
            <w:r>
              <w:rPr>
                <w:kern w:val="0"/>
                <w:sz w:val="21"/>
                <w:szCs w:val="21"/>
              </w:rPr>
              <w:t>0.020</w:t>
            </w:r>
            <w:r>
              <w:rPr>
                <w:rFonts w:hint="eastAsia"/>
                <w:kern w:val="0"/>
                <w:sz w:val="21"/>
                <w:szCs w:val="21"/>
              </w:rPr>
              <w:t>t</w:t>
            </w:r>
            <w:r>
              <w:rPr>
                <w:kern w:val="0"/>
                <w:sz w:val="21"/>
                <w:szCs w:val="21"/>
              </w:rPr>
              <w:t>/</w:t>
            </w:r>
            <w:r>
              <w:rPr>
                <w:rFonts w:hint="eastAsia"/>
                <w:kern w:val="0"/>
                <w:sz w:val="21"/>
                <w:szCs w:val="21"/>
              </w:rPr>
              <w:t>a</w:t>
            </w:r>
          </w:p>
        </w:tc>
        <w:tc>
          <w:tcPr>
            <w:tcW w:w="1147" w:type="dxa"/>
            <w:vAlign w:val="center"/>
          </w:tcPr>
          <w:p>
            <w:pPr>
              <w:autoSpaceDE w:val="0"/>
              <w:autoSpaceDN w:val="0"/>
              <w:spacing w:line="280" w:lineRule="exact"/>
              <w:ind w:firstLine="0" w:firstLineChars="0"/>
              <w:jc w:val="center"/>
              <w:rPr>
                <w:kern w:val="0"/>
                <w:sz w:val="21"/>
                <w:szCs w:val="21"/>
              </w:rPr>
            </w:pPr>
            <w:r>
              <w:rPr>
                <w:kern w:val="0"/>
                <w:sz w:val="21"/>
                <w:szCs w:val="21"/>
              </w:rPr>
              <w:t>0.002</w:t>
            </w:r>
            <w:r>
              <w:rPr>
                <w:rFonts w:hint="eastAsia"/>
                <w:kern w:val="0"/>
                <w:sz w:val="21"/>
                <w:szCs w:val="21"/>
              </w:rPr>
              <w:t>kg</w:t>
            </w:r>
            <w:r>
              <w:rPr>
                <w:kern w:val="0"/>
                <w:sz w:val="21"/>
                <w:szCs w:val="21"/>
              </w:rPr>
              <w:t>/</w:t>
            </w:r>
            <w:r>
              <w:rPr>
                <w:rFonts w:hint="eastAsia"/>
                <w:kern w:val="0"/>
                <w:sz w:val="21"/>
                <w:szCs w:val="21"/>
              </w:rPr>
              <w:t>h</w:t>
            </w:r>
          </w:p>
        </w:tc>
        <w:tc>
          <w:tcPr>
            <w:tcW w:w="2008" w:type="dxa"/>
            <w:vMerge w:val="restart"/>
            <w:vAlign w:val="center"/>
          </w:tcPr>
          <w:p>
            <w:pPr>
              <w:autoSpaceDE w:val="0"/>
              <w:autoSpaceDN w:val="0"/>
              <w:spacing w:line="280" w:lineRule="exact"/>
              <w:ind w:firstLine="0" w:firstLineChars="0"/>
              <w:jc w:val="center"/>
              <w:rPr>
                <w:kern w:val="0"/>
                <w:sz w:val="21"/>
                <w:szCs w:val="21"/>
              </w:rPr>
            </w:pPr>
            <w:r>
              <w:rPr>
                <w:rFonts w:hint="eastAsia"/>
                <w:kern w:val="0"/>
                <w:sz w:val="21"/>
                <w:szCs w:val="21"/>
              </w:rPr>
              <w:t>加盖</w:t>
            </w:r>
            <w:r>
              <w:rPr>
                <w:kern w:val="0"/>
                <w:sz w:val="21"/>
                <w:szCs w:val="21"/>
              </w:rPr>
              <w:t>密闭，</w:t>
            </w:r>
            <w:r>
              <w:rPr>
                <w:rFonts w:hint="eastAsia"/>
                <w:kern w:val="0"/>
                <w:sz w:val="21"/>
                <w:szCs w:val="21"/>
              </w:rPr>
              <w:t>喷洒除臭剂，除臭</w:t>
            </w:r>
            <w:r>
              <w:rPr>
                <w:kern w:val="0"/>
                <w:sz w:val="21"/>
                <w:szCs w:val="21"/>
              </w:rPr>
              <w:t>效率</w:t>
            </w:r>
            <w:r>
              <w:rPr>
                <w:rFonts w:hint="eastAsia"/>
                <w:kern w:val="0"/>
                <w:sz w:val="21"/>
                <w:szCs w:val="21"/>
              </w:rPr>
              <w:t>为</w:t>
            </w:r>
            <w:r>
              <w:rPr>
                <w:kern w:val="0"/>
                <w:sz w:val="21"/>
                <w:szCs w:val="21"/>
              </w:rPr>
              <w:t>85%</w:t>
            </w:r>
          </w:p>
        </w:tc>
        <w:tc>
          <w:tcPr>
            <w:tcW w:w="1147" w:type="dxa"/>
            <w:vAlign w:val="center"/>
          </w:tcPr>
          <w:p>
            <w:pPr>
              <w:autoSpaceDE w:val="0"/>
              <w:autoSpaceDN w:val="0"/>
              <w:spacing w:line="280" w:lineRule="exact"/>
              <w:ind w:firstLine="0" w:firstLineChars="0"/>
              <w:jc w:val="center"/>
              <w:rPr>
                <w:kern w:val="0"/>
                <w:sz w:val="21"/>
                <w:szCs w:val="21"/>
              </w:rPr>
            </w:pPr>
            <w:r>
              <w:rPr>
                <w:kern w:val="0"/>
                <w:sz w:val="21"/>
                <w:szCs w:val="21"/>
              </w:rPr>
              <w:t>0.003</w:t>
            </w:r>
            <w:r>
              <w:rPr>
                <w:rFonts w:hint="eastAsia"/>
                <w:kern w:val="0"/>
                <w:sz w:val="21"/>
                <w:szCs w:val="21"/>
              </w:rPr>
              <w:t>t</w:t>
            </w:r>
            <w:r>
              <w:rPr>
                <w:kern w:val="0"/>
                <w:sz w:val="21"/>
                <w:szCs w:val="21"/>
              </w:rPr>
              <w:t>/</w:t>
            </w:r>
            <w:r>
              <w:rPr>
                <w:rFonts w:hint="eastAsia"/>
                <w:kern w:val="0"/>
                <w:sz w:val="21"/>
                <w:szCs w:val="21"/>
              </w:rPr>
              <w:t>a</w:t>
            </w:r>
          </w:p>
        </w:tc>
        <w:tc>
          <w:tcPr>
            <w:tcW w:w="1182" w:type="dxa"/>
            <w:vAlign w:val="center"/>
          </w:tcPr>
          <w:p>
            <w:pPr>
              <w:autoSpaceDE w:val="0"/>
              <w:autoSpaceDN w:val="0"/>
              <w:spacing w:line="280" w:lineRule="exact"/>
              <w:ind w:firstLine="0" w:firstLineChars="0"/>
              <w:jc w:val="center"/>
              <w:rPr>
                <w:kern w:val="0"/>
                <w:sz w:val="21"/>
                <w:szCs w:val="21"/>
              </w:rPr>
            </w:pPr>
            <w:r>
              <w:rPr>
                <w:kern w:val="0"/>
                <w:sz w:val="21"/>
                <w:szCs w:val="21"/>
              </w:rPr>
              <w:t>0.0003</w:t>
            </w:r>
            <w:r>
              <w:rPr>
                <w:rFonts w:hint="eastAsia"/>
                <w:kern w:val="0"/>
                <w:sz w:val="21"/>
                <w:szCs w:val="21"/>
              </w:rPr>
              <w:t>kg</w:t>
            </w:r>
            <w:r>
              <w:rPr>
                <w:kern w:val="0"/>
                <w:sz w:val="21"/>
                <w:szCs w:val="21"/>
              </w:rPr>
              <w:t>/</w:t>
            </w:r>
            <w:r>
              <w:rPr>
                <w:rFonts w:hint="eastAsia"/>
                <w:kern w:val="0"/>
                <w:sz w:val="21"/>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50" w:type="dxa"/>
            <w:vMerge w:val="continue"/>
            <w:vAlign w:val="center"/>
          </w:tcPr>
          <w:p>
            <w:pPr>
              <w:widowControl/>
              <w:spacing w:line="280" w:lineRule="exact"/>
              <w:ind w:firstLine="0" w:firstLineChars="0"/>
              <w:jc w:val="left"/>
              <w:rPr>
                <w:kern w:val="0"/>
                <w:sz w:val="21"/>
                <w:szCs w:val="21"/>
              </w:rPr>
            </w:pPr>
          </w:p>
        </w:tc>
        <w:tc>
          <w:tcPr>
            <w:tcW w:w="1074" w:type="dxa"/>
            <w:vAlign w:val="center"/>
          </w:tcPr>
          <w:p>
            <w:pPr>
              <w:widowControl/>
              <w:spacing w:line="280" w:lineRule="exact"/>
              <w:ind w:firstLine="0" w:firstLineChars="0"/>
              <w:jc w:val="center"/>
              <w:rPr>
                <w:kern w:val="0"/>
                <w:sz w:val="21"/>
                <w:szCs w:val="21"/>
              </w:rPr>
            </w:pPr>
            <w:r>
              <w:rPr>
                <w:kern w:val="0"/>
                <w:sz w:val="21"/>
                <w:szCs w:val="21"/>
              </w:rPr>
              <w:t>H</w:t>
            </w:r>
            <w:r>
              <w:rPr>
                <w:kern w:val="0"/>
                <w:sz w:val="21"/>
                <w:szCs w:val="21"/>
                <w:vertAlign w:val="subscript"/>
              </w:rPr>
              <w:t>2</w:t>
            </w:r>
            <w:r>
              <w:rPr>
                <w:kern w:val="0"/>
                <w:sz w:val="21"/>
                <w:szCs w:val="21"/>
              </w:rPr>
              <w:t>S</w:t>
            </w:r>
          </w:p>
        </w:tc>
        <w:tc>
          <w:tcPr>
            <w:tcW w:w="968" w:type="dxa"/>
            <w:vAlign w:val="center"/>
          </w:tcPr>
          <w:p>
            <w:pPr>
              <w:autoSpaceDE w:val="0"/>
              <w:autoSpaceDN w:val="0"/>
              <w:spacing w:line="280" w:lineRule="exact"/>
              <w:ind w:firstLine="0" w:firstLineChars="0"/>
              <w:jc w:val="center"/>
              <w:rPr>
                <w:kern w:val="0"/>
                <w:sz w:val="21"/>
                <w:szCs w:val="21"/>
              </w:rPr>
            </w:pPr>
            <w:r>
              <w:rPr>
                <w:kern w:val="0"/>
                <w:sz w:val="21"/>
                <w:szCs w:val="21"/>
              </w:rPr>
              <w:t>0.0007</w:t>
            </w:r>
            <w:r>
              <w:rPr>
                <w:rFonts w:hint="eastAsia"/>
                <w:kern w:val="0"/>
                <w:sz w:val="21"/>
                <w:szCs w:val="21"/>
              </w:rPr>
              <w:t>t</w:t>
            </w:r>
            <w:r>
              <w:rPr>
                <w:kern w:val="0"/>
                <w:sz w:val="21"/>
                <w:szCs w:val="21"/>
              </w:rPr>
              <w:t>/</w:t>
            </w:r>
            <w:r>
              <w:rPr>
                <w:rFonts w:hint="eastAsia"/>
                <w:kern w:val="0"/>
                <w:sz w:val="21"/>
                <w:szCs w:val="21"/>
              </w:rPr>
              <w:t>a</w:t>
            </w:r>
          </w:p>
        </w:tc>
        <w:tc>
          <w:tcPr>
            <w:tcW w:w="1147" w:type="dxa"/>
            <w:vAlign w:val="center"/>
          </w:tcPr>
          <w:p>
            <w:pPr>
              <w:autoSpaceDE w:val="0"/>
              <w:autoSpaceDN w:val="0"/>
              <w:spacing w:line="280" w:lineRule="exact"/>
              <w:ind w:firstLine="0" w:firstLineChars="0"/>
              <w:jc w:val="center"/>
              <w:rPr>
                <w:kern w:val="0"/>
                <w:sz w:val="21"/>
                <w:szCs w:val="21"/>
              </w:rPr>
            </w:pPr>
            <w:r>
              <w:rPr>
                <w:kern w:val="0"/>
                <w:sz w:val="21"/>
                <w:szCs w:val="21"/>
              </w:rPr>
              <w:t>0.00008</w:t>
            </w:r>
            <w:r>
              <w:rPr>
                <w:rFonts w:hint="eastAsia"/>
                <w:kern w:val="0"/>
                <w:sz w:val="21"/>
                <w:szCs w:val="21"/>
              </w:rPr>
              <w:t>kg</w:t>
            </w:r>
            <w:r>
              <w:rPr>
                <w:kern w:val="0"/>
                <w:sz w:val="21"/>
                <w:szCs w:val="21"/>
              </w:rPr>
              <w:t>/</w:t>
            </w:r>
            <w:r>
              <w:rPr>
                <w:rFonts w:hint="eastAsia"/>
                <w:kern w:val="0"/>
                <w:sz w:val="21"/>
                <w:szCs w:val="21"/>
              </w:rPr>
              <w:t>h</w:t>
            </w:r>
          </w:p>
        </w:tc>
        <w:tc>
          <w:tcPr>
            <w:tcW w:w="2008" w:type="dxa"/>
            <w:vMerge w:val="continue"/>
            <w:vAlign w:val="center"/>
          </w:tcPr>
          <w:p>
            <w:pPr>
              <w:widowControl/>
              <w:spacing w:line="280" w:lineRule="exact"/>
              <w:ind w:firstLine="0" w:firstLineChars="0"/>
              <w:jc w:val="center"/>
              <w:rPr>
                <w:kern w:val="0"/>
                <w:sz w:val="21"/>
                <w:szCs w:val="21"/>
              </w:rPr>
            </w:pPr>
          </w:p>
        </w:tc>
        <w:tc>
          <w:tcPr>
            <w:tcW w:w="1147" w:type="dxa"/>
            <w:vAlign w:val="center"/>
          </w:tcPr>
          <w:p>
            <w:pPr>
              <w:autoSpaceDE w:val="0"/>
              <w:autoSpaceDN w:val="0"/>
              <w:spacing w:line="280" w:lineRule="exact"/>
              <w:ind w:firstLine="0" w:firstLineChars="0"/>
              <w:jc w:val="center"/>
              <w:rPr>
                <w:kern w:val="0"/>
                <w:sz w:val="21"/>
                <w:szCs w:val="21"/>
              </w:rPr>
            </w:pPr>
            <w:r>
              <w:rPr>
                <w:rFonts w:hint="eastAsia"/>
                <w:kern w:val="0"/>
                <w:sz w:val="21"/>
                <w:szCs w:val="21"/>
              </w:rPr>
              <w:t>0</w:t>
            </w:r>
            <w:r>
              <w:rPr>
                <w:kern w:val="0"/>
                <w:sz w:val="21"/>
                <w:szCs w:val="21"/>
              </w:rPr>
              <w:t>.00001</w:t>
            </w:r>
            <w:r>
              <w:rPr>
                <w:rFonts w:hint="eastAsia"/>
                <w:kern w:val="0"/>
                <w:sz w:val="21"/>
                <w:szCs w:val="21"/>
              </w:rPr>
              <w:t>t</w:t>
            </w:r>
            <w:r>
              <w:rPr>
                <w:kern w:val="0"/>
                <w:sz w:val="21"/>
                <w:szCs w:val="21"/>
              </w:rPr>
              <w:t>/</w:t>
            </w:r>
            <w:r>
              <w:rPr>
                <w:rFonts w:hint="eastAsia"/>
                <w:kern w:val="0"/>
                <w:sz w:val="21"/>
                <w:szCs w:val="21"/>
              </w:rPr>
              <w:t>a</w:t>
            </w:r>
          </w:p>
        </w:tc>
        <w:tc>
          <w:tcPr>
            <w:tcW w:w="1182" w:type="dxa"/>
            <w:vAlign w:val="center"/>
          </w:tcPr>
          <w:p>
            <w:pPr>
              <w:autoSpaceDE w:val="0"/>
              <w:autoSpaceDN w:val="0"/>
              <w:spacing w:line="280" w:lineRule="exact"/>
              <w:ind w:firstLine="0" w:firstLineChars="0"/>
              <w:jc w:val="center"/>
              <w:rPr>
                <w:kern w:val="0"/>
                <w:sz w:val="21"/>
                <w:szCs w:val="21"/>
              </w:rPr>
            </w:pPr>
            <w:r>
              <w:rPr>
                <w:kern w:val="0"/>
                <w:sz w:val="21"/>
                <w:szCs w:val="21"/>
              </w:rPr>
              <w:t>0.00001</w:t>
            </w:r>
            <w:r>
              <w:rPr>
                <w:rFonts w:hint="eastAsia"/>
                <w:kern w:val="0"/>
                <w:sz w:val="21"/>
                <w:szCs w:val="21"/>
              </w:rPr>
              <w:t>kg</w:t>
            </w:r>
            <w:r>
              <w:rPr>
                <w:kern w:val="0"/>
                <w:sz w:val="21"/>
                <w:szCs w:val="21"/>
              </w:rPr>
              <w:t>/</w:t>
            </w:r>
            <w:r>
              <w:rPr>
                <w:rFonts w:hint="eastAsia"/>
                <w:kern w:val="0"/>
                <w:sz w:val="21"/>
                <w:szCs w:val="21"/>
              </w:rPr>
              <w:t>h</w:t>
            </w:r>
          </w:p>
        </w:tc>
      </w:tr>
    </w:tbl>
    <w:p>
      <w:pPr>
        <w:pStyle w:val="79"/>
        <w:ind w:firstLine="480"/>
        <w:rPr>
          <w:rFonts w:hAnsi="宋体"/>
        </w:rPr>
      </w:pPr>
    </w:p>
    <w:p>
      <w:pPr>
        <w:pStyle w:val="79"/>
        <w:ind w:firstLine="482"/>
        <w:rPr>
          <w:rFonts w:cs="Times New Roman"/>
          <w:b/>
        </w:rPr>
      </w:pPr>
      <w:r>
        <w:rPr>
          <w:rFonts w:cs="Times New Roman"/>
          <w:b/>
        </w:rPr>
        <w:t>2、</w:t>
      </w:r>
      <w:r>
        <w:rPr>
          <w:rFonts w:hint="eastAsia" w:cs="Times New Roman"/>
          <w:b/>
        </w:rPr>
        <w:t>沼气燃烧</w:t>
      </w:r>
      <w:r>
        <w:rPr>
          <w:rFonts w:cs="Times New Roman"/>
          <w:b/>
        </w:rPr>
        <w:t>废气</w:t>
      </w:r>
    </w:p>
    <w:p>
      <w:pPr>
        <w:pStyle w:val="79"/>
        <w:ind w:firstLine="480"/>
      </w:pPr>
      <w:r>
        <w:rPr>
          <w:rFonts w:hint="eastAsia"/>
        </w:rPr>
        <w:t>根据《规模化畜禽养殖场沼气工程设计规范》（NY/T1222-2006）中的数据，理论上每去除1kgCOD约产生0.35m</w:t>
      </w:r>
      <w:r>
        <w:rPr>
          <w:rFonts w:hint="eastAsia"/>
          <w:vertAlign w:val="superscript"/>
        </w:rPr>
        <w:t>3</w:t>
      </w:r>
      <w:r>
        <w:rPr>
          <w:rFonts w:hint="eastAsia"/>
        </w:rPr>
        <w:t>甲烷。</w:t>
      </w:r>
    </w:p>
    <w:p>
      <w:pPr>
        <w:pStyle w:val="79"/>
        <w:ind w:firstLine="480"/>
      </w:pPr>
      <w:r>
        <w:rPr>
          <w:rFonts w:hint="eastAsia"/>
        </w:rPr>
        <w:t>本项目</w:t>
      </w:r>
      <w:r>
        <w:t>污水处理年处理</w:t>
      </w:r>
      <w:r>
        <w:rPr>
          <w:rFonts w:hint="eastAsia"/>
        </w:rPr>
        <w:t>废水</w:t>
      </w:r>
      <w:r>
        <w:t>量为</w:t>
      </w:r>
      <w:r>
        <w:rPr>
          <w:rFonts w:hint="eastAsia"/>
        </w:rPr>
        <w:t>7664.35</w:t>
      </w:r>
      <w:r>
        <w:t>m</w:t>
      </w:r>
      <w:r>
        <w:rPr>
          <w:vertAlign w:val="superscript"/>
        </w:rPr>
        <w:t>3</w:t>
      </w:r>
      <w:r>
        <w:t>/a</w:t>
      </w:r>
      <w:r>
        <w:rPr>
          <w:rFonts w:hint="eastAsia"/>
        </w:rPr>
        <w:t>，</w:t>
      </w:r>
      <w:r>
        <w:t>废水COD的产生量为17.8t/a</w:t>
      </w:r>
      <w:r>
        <w:rPr>
          <w:rFonts w:hint="eastAsia"/>
        </w:rPr>
        <w:t>。</w:t>
      </w:r>
      <w:r>
        <w:t>污水处理系统采用“</w:t>
      </w:r>
      <w:r>
        <w:rPr>
          <w:rFonts w:hint="eastAsia"/>
        </w:rPr>
        <w:t>集</w:t>
      </w:r>
      <w:r>
        <w:t>粪池</w:t>
      </w:r>
      <w:r>
        <w:rPr>
          <w:rFonts w:hint="eastAsia"/>
        </w:rPr>
        <w:t>+固液</w:t>
      </w:r>
      <w:r>
        <w:t>分离</w:t>
      </w:r>
      <w:r>
        <w:rPr>
          <w:rFonts w:hint="eastAsia"/>
        </w:rPr>
        <w:t>+厌氧</w:t>
      </w:r>
      <w:r>
        <w:t>发酵池处理</w:t>
      </w:r>
      <w:r>
        <w:rPr>
          <w:rFonts w:hint="eastAsia"/>
        </w:rPr>
        <w:t>”</w:t>
      </w:r>
      <w:r>
        <w:t>进行处理，最终</w:t>
      </w:r>
      <w:r>
        <w:rPr>
          <w:rFonts w:hint="eastAsia"/>
        </w:rPr>
        <w:t>沼液</w:t>
      </w:r>
      <w:r>
        <w:t>用于种植区魔芋、果树种植区</w:t>
      </w:r>
      <w:r>
        <w:rPr>
          <w:rFonts w:hint="eastAsia"/>
        </w:rPr>
        <w:t>施肥</w:t>
      </w:r>
      <w:r>
        <w:t>土地消纳。项目污水处理系统COD</w:t>
      </w:r>
      <w:r>
        <w:rPr>
          <w:rFonts w:hint="eastAsia"/>
        </w:rPr>
        <w:t>总</w:t>
      </w:r>
      <w:r>
        <w:t>去除效率</w:t>
      </w:r>
      <w:r>
        <w:rPr>
          <w:rFonts w:hint="eastAsia"/>
        </w:rPr>
        <w:t>约为</w:t>
      </w:r>
      <w:r>
        <w:t>80%，COD去除量为14.24t/a</w:t>
      </w:r>
      <w:r>
        <w:rPr>
          <w:rFonts w:hint="eastAsia"/>
        </w:rPr>
        <w:t>。故项目</w:t>
      </w:r>
      <w:r>
        <w:t>产生沼气共计4984m</w:t>
      </w:r>
      <w:r>
        <w:rPr>
          <w:vertAlign w:val="superscript"/>
        </w:rPr>
        <w:t>3</w:t>
      </w:r>
      <w:r>
        <w:t>/a。</w:t>
      </w:r>
    </w:p>
    <w:p>
      <w:pPr>
        <w:spacing w:line="500" w:lineRule="exact"/>
        <w:ind w:firstLine="0" w:firstLineChars="0"/>
        <w:jc w:val="center"/>
        <w:rPr>
          <w:b/>
          <w:bCs/>
          <w:szCs w:val="24"/>
        </w:rPr>
      </w:pPr>
      <w:r>
        <w:rPr>
          <w:b/>
          <w:bCs/>
          <w:szCs w:val="24"/>
        </w:rPr>
        <w:t>表3.3-7  沼气主要性质一览表</w:t>
      </w:r>
    </w:p>
    <w:tbl>
      <w:tblPr>
        <w:tblStyle w:val="27"/>
        <w:tblW w:w="82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61"/>
        <w:gridCol w:w="1277"/>
        <w:gridCol w:w="1029"/>
        <w:gridCol w:w="1083"/>
        <w:gridCol w:w="981"/>
        <w:gridCol w:w="981"/>
        <w:gridCol w:w="1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1361" w:type="dxa"/>
            <w:vAlign w:val="center"/>
          </w:tcPr>
          <w:p>
            <w:pPr>
              <w:autoSpaceDE w:val="0"/>
              <w:autoSpaceDN w:val="0"/>
              <w:adjustRightInd/>
              <w:snapToGrid/>
              <w:spacing w:line="280" w:lineRule="exact"/>
              <w:ind w:firstLine="0" w:firstLineChars="0"/>
              <w:jc w:val="center"/>
              <w:rPr>
                <w:b/>
                <w:bCs/>
                <w:kern w:val="0"/>
                <w:sz w:val="21"/>
                <w:szCs w:val="21"/>
              </w:rPr>
            </w:pPr>
            <w:r>
              <w:rPr>
                <w:b/>
                <w:bCs/>
                <w:kern w:val="0"/>
                <w:sz w:val="21"/>
                <w:szCs w:val="21"/>
              </w:rPr>
              <w:t>成分</w:t>
            </w:r>
          </w:p>
        </w:tc>
        <w:tc>
          <w:tcPr>
            <w:tcW w:w="1277" w:type="dxa"/>
            <w:vAlign w:val="center"/>
          </w:tcPr>
          <w:p>
            <w:pPr>
              <w:autoSpaceDE w:val="0"/>
              <w:autoSpaceDN w:val="0"/>
              <w:adjustRightInd/>
              <w:snapToGrid/>
              <w:spacing w:line="280" w:lineRule="exact"/>
              <w:ind w:firstLine="0" w:firstLineChars="0"/>
              <w:jc w:val="center"/>
              <w:rPr>
                <w:b/>
                <w:bCs/>
                <w:kern w:val="0"/>
                <w:sz w:val="21"/>
                <w:szCs w:val="21"/>
              </w:rPr>
            </w:pPr>
            <w:r>
              <w:rPr>
                <w:b/>
                <w:bCs/>
                <w:kern w:val="0"/>
                <w:position w:val="2"/>
                <w:sz w:val="21"/>
                <w:szCs w:val="21"/>
              </w:rPr>
              <w:t>CH</w:t>
            </w:r>
            <w:r>
              <w:rPr>
                <w:b/>
                <w:bCs/>
                <w:kern w:val="0"/>
                <w:position w:val="2"/>
                <w:sz w:val="21"/>
                <w:szCs w:val="21"/>
                <w:vertAlign w:val="subscript"/>
              </w:rPr>
              <w:t>4</w:t>
            </w:r>
          </w:p>
        </w:tc>
        <w:tc>
          <w:tcPr>
            <w:tcW w:w="1029" w:type="dxa"/>
            <w:vAlign w:val="center"/>
          </w:tcPr>
          <w:p>
            <w:pPr>
              <w:autoSpaceDE w:val="0"/>
              <w:autoSpaceDN w:val="0"/>
              <w:adjustRightInd/>
              <w:snapToGrid/>
              <w:spacing w:line="280" w:lineRule="exact"/>
              <w:ind w:firstLine="0" w:firstLineChars="0"/>
              <w:jc w:val="center"/>
              <w:rPr>
                <w:b/>
                <w:bCs/>
                <w:kern w:val="0"/>
                <w:sz w:val="21"/>
                <w:szCs w:val="21"/>
              </w:rPr>
            </w:pPr>
            <w:r>
              <w:rPr>
                <w:b/>
                <w:bCs/>
                <w:kern w:val="0"/>
                <w:position w:val="2"/>
                <w:sz w:val="21"/>
                <w:szCs w:val="21"/>
              </w:rPr>
              <w:t>CO</w:t>
            </w:r>
            <w:r>
              <w:rPr>
                <w:b/>
                <w:bCs/>
                <w:kern w:val="0"/>
                <w:position w:val="2"/>
                <w:sz w:val="21"/>
                <w:szCs w:val="21"/>
                <w:vertAlign w:val="subscript"/>
              </w:rPr>
              <w:t>2</w:t>
            </w:r>
          </w:p>
        </w:tc>
        <w:tc>
          <w:tcPr>
            <w:tcW w:w="1083" w:type="dxa"/>
            <w:vAlign w:val="center"/>
          </w:tcPr>
          <w:p>
            <w:pPr>
              <w:autoSpaceDE w:val="0"/>
              <w:autoSpaceDN w:val="0"/>
              <w:adjustRightInd/>
              <w:snapToGrid/>
              <w:spacing w:line="280" w:lineRule="exact"/>
              <w:ind w:firstLine="0" w:firstLineChars="0"/>
              <w:jc w:val="center"/>
              <w:rPr>
                <w:b/>
                <w:bCs/>
                <w:kern w:val="0"/>
                <w:sz w:val="21"/>
                <w:szCs w:val="21"/>
              </w:rPr>
            </w:pPr>
            <w:r>
              <w:rPr>
                <w:b/>
                <w:bCs/>
                <w:kern w:val="0"/>
                <w:position w:val="2"/>
                <w:sz w:val="21"/>
                <w:szCs w:val="21"/>
              </w:rPr>
              <w:t>N</w:t>
            </w:r>
            <w:r>
              <w:rPr>
                <w:b/>
                <w:bCs/>
                <w:kern w:val="0"/>
                <w:position w:val="2"/>
                <w:sz w:val="21"/>
                <w:szCs w:val="21"/>
                <w:vertAlign w:val="subscript"/>
              </w:rPr>
              <w:t>2</w:t>
            </w:r>
          </w:p>
        </w:tc>
        <w:tc>
          <w:tcPr>
            <w:tcW w:w="981" w:type="dxa"/>
            <w:vAlign w:val="center"/>
          </w:tcPr>
          <w:p>
            <w:pPr>
              <w:autoSpaceDE w:val="0"/>
              <w:autoSpaceDN w:val="0"/>
              <w:adjustRightInd/>
              <w:snapToGrid/>
              <w:spacing w:line="280" w:lineRule="exact"/>
              <w:ind w:firstLine="0" w:firstLineChars="0"/>
              <w:jc w:val="center"/>
              <w:rPr>
                <w:b/>
                <w:bCs/>
                <w:kern w:val="0"/>
                <w:sz w:val="21"/>
                <w:szCs w:val="21"/>
              </w:rPr>
            </w:pPr>
            <w:r>
              <w:rPr>
                <w:b/>
                <w:bCs/>
                <w:kern w:val="0"/>
                <w:position w:val="2"/>
                <w:sz w:val="21"/>
                <w:szCs w:val="21"/>
              </w:rPr>
              <w:t>O</w:t>
            </w:r>
            <w:r>
              <w:rPr>
                <w:b/>
                <w:bCs/>
                <w:kern w:val="0"/>
                <w:position w:val="2"/>
                <w:sz w:val="21"/>
                <w:szCs w:val="21"/>
                <w:vertAlign w:val="subscript"/>
              </w:rPr>
              <w:t>2</w:t>
            </w:r>
          </w:p>
        </w:tc>
        <w:tc>
          <w:tcPr>
            <w:tcW w:w="981" w:type="dxa"/>
            <w:vAlign w:val="center"/>
          </w:tcPr>
          <w:p>
            <w:pPr>
              <w:autoSpaceDE w:val="0"/>
              <w:autoSpaceDN w:val="0"/>
              <w:adjustRightInd/>
              <w:snapToGrid/>
              <w:spacing w:line="280" w:lineRule="exact"/>
              <w:ind w:firstLine="0" w:firstLineChars="0"/>
              <w:jc w:val="center"/>
              <w:rPr>
                <w:b/>
                <w:bCs/>
                <w:kern w:val="0"/>
                <w:sz w:val="21"/>
                <w:szCs w:val="21"/>
              </w:rPr>
            </w:pPr>
            <w:r>
              <w:rPr>
                <w:b/>
                <w:bCs/>
                <w:kern w:val="0"/>
                <w:position w:val="2"/>
                <w:sz w:val="21"/>
                <w:szCs w:val="21"/>
              </w:rPr>
              <w:t>H</w:t>
            </w:r>
            <w:r>
              <w:rPr>
                <w:b/>
                <w:bCs/>
                <w:kern w:val="0"/>
                <w:position w:val="2"/>
                <w:sz w:val="21"/>
                <w:szCs w:val="21"/>
                <w:vertAlign w:val="subscript"/>
              </w:rPr>
              <w:t>2</w:t>
            </w:r>
            <w:r>
              <w:rPr>
                <w:b/>
                <w:bCs/>
                <w:kern w:val="0"/>
                <w:position w:val="2"/>
                <w:sz w:val="21"/>
                <w:szCs w:val="21"/>
              </w:rPr>
              <w:t>S</w:t>
            </w:r>
          </w:p>
        </w:tc>
        <w:tc>
          <w:tcPr>
            <w:tcW w:w="1570" w:type="dxa"/>
            <w:vAlign w:val="center"/>
          </w:tcPr>
          <w:p>
            <w:pPr>
              <w:autoSpaceDE w:val="0"/>
              <w:autoSpaceDN w:val="0"/>
              <w:adjustRightInd/>
              <w:snapToGrid/>
              <w:spacing w:line="280" w:lineRule="exact"/>
              <w:ind w:firstLine="0" w:firstLineChars="0"/>
              <w:jc w:val="center"/>
              <w:rPr>
                <w:b/>
                <w:bCs/>
                <w:kern w:val="0"/>
                <w:sz w:val="21"/>
                <w:szCs w:val="21"/>
              </w:rPr>
            </w:pPr>
            <w:r>
              <w:rPr>
                <w:b/>
                <w:bCs/>
                <w:kern w:val="0"/>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1361"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含量（%）</w:t>
            </w:r>
          </w:p>
        </w:tc>
        <w:tc>
          <w:tcPr>
            <w:tcW w:w="1277"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58</w:t>
            </w:r>
          </w:p>
        </w:tc>
        <w:tc>
          <w:tcPr>
            <w:tcW w:w="1029"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39</w:t>
            </w:r>
          </w:p>
        </w:tc>
        <w:tc>
          <w:tcPr>
            <w:tcW w:w="1083"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0.91</w:t>
            </w:r>
          </w:p>
        </w:tc>
        <w:tc>
          <w:tcPr>
            <w:tcW w:w="981"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0.18</w:t>
            </w:r>
          </w:p>
        </w:tc>
        <w:tc>
          <w:tcPr>
            <w:tcW w:w="981"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0.03</w:t>
            </w:r>
          </w:p>
        </w:tc>
        <w:tc>
          <w:tcPr>
            <w:tcW w:w="1570"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1361"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甲烷化学性质</w:t>
            </w:r>
          </w:p>
        </w:tc>
        <w:tc>
          <w:tcPr>
            <w:tcW w:w="6921" w:type="dxa"/>
            <w:gridSpan w:val="6"/>
          </w:tcPr>
          <w:p>
            <w:pPr>
              <w:autoSpaceDE w:val="0"/>
              <w:autoSpaceDN w:val="0"/>
              <w:adjustRightInd/>
              <w:snapToGrid/>
              <w:spacing w:line="240" w:lineRule="exact"/>
              <w:ind w:firstLine="0" w:firstLineChars="0"/>
              <w:rPr>
                <w:kern w:val="0"/>
                <w:sz w:val="21"/>
                <w:szCs w:val="21"/>
              </w:rPr>
            </w:pPr>
            <w:r>
              <w:rPr>
                <w:kern w:val="0"/>
                <w:sz w:val="21"/>
                <w:szCs w:val="21"/>
              </w:rPr>
              <w:t>甲烷是一种简单的碳氢化合物，化学性质极为稳定，在水中的溶解度很低甲烷在一个大气压的着火点为 537.2</w:t>
            </w:r>
            <w:r>
              <w:rPr>
                <w:rFonts w:hint="eastAsia" w:ascii="宋体" w:hAnsi="宋体" w:cs="宋体"/>
                <w:kern w:val="0"/>
                <w:sz w:val="21"/>
                <w:szCs w:val="21"/>
              </w:rPr>
              <w:t>℃</w:t>
            </w:r>
            <w:r>
              <w:rPr>
                <w:kern w:val="0"/>
                <w:sz w:val="21"/>
                <w:szCs w:val="21"/>
              </w:rPr>
              <w:t>。液化甲烷的临界温度是-82.5</w:t>
            </w:r>
            <w:r>
              <w:rPr>
                <w:rFonts w:hint="eastAsia" w:ascii="宋体" w:hAnsi="宋体" w:cs="宋体"/>
                <w:kern w:val="0"/>
                <w:sz w:val="21"/>
                <w:szCs w:val="21"/>
              </w:rPr>
              <w:t>℃</w:t>
            </w:r>
            <w:r>
              <w:rPr>
                <w:kern w:val="0"/>
                <w:sz w:val="21"/>
                <w:szCs w:val="21"/>
              </w:rPr>
              <w:t>，临界压力是 4.49Mpa；所以在常温压下，甲烷不能液化，只能以气体存在甲烷也是一种优质的气体燃料，当它与空气混合完全燃烧时呈蓝色火焰变成二氧化碳和水汽，燃烧时最高温度可达 1400</w:t>
            </w:r>
            <w:r>
              <w:rPr>
                <w:rFonts w:hint="eastAsia" w:ascii="宋体" w:hAnsi="宋体" w:cs="宋体"/>
                <w:kern w:val="0"/>
                <w:sz w:val="21"/>
                <w:szCs w:val="21"/>
              </w:rPr>
              <w:t>℃</w:t>
            </w:r>
            <w:r>
              <w:rPr>
                <w:kern w:val="0"/>
                <w:sz w:val="21"/>
                <w:szCs w:val="21"/>
              </w:rPr>
              <w:t>。1m</w:t>
            </w:r>
            <w:r>
              <w:rPr>
                <w:kern w:val="0"/>
                <w:position w:val="7"/>
                <w:sz w:val="13"/>
                <w:szCs w:val="13"/>
              </w:rPr>
              <w:t>3</w:t>
            </w:r>
            <w:r>
              <w:rPr>
                <w:kern w:val="0"/>
                <w:sz w:val="21"/>
                <w:szCs w:val="21"/>
              </w:rPr>
              <w:t>沼气完全燃烧时可放出17911.3～25075.8千焦的热量。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1361" w:type="dxa"/>
            <w:vAlign w:val="center"/>
          </w:tcPr>
          <w:p>
            <w:pPr>
              <w:autoSpaceDE w:val="0"/>
              <w:autoSpaceDN w:val="0"/>
              <w:adjustRightInd/>
              <w:snapToGrid/>
              <w:spacing w:line="280" w:lineRule="exact"/>
              <w:ind w:firstLine="0" w:firstLineChars="0"/>
              <w:jc w:val="center"/>
              <w:rPr>
                <w:kern w:val="0"/>
                <w:sz w:val="21"/>
                <w:szCs w:val="21"/>
              </w:rPr>
            </w:pPr>
            <w:r>
              <w:rPr>
                <w:kern w:val="0"/>
                <w:sz w:val="21"/>
                <w:szCs w:val="21"/>
              </w:rPr>
              <w:t>沼气物理性质</w:t>
            </w:r>
          </w:p>
        </w:tc>
        <w:tc>
          <w:tcPr>
            <w:tcW w:w="6921" w:type="dxa"/>
            <w:gridSpan w:val="6"/>
          </w:tcPr>
          <w:p>
            <w:pPr>
              <w:autoSpaceDE w:val="0"/>
              <w:autoSpaceDN w:val="0"/>
              <w:adjustRightInd/>
              <w:snapToGrid/>
              <w:spacing w:line="240" w:lineRule="exact"/>
              <w:ind w:firstLine="0" w:firstLineChars="0"/>
              <w:rPr>
                <w:kern w:val="0"/>
                <w:sz w:val="21"/>
                <w:szCs w:val="21"/>
              </w:rPr>
            </w:pPr>
            <w:r>
              <w:rPr>
                <w:kern w:val="0"/>
                <w:sz w:val="21"/>
                <w:szCs w:val="21"/>
              </w:rPr>
              <w:t>沼气的主要成分甲烷，是无色、无臭、无味的气体，分子量为16.043，比重为 0.716g/L，比空气轻一半，一般沼气对空气的比重为0.85，沼气略比空气轻。沼气本身是一种无色、有小毒、略带臭味的混合气体，其主要原因是沼气中含有少量的CO和NH</w:t>
            </w:r>
            <w:r>
              <w:rPr>
                <w:kern w:val="0"/>
                <w:sz w:val="21"/>
                <w:szCs w:val="21"/>
                <w:vertAlign w:val="subscript"/>
              </w:rPr>
              <w:t>3</w:t>
            </w:r>
            <w:r>
              <w:rPr>
                <w:kern w:val="0"/>
                <w:sz w:val="21"/>
                <w:szCs w:val="21"/>
              </w:rPr>
              <w:t>所造成的。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1361" w:type="dxa"/>
            <w:vAlign w:val="center"/>
          </w:tcPr>
          <w:p>
            <w:pPr>
              <w:adjustRightInd/>
              <w:snapToGrid/>
              <w:spacing w:line="280" w:lineRule="exact"/>
              <w:ind w:firstLine="0" w:firstLineChars="0"/>
              <w:jc w:val="center"/>
              <w:rPr>
                <w:sz w:val="21"/>
                <w:szCs w:val="21"/>
              </w:rPr>
            </w:pPr>
            <w:r>
              <w:rPr>
                <w:sz w:val="21"/>
                <w:szCs w:val="21"/>
              </w:rPr>
              <w:t>沼气燃烧简述</w:t>
            </w:r>
          </w:p>
        </w:tc>
        <w:tc>
          <w:tcPr>
            <w:tcW w:w="6921" w:type="dxa"/>
            <w:gridSpan w:val="6"/>
          </w:tcPr>
          <w:p>
            <w:pPr>
              <w:adjustRightInd/>
              <w:snapToGrid/>
              <w:spacing w:line="240" w:lineRule="exact"/>
              <w:ind w:firstLine="0" w:firstLineChars="0"/>
              <w:rPr>
                <w:sz w:val="21"/>
                <w:szCs w:val="21"/>
              </w:rPr>
            </w:pPr>
            <w:r>
              <w:rPr>
                <w:sz w:val="21"/>
                <w:szCs w:val="21"/>
              </w:rPr>
              <w:t>甲烷的发热值很高，达5500～5800kcal/m</w:t>
            </w:r>
            <w:r>
              <w:rPr>
                <w:position w:val="7"/>
                <w:sz w:val="13"/>
                <w:szCs w:val="13"/>
              </w:rPr>
              <w:t>3</w:t>
            </w:r>
            <w:r>
              <w:rPr>
                <w:sz w:val="21"/>
                <w:szCs w:val="21"/>
              </w:rPr>
              <w:t>。甲烷完全燃烧时仅生成二氧化碳和水，并释放热能，是一种清洁能源。甲烷中因含有二氧化碳等不可燃气体，其抗爆性能好，辛烷值较高，是一种良好的燃料。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1361" w:type="dxa"/>
            <w:vAlign w:val="center"/>
          </w:tcPr>
          <w:p>
            <w:pPr>
              <w:adjustRightInd/>
              <w:snapToGrid/>
              <w:spacing w:line="280" w:lineRule="exact"/>
              <w:ind w:firstLine="0" w:firstLineChars="0"/>
              <w:jc w:val="center"/>
              <w:rPr>
                <w:sz w:val="21"/>
                <w:szCs w:val="21"/>
              </w:rPr>
            </w:pPr>
            <w:r>
              <w:rPr>
                <w:sz w:val="21"/>
                <w:szCs w:val="21"/>
              </w:rPr>
              <w:t>备注</w:t>
            </w:r>
          </w:p>
        </w:tc>
        <w:tc>
          <w:tcPr>
            <w:tcW w:w="6921" w:type="dxa"/>
            <w:gridSpan w:val="6"/>
            <w:vAlign w:val="center"/>
          </w:tcPr>
          <w:p>
            <w:pPr>
              <w:adjustRightInd/>
              <w:snapToGrid/>
              <w:spacing w:line="280" w:lineRule="exact"/>
              <w:ind w:firstLine="0" w:firstLineChars="0"/>
              <w:rPr>
                <w:sz w:val="21"/>
                <w:szCs w:val="21"/>
              </w:rPr>
            </w:pPr>
            <w:r>
              <w:rPr>
                <w:sz w:val="21"/>
                <w:szCs w:val="21"/>
              </w:rPr>
              <w:t>数据来源于《规模畜禽养殖场污染防治最佳可行技术指南（试行）（HJ-BAT-10）。</w:t>
            </w:r>
          </w:p>
        </w:tc>
      </w:tr>
    </w:tbl>
    <w:p>
      <w:pPr>
        <w:pStyle w:val="79"/>
        <w:ind w:firstLine="480"/>
      </w:pPr>
      <w:r>
        <w:t>本项目位于</w:t>
      </w:r>
      <w:r>
        <w:rPr>
          <w:rFonts w:hint="eastAsia"/>
        </w:rPr>
        <w:t>旬阳市</w:t>
      </w:r>
      <w:r>
        <w:t>，秋冬季温度较低，无法保证连续产气，无法综合利用于猪舍和办公宿舍区冬季供暖季，因此本项目污水处理过程中产生的沼气未设专用储柜。环评建议将沼气收集经除水脱硫净化处理后，通过污水处理系统下风向火炬充分燃烧</w:t>
      </w:r>
      <w:r>
        <w:rPr>
          <w:rFonts w:hint="eastAsia"/>
        </w:rPr>
        <w:t>排放</w:t>
      </w:r>
      <w:r>
        <w:t>。</w:t>
      </w:r>
    </w:p>
    <w:p>
      <w:pPr>
        <w:pStyle w:val="79"/>
        <w:ind w:firstLine="480"/>
      </w:pPr>
      <w:r>
        <w:t>沼气的主要成分为甲烷，项目产生的沼气通过脱水、脱硫后H</w:t>
      </w:r>
      <w:r>
        <w:rPr>
          <w:vertAlign w:val="subscript"/>
        </w:rPr>
        <w:t>2</w:t>
      </w:r>
      <w:r>
        <w:t>S含量≤20mg/m</w:t>
      </w:r>
      <w:r>
        <w:rPr>
          <w:vertAlign w:val="superscript"/>
        </w:rPr>
        <w:t>3</w:t>
      </w:r>
      <w:r>
        <w:rPr>
          <w:rFonts w:hint="eastAsia"/>
        </w:rPr>
        <w:t>。</w:t>
      </w:r>
      <w:r>
        <w:t>本项目产生的沼气经火炬点火燃烧，燃烧主要产物为水和CO</w:t>
      </w:r>
      <w:r>
        <w:rPr>
          <w:vertAlign w:val="subscript"/>
        </w:rPr>
        <w:t>2</w:t>
      </w:r>
      <w:r>
        <w:t>，还有少量的SO</w:t>
      </w:r>
      <w:r>
        <w:rPr>
          <w:vertAlign w:val="subscript"/>
        </w:rPr>
        <w:t>2</w:t>
      </w:r>
      <w:r>
        <w:rPr>
          <w:rFonts w:hint="eastAsia"/>
        </w:rPr>
        <w:t>、</w:t>
      </w:r>
      <w:r>
        <w:t>NO</w:t>
      </w:r>
      <w:r>
        <w:rPr>
          <w:vertAlign w:val="subscript"/>
        </w:rPr>
        <w:t>X</w:t>
      </w:r>
      <w:r>
        <w:rPr>
          <w:rFonts w:hint="eastAsia"/>
        </w:rPr>
        <w:t>和烟尘</w:t>
      </w:r>
      <w:r>
        <w:t>。火炬燃烧废气参照《排污许可证申请与核发技术规范 锅炉》（HJ953-2018）附录F中表F.3燃气工业锅炉（天然气）的废气产排污系数，二氧化硫排污系数：0.02Skg/万m</w:t>
      </w:r>
      <w:r>
        <w:rPr>
          <w:vertAlign w:val="superscript"/>
        </w:rPr>
        <w:t>3</w:t>
      </w:r>
      <w:r>
        <w:t>燃料，颗粒物排污系数：2.86kg/万m</w:t>
      </w:r>
      <w:r>
        <w:rPr>
          <w:vertAlign w:val="superscript"/>
        </w:rPr>
        <w:t>3</w:t>
      </w:r>
      <w:r>
        <w:t>燃料，氮氧化物排污系数：18.71kg/万m</w:t>
      </w:r>
      <w:r>
        <w:rPr>
          <w:vertAlign w:val="superscript"/>
        </w:rPr>
        <w:t>3</w:t>
      </w:r>
      <w:r>
        <w:t>燃料（无低氮燃烧器）。烟气量参照</w:t>
      </w:r>
      <w:r>
        <w:rPr>
          <w:rFonts w:hint="eastAsia"/>
        </w:rPr>
        <w:t>《排放源统计调查产排污核算方法和系数手册》</w:t>
      </w:r>
      <w:r>
        <w:t>中</w:t>
      </w:r>
      <w:r>
        <w:rPr>
          <w:rFonts w:hint="eastAsia"/>
        </w:rPr>
        <w:t>4430工业锅炉（热力供应）行业系数手册</w:t>
      </w:r>
      <w:r>
        <w:t>计算，</w:t>
      </w:r>
      <w:r>
        <w:rPr>
          <w:rFonts w:hint="eastAsia"/>
        </w:rPr>
        <w:t>废气量</w:t>
      </w:r>
      <w:r>
        <w:t>产生系数为</w:t>
      </w:r>
      <w:r>
        <w:rPr>
          <w:rFonts w:hint="eastAsia"/>
        </w:rPr>
        <w:t>107753</w:t>
      </w:r>
      <w:r>
        <w:t>m</w:t>
      </w:r>
      <w:r>
        <w:rPr>
          <w:vertAlign w:val="superscript"/>
        </w:rPr>
        <w:t>3</w:t>
      </w:r>
      <w:r>
        <w:t>/</w:t>
      </w:r>
      <w:r>
        <w:rPr>
          <w:rFonts w:hint="eastAsia"/>
        </w:rPr>
        <w:t>万</w:t>
      </w:r>
      <w:r>
        <w:t>m</w:t>
      </w:r>
      <w:r>
        <w:rPr>
          <w:vertAlign w:val="superscript"/>
        </w:rPr>
        <w:t>3</w:t>
      </w:r>
      <w:r>
        <w:t xml:space="preserve"> </w:t>
      </w:r>
      <w:r>
        <w:rPr>
          <w:rFonts w:hint="eastAsia"/>
        </w:rPr>
        <w:t>原料；</w:t>
      </w:r>
    </w:p>
    <w:p>
      <w:pPr>
        <w:pStyle w:val="79"/>
        <w:ind w:firstLine="480"/>
      </w:pPr>
      <w:r>
        <w:rPr>
          <w:rFonts w:hint="eastAsia"/>
        </w:rPr>
        <w:t>则本项目沼气燃烧污染物排放情况见下表。</w:t>
      </w:r>
    </w:p>
    <w:p>
      <w:pPr>
        <w:spacing w:line="240" w:lineRule="auto"/>
        <w:ind w:firstLine="0" w:firstLineChars="0"/>
        <w:jc w:val="center"/>
        <w:rPr>
          <w:b/>
          <w:bCs/>
          <w:szCs w:val="24"/>
        </w:rPr>
      </w:pPr>
      <w:r>
        <w:rPr>
          <w:b/>
          <w:bCs/>
          <w:szCs w:val="24"/>
        </w:rPr>
        <w:t>表3.3-8   沼气燃烧废气排放情况一览表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48"/>
        <w:gridCol w:w="1633"/>
        <w:gridCol w:w="1699"/>
        <w:gridCol w:w="1751"/>
        <w:gridCol w:w="1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448" w:type="dxa"/>
            <w:vAlign w:val="center"/>
          </w:tcPr>
          <w:p>
            <w:pPr>
              <w:autoSpaceDE w:val="0"/>
              <w:autoSpaceDN w:val="0"/>
              <w:adjustRightInd/>
              <w:snapToGrid/>
              <w:spacing w:line="240" w:lineRule="exact"/>
              <w:ind w:firstLine="0" w:firstLineChars="0"/>
              <w:jc w:val="center"/>
              <w:rPr>
                <w:b/>
                <w:kern w:val="0"/>
                <w:sz w:val="21"/>
                <w:szCs w:val="21"/>
              </w:rPr>
            </w:pPr>
            <w:r>
              <w:rPr>
                <w:b/>
                <w:kern w:val="0"/>
                <w:sz w:val="21"/>
                <w:szCs w:val="21"/>
              </w:rPr>
              <w:t>污染物</w:t>
            </w:r>
          </w:p>
        </w:tc>
        <w:tc>
          <w:tcPr>
            <w:tcW w:w="1633" w:type="dxa"/>
            <w:vAlign w:val="center"/>
          </w:tcPr>
          <w:p>
            <w:pPr>
              <w:autoSpaceDE w:val="0"/>
              <w:autoSpaceDN w:val="0"/>
              <w:adjustRightInd/>
              <w:snapToGrid/>
              <w:spacing w:line="240" w:lineRule="exact"/>
              <w:ind w:firstLine="0" w:firstLineChars="0"/>
              <w:jc w:val="center"/>
              <w:rPr>
                <w:b/>
                <w:kern w:val="0"/>
                <w:sz w:val="21"/>
                <w:szCs w:val="21"/>
              </w:rPr>
            </w:pPr>
            <w:r>
              <w:rPr>
                <w:b/>
                <w:kern w:val="0"/>
                <w:sz w:val="21"/>
                <w:szCs w:val="21"/>
              </w:rPr>
              <w:t>产污系数</w:t>
            </w:r>
          </w:p>
        </w:tc>
        <w:tc>
          <w:tcPr>
            <w:tcW w:w="1699" w:type="dxa"/>
            <w:vAlign w:val="center"/>
          </w:tcPr>
          <w:p>
            <w:pPr>
              <w:autoSpaceDE w:val="0"/>
              <w:autoSpaceDN w:val="0"/>
              <w:adjustRightInd/>
              <w:snapToGrid/>
              <w:spacing w:line="240" w:lineRule="exact"/>
              <w:ind w:firstLine="0" w:firstLineChars="0"/>
              <w:jc w:val="center"/>
              <w:rPr>
                <w:b/>
                <w:kern w:val="0"/>
                <w:sz w:val="21"/>
                <w:szCs w:val="21"/>
              </w:rPr>
            </w:pPr>
            <w:r>
              <w:rPr>
                <w:b/>
                <w:kern w:val="0"/>
                <w:sz w:val="21"/>
                <w:szCs w:val="21"/>
              </w:rPr>
              <w:t>排放速率</w:t>
            </w:r>
          </w:p>
        </w:tc>
        <w:tc>
          <w:tcPr>
            <w:tcW w:w="1751" w:type="dxa"/>
          </w:tcPr>
          <w:p>
            <w:pPr>
              <w:autoSpaceDE w:val="0"/>
              <w:autoSpaceDN w:val="0"/>
              <w:adjustRightInd/>
              <w:snapToGrid/>
              <w:spacing w:line="240" w:lineRule="exact"/>
              <w:ind w:firstLine="0" w:firstLineChars="0"/>
              <w:jc w:val="center"/>
              <w:rPr>
                <w:b/>
                <w:kern w:val="0"/>
                <w:sz w:val="21"/>
                <w:szCs w:val="21"/>
              </w:rPr>
            </w:pPr>
            <w:r>
              <w:rPr>
                <w:rFonts w:hint="eastAsia"/>
                <w:b/>
                <w:kern w:val="0"/>
                <w:sz w:val="21"/>
                <w:szCs w:val="21"/>
              </w:rPr>
              <w:t>排放</w:t>
            </w:r>
            <w:r>
              <w:rPr>
                <w:b/>
                <w:kern w:val="0"/>
                <w:sz w:val="21"/>
                <w:szCs w:val="21"/>
              </w:rPr>
              <w:t>浓度</w:t>
            </w:r>
          </w:p>
        </w:tc>
        <w:tc>
          <w:tcPr>
            <w:tcW w:w="1751" w:type="dxa"/>
            <w:vAlign w:val="center"/>
          </w:tcPr>
          <w:p>
            <w:pPr>
              <w:autoSpaceDE w:val="0"/>
              <w:autoSpaceDN w:val="0"/>
              <w:adjustRightInd/>
              <w:snapToGrid/>
              <w:spacing w:line="240" w:lineRule="exact"/>
              <w:ind w:firstLine="0" w:firstLineChars="0"/>
              <w:jc w:val="center"/>
              <w:rPr>
                <w:b/>
                <w:kern w:val="0"/>
                <w:sz w:val="21"/>
                <w:szCs w:val="21"/>
              </w:rPr>
            </w:pPr>
            <w:r>
              <w:rPr>
                <w:b/>
                <w:kern w:val="0"/>
                <w:sz w:val="21"/>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448" w:type="dxa"/>
            <w:vAlign w:val="center"/>
          </w:tcPr>
          <w:p>
            <w:pPr>
              <w:autoSpaceDE w:val="0"/>
              <w:autoSpaceDN w:val="0"/>
              <w:adjustRightInd/>
              <w:snapToGrid/>
              <w:spacing w:line="240" w:lineRule="exact"/>
              <w:ind w:firstLine="0" w:firstLineChars="0"/>
              <w:jc w:val="center"/>
              <w:rPr>
                <w:b/>
                <w:kern w:val="0"/>
                <w:sz w:val="21"/>
                <w:szCs w:val="21"/>
              </w:rPr>
            </w:pPr>
            <w:r>
              <w:rPr>
                <w:rFonts w:hint="eastAsia"/>
                <w:b/>
                <w:kern w:val="0"/>
                <w:sz w:val="21"/>
                <w:szCs w:val="21"/>
              </w:rPr>
              <w:t>废气量</w:t>
            </w:r>
          </w:p>
        </w:tc>
        <w:tc>
          <w:tcPr>
            <w:tcW w:w="6834" w:type="dxa"/>
            <w:gridSpan w:val="4"/>
          </w:tcPr>
          <w:p>
            <w:pPr>
              <w:autoSpaceDE w:val="0"/>
              <w:autoSpaceDN w:val="0"/>
              <w:adjustRightInd/>
              <w:snapToGrid/>
              <w:spacing w:line="240" w:lineRule="exact"/>
              <w:ind w:firstLine="0" w:firstLineChars="0"/>
              <w:jc w:val="center"/>
              <w:rPr>
                <w:b/>
                <w:kern w:val="0"/>
                <w:sz w:val="21"/>
                <w:szCs w:val="21"/>
              </w:rPr>
            </w:pPr>
            <w:r>
              <w:rPr>
                <w:rFonts w:hint="eastAsia"/>
                <w:b/>
                <w:kern w:val="0"/>
                <w:sz w:val="21"/>
                <w:szCs w:val="21"/>
              </w:rPr>
              <w:t>53704.10</w:t>
            </w:r>
            <w:r>
              <w:rPr>
                <w:b/>
                <w:kern w:val="0"/>
                <w:sz w:val="21"/>
                <w:szCs w:val="21"/>
              </w:rPr>
              <w:t>m</w:t>
            </w:r>
            <w:r>
              <w:rPr>
                <w:b/>
                <w:kern w:val="0"/>
                <w:sz w:val="21"/>
                <w:szCs w:val="21"/>
                <w:vertAlign w:val="superscript"/>
              </w:rPr>
              <w:t>3</w:t>
            </w:r>
            <w:r>
              <w:rPr>
                <w:b/>
                <w:kern w:val="0"/>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448" w:type="dxa"/>
            <w:vAlign w:val="center"/>
          </w:tcPr>
          <w:p>
            <w:pPr>
              <w:widowControl/>
              <w:adjustRightInd/>
              <w:snapToGrid/>
              <w:spacing w:line="240" w:lineRule="exact"/>
              <w:ind w:firstLine="0" w:firstLineChars="0"/>
              <w:jc w:val="center"/>
              <w:rPr>
                <w:kern w:val="0"/>
                <w:sz w:val="21"/>
                <w:szCs w:val="21"/>
              </w:rPr>
            </w:pPr>
            <w:r>
              <w:rPr>
                <w:rFonts w:hint="eastAsia"/>
                <w:kern w:val="0"/>
                <w:sz w:val="21"/>
                <w:szCs w:val="21"/>
              </w:rPr>
              <w:t>颗粒物</w:t>
            </w:r>
          </w:p>
        </w:tc>
        <w:tc>
          <w:tcPr>
            <w:tcW w:w="1633" w:type="dxa"/>
            <w:vAlign w:val="center"/>
          </w:tcPr>
          <w:p>
            <w:pPr>
              <w:widowControl/>
              <w:adjustRightInd/>
              <w:snapToGrid/>
              <w:spacing w:line="240" w:lineRule="exact"/>
              <w:ind w:firstLine="0" w:firstLineChars="0"/>
              <w:jc w:val="center"/>
              <w:rPr>
                <w:kern w:val="0"/>
                <w:sz w:val="21"/>
                <w:szCs w:val="21"/>
              </w:rPr>
            </w:pPr>
            <w:r>
              <w:rPr>
                <w:kern w:val="0"/>
                <w:sz w:val="21"/>
                <w:szCs w:val="21"/>
              </w:rPr>
              <w:t>2.86kg/万m</w:t>
            </w:r>
            <w:r>
              <w:rPr>
                <w:kern w:val="0"/>
                <w:sz w:val="21"/>
                <w:szCs w:val="21"/>
                <w:vertAlign w:val="superscript"/>
              </w:rPr>
              <w:t>3</w:t>
            </w:r>
          </w:p>
        </w:tc>
        <w:tc>
          <w:tcPr>
            <w:tcW w:w="1699" w:type="dxa"/>
            <w:vAlign w:val="center"/>
          </w:tcPr>
          <w:p>
            <w:pPr>
              <w:autoSpaceDE w:val="0"/>
              <w:autoSpaceDN w:val="0"/>
              <w:adjustRightInd/>
              <w:snapToGrid/>
              <w:spacing w:line="240" w:lineRule="exact"/>
              <w:ind w:firstLine="0" w:firstLineChars="0"/>
              <w:jc w:val="center"/>
              <w:rPr>
                <w:kern w:val="0"/>
                <w:sz w:val="21"/>
                <w:szCs w:val="21"/>
                <w:highlight w:val="yellow"/>
              </w:rPr>
            </w:pPr>
            <w:r>
              <w:rPr>
                <w:rFonts w:hint="eastAsia"/>
                <w:kern w:val="0"/>
                <w:sz w:val="21"/>
                <w:szCs w:val="21"/>
              </w:rPr>
              <w:t>0</w:t>
            </w:r>
            <w:r>
              <w:rPr>
                <w:kern w:val="0"/>
                <w:sz w:val="21"/>
                <w:szCs w:val="21"/>
              </w:rPr>
              <w:t>.0001kg/h</w:t>
            </w:r>
          </w:p>
        </w:tc>
        <w:tc>
          <w:tcPr>
            <w:tcW w:w="1751" w:type="dxa"/>
          </w:tcPr>
          <w:p>
            <w:pPr>
              <w:autoSpaceDE w:val="0"/>
              <w:autoSpaceDN w:val="0"/>
              <w:adjustRightInd/>
              <w:snapToGrid/>
              <w:spacing w:line="240" w:lineRule="exact"/>
              <w:ind w:firstLine="0" w:firstLineChars="0"/>
              <w:jc w:val="center"/>
              <w:rPr>
                <w:kern w:val="0"/>
                <w:sz w:val="21"/>
                <w:szCs w:val="21"/>
              </w:rPr>
            </w:pPr>
            <w:r>
              <w:rPr>
                <w:rFonts w:hint="eastAsia"/>
                <w:kern w:val="0"/>
                <w:sz w:val="21"/>
                <w:szCs w:val="21"/>
              </w:rPr>
              <w:t>26.54</w:t>
            </w:r>
            <w:r>
              <w:rPr>
                <w:kern w:val="0"/>
                <w:sz w:val="21"/>
                <w:szCs w:val="21"/>
              </w:rPr>
              <w:t>mg/m</w:t>
            </w:r>
            <w:r>
              <w:rPr>
                <w:kern w:val="0"/>
                <w:sz w:val="21"/>
                <w:szCs w:val="21"/>
                <w:vertAlign w:val="superscript"/>
              </w:rPr>
              <w:t>3</w:t>
            </w:r>
          </w:p>
        </w:tc>
        <w:tc>
          <w:tcPr>
            <w:tcW w:w="1751"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448" w:type="dxa"/>
            <w:vAlign w:val="center"/>
          </w:tcPr>
          <w:p>
            <w:pPr>
              <w:widowControl/>
              <w:adjustRightInd/>
              <w:snapToGrid/>
              <w:spacing w:line="240" w:lineRule="exact"/>
              <w:ind w:firstLine="0" w:firstLineChars="0"/>
              <w:jc w:val="center"/>
              <w:rPr>
                <w:kern w:val="0"/>
                <w:sz w:val="21"/>
                <w:szCs w:val="21"/>
              </w:rPr>
            </w:pPr>
            <w:r>
              <w:rPr>
                <w:rFonts w:hint="eastAsia"/>
                <w:kern w:val="0"/>
                <w:sz w:val="21"/>
                <w:szCs w:val="21"/>
              </w:rPr>
              <w:t>二氧化硫</w:t>
            </w:r>
          </w:p>
        </w:tc>
        <w:tc>
          <w:tcPr>
            <w:tcW w:w="1633" w:type="dxa"/>
            <w:vAlign w:val="center"/>
          </w:tcPr>
          <w:p>
            <w:pPr>
              <w:autoSpaceDE w:val="0"/>
              <w:autoSpaceDN w:val="0"/>
              <w:adjustRightInd/>
              <w:snapToGrid/>
              <w:spacing w:line="240" w:lineRule="exact"/>
              <w:ind w:firstLine="0" w:firstLineChars="0"/>
              <w:jc w:val="center"/>
              <w:rPr>
                <w:kern w:val="0"/>
                <w:sz w:val="21"/>
                <w:szCs w:val="21"/>
              </w:rPr>
            </w:pPr>
            <w:r>
              <w:rPr>
                <w:kern w:val="0"/>
                <w:sz w:val="21"/>
                <w:szCs w:val="21"/>
              </w:rPr>
              <w:t>0.02S kg/万m</w:t>
            </w:r>
            <w:r>
              <w:rPr>
                <w:kern w:val="0"/>
                <w:sz w:val="21"/>
                <w:szCs w:val="21"/>
                <w:vertAlign w:val="superscript"/>
              </w:rPr>
              <w:t>3</w:t>
            </w:r>
          </w:p>
        </w:tc>
        <w:tc>
          <w:tcPr>
            <w:tcW w:w="1699" w:type="dxa"/>
            <w:vAlign w:val="center"/>
          </w:tcPr>
          <w:p>
            <w:pPr>
              <w:autoSpaceDE w:val="0"/>
              <w:autoSpaceDN w:val="0"/>
              <w:adjustRightInd/>
              <w:snapToGrid/>
              <w:spacing w:line="240" w:lineRule="exact"/>
              <w:ind w:firstLine="0" w:firstLineChars="0"/>
              <w:jc w:val="center"/>
              <w:rPr>
                <w:kern w:val="0"/>
                <w:sz w:val="21"/>
                <w:szCs w:val="21"/>
                <w:highlight w:val="yellow"/>
              </w:rPr>
            </w:pPr>
            <w:r>
              <w:rPr>
                <w:rFonts w:hint="eastAsia"/>
                <w:kern w:val="0"/>
                <w:sz w:val="21"/>
                <w:szCs w:val="21"/>
              </w:rPr>
              <w:t>0</w:t>
            </w:r>
            <w:r>
              <w:rPr>
                <w:kern w:val="0"/>
                <w:sz w:val="21"/>
                <w:szCs w:val="21"/>
              </w:rPr>
              <w:t>.00002kg/h</w:t>
            </w:r>
          </w:p>
        </w:tc>
        <w:tc>
          <w:tcPr>
            <w:tcW w:w="1751" w:type="dxa"/>
          </w:tcPr>
          <w:p>
            <w:pPr>
              <w:autoSpaceDE w:val="0"/>
              <w:autoSpaceDN w:val="0"/>
              <w:adjustRightInd/>
              <w:snapToGrid/>
              <w:spacing w:line="240" w:lineRule="exact"/>
              <w:ind w:firstLine="0" w:firstLineChars="0"/>
              <w:jc w:val="center"/>
              <w:rPr>
                <w:kern w:val="0"/>
                <w:sz w:val="21"/>
                <w:szCs w:val="21"/>
              </w:rPr>
            </w:pPr>
            <w:r>
              <w:rPr>
                <w:rFonts w:hint="eastAsia"/>
                <w:kern w:val="0"/>
                <w:sz w:val="21"/>
                <w:szCs w:val="21"/>
              </w:rPr>
              <w:t>3.71</w:t>
            </w:r>
            <w:r>
              <w:rPr>
                <w:kern w:val="0"/>
                <w:sz w:val="21"/>
                <w:szCs w:val="21"/>
              </w:rPr>
              <w:t xml:space="preserve"> mg/m</w:t>
            </w:r>
            <w:r>
              <w:rPr>
                <w:kern w:val="0"/>
                <w:sz w:val="21"/>
                <w:szCs w:val="21"/>
                <w:vertAlign w:val="superscript"/>
              </w:rPr>
              <w:t>3</w:t>
            </w:r>
          </w:p>
        </w:tc>
        <w:tc>
          <w:tcPr>
            <w:tcW w:w="1751"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0.0002t/a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448" w:type="dxa"/>
            <w:vAlign w:val="center"/>
          </w:tcPr>
          <w:p>
            <w:pPr>
              <w:widowControl/>
              <w:adjustRightInd/>
              <w:snapToGrid/>
              <w:spacing w:line="240" w:lineRule="exact"/>
              <w:ind w:firstLine="0" w:firstLineChars="0"/>
              <w:jc w:val="center"/>
              <w:rPr>
                <w:kern w:val="0"/>
                <w:sz w:val="21"/>
                <w:szCs w:val="21"/>
              </w:rPr>
            </w:pPr>
            <w:r>
              <w:rPr>
                <w:rFonts w:hint="eastAsia"/>
                <w:kern w:val="0"/>
                <w:sz w:val="21"/>
                <w:szCs w:val="21"/>
              </w:rPr>
              <w:t>氮氧化物</w:t>
            </w:r>
          </w:p>
        </w:tc>
        <w:tc>
          <w:tcPr>
            <w:tcW w:w="1633" w:type="dxa"/>
            <w:vAlign w:val="center"/>
          </w:tcPr>
          <w:p>
            <w:pPr>
              <w:widowControl/>
              <w:adjustRightInd/>
              <w:snapToGrid/>
              <w:spacing w:line="240" w:lineRule="exact"/>
              <w:ind w:firstLine="0" w:firstLineChars="0"/>
              <w:jc w:val="center"/>
              <w:rPr>
                <w:kern w:val="0"/>
                <w:sz w:val="21"/>
                <w:szCs w:val="21"/>
              </w:rPr>
            </w:pPr>
            <w:r>
              <w:rPr>
                <w:kern w:val="0"/>
                <w:sz w:val="21"/>
                <w:szCs w:val="21"/>
              </w:rPr>
              <w:t>18.71kg/万m</w:t>
            </w:r>
            <w:r>
              <w:rPr>
                <w:kern w:val="0"/>
                <w:sz w:val="21"/>
                <w:szCs w:val="21"/>
                <w:vertAlign w:val="superscript"/>
              </w:rPr>
              <w:t>3</w:t>
            </w:r>
          </w:p>
        </w:tc>
        <w:tc>
          <w:tcPr>
            <w:tcW w:w="1699" w:type="dxa"/>
            <w:vAlign w:val="center"/>
          </w:tcPr>
          <w:p>
            <w:pPr>
              <w:autoSpaceDE w:val="0"/>
              <w:autoSpaceDN w:val="0"/>
              <w:adjustRightInd/>
              <w:snapToGrid/>
              <w:spacing w:line="240" w:lineRule="exact"/>
              <w:ind w:firstLine="0" w:firstLineChars="0"/>
              <w:jc w:val="center"/>
              <w:rPr>
                <w:kern w:val="0"/>
                <w:sz w:val="21"/>
                <w:szCs w:val="21"/>
                <w:highlight w:val="yellow"/>
              </w:rPr>
            </w:pPr>
            <w:r>
              <w:rPr>
                <w:rFonts w:hint="eastAsia"/>
                <w:kern w:val="0"/>
                <w:sz w:val="21"/>
                <w:szCs w:val="21"/>
              </w:rPr>
              <w:t>0</w:t>
            </w:r>
            <w:r>
              <w:rPr>
                <w:kern w:val="0"/>
                <w:sz w:val="21"/>
                <w:szCs w:val="21"/>
              </w:rPr>
              <w:t>.001kg/h</w:t>
            </w:r>
          </w:p>
        </w:tc>
        <w:tc>
          <w:tcPr>
            <w:tcW w:w="1751" w:type="dxa"/>
          </w:tcPr>
          <w:p>
            <w:pPr>
              <w:autoSpaceDE w:val="0"/>
              <w:autoSpaceDN w:val="0"/>
              <w:adjustRightInd/>
              <w:snapToGrid/>
              <w:spacing w:line="240" w:lineRule="exact"/>
              <w:ind w:firstLine="0" w:firstLineChars="0"/>
              <w:jc w:val="center"/>
              <w:rPr>
                <w:kern w:val="0"/>
                <w:sz w:val="21"/>
                <w:szCs w:val="21"/>
              </w:rPr>
            </w:pPr>
            <w:r>
              <w:rPr>
                <w:rFonts w:hint="eastAsia"/>
                <w:kern w:val="0"/>
                <w:sz w:val="21"/>
                <w:szCs w:val="21"/>
              </w:rPr>
              <w:t>173</w:t>
            </w:r>
            <w:r>
              <w:rPr>
                <w:kern w:val="0"/>
                <w:sz w:val="21"/>
                <w:szCs w:val="21"/>
              </w:rPr>
              <w:t>.64 mg/m</w:t>
            </w:r>
            <w:r>
              <w:rPr>
                <w:kern w:val="0"/>
                <w:sz w:val="21"/>
                <w:szCs w:val="21"/>
                <w:vertAlign w:val="superscript"/>
              </w:rPr>
              <w:t>3</w:t>
            </w:r>
          </w:p>
        </w:tc>
        <w:tc>
          <w:tcPr>
            <w:tcW w:w="1751"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0.009t/a</w:t>
            </w:r>
          </w:p>
        </w:tc>
      </w:tr>
    </w:tbl>
    <w:p>
      <w:pPr>
        <w:pStyle w:val="79"/>
        <w:ind w:firstLine="482"/>
        <w:rPr>
          <w:rFonts w:cs="Times New Roman"/>
          <w:b/>
        </w:rPr>
      </w:pPr>
      <w:r>
        <w:rPr>
          <w:rFonts w:hint="eastAsia" w:cs="Times New Roman"/>
          <w:b/>
        </w:rPr>
        <w:t>3、饲料</w:t>
      </w:r>
      <w:r>
        <w:rPr>
          <w:rFonts w:cs="Times New Roman"/>
          <w:b/>
        </w:rPr>
        <w:t>破碎粉尘</w:t>
      </w:r>
    </w:p>
    <w:p>
      <w:pPr>
        <w:pStyle w:val="79"/>
        <w:ind w:firstLine="480"/>
      </w:pPr>
      <w:r>
        <w:rPr>
          <w:rFonts w:hint="eastAsia"/>
        </w:rPr>
        <w:t>本项目猪只养殖饲料外购，主要</w:t>
      </w:r>
      <w:r>
        <w:t>为玉米及麸皮，</w:t>
      </w:r>
      <w:r>
        <w:rPr>
          <w:rFonts w:hint="eastAsia"/>
        </w:rPr>
        <w:t>玉米为颗粒状，需</w:t>
      </w:r>
      <w:r>
        <w:t>进行简单的破碎加工</w:t>
      </w:r>
      <w:r>
        <w:rPr>
          <w:rFonts w:hint="eastAsia"/>
        </w:rPr>
        <w:t>。根据</w:t>
      </w:r>
      <w:r>
        <w:t>《</w:t>
      </w:r>
      <w:r>
        <w:rPr>
          <w:rFonts w:hint="eastAsia"/>
        </w:rPr>
        <w:t>排放源</w:t>
      </w:r>
      <w:r>
        <w:t>统计条产产排污</w:t>
      </w:r>
      <w:r>
        <w:rPr>
          <w:rFonts w:hint="eastAsia"/>
        </w:rPr>
        <w:t>核算</w:t>
      </w:r>
      <w:r>
        <w:t>方法和系数手册》</w:t>
      </w:r>
      <w:r>
        <w:rPr>
          <w:rFonts w:hint="eastAsia"/>
        </w:rPr>
        <w:t>中</w:t>
      </w:r>
      <w:r>
        <w:t>饲料加工行业系数</w:t>
      </w:r>
      <w:r>
        <w:rPr>
          <w:rFonts w:hint="eastAsia"/>
        </w:rPr>
        <w:t>，玉米</w:t>
      </w:r>
      <w:r>
        <w:t>类原料加工过程中颗粒物产污系数为</w:t>
      </w:r>
      <w:r>
        <w:rPr>
          <w:rFonts w:hint="eastAsia"/>
        </w:rPr>
        <w:t>0.</w:t>
      </w:r>
      <w:r>
        <w:t>0</w:t>
      </w:r>
      <w:r>
        <w:rPr>
          <w:rFonts w:hint="eastAsia"/>
        </w:rPr>
        <w:t>43</w:t>
      </w:r>
      <w:r>
        <w:t>kg/t</w:t>
      </w:r>
      <w:r>
        <w:rPr>
          <w:rFonts w:hint="eastAsia"/>
        </w:rPr>
        <w:t>，本项目</w:t>
      </w:r>
      <w:r>
        <w:t>需要</w:t>
      </w:r>
      <w:r>
        <w:rPr>
          <w:rFonts w:hint="eastAsia"/>
        </w:rPr>
        <w:t>破碎</w:t>
      </w:r>
      <w:r>
        <w:t>的玉米量为</w:t>
      </w:r>
      <w:r>
        <w:rPr>
          <w:rFonts w:hint="eastAsia"/>
        </w:rPr>
        <w:t>1</w:t>
      </w:r>
      <w:r>
        <w:t>5</w:t>
      </w:r>
      <w:r>
        <w:rPr>
          <w:rFonts w:hint="eastAsia"/>
        </w:rPr>
        <w:t>00</w:t>
      </w:r>
      <w:r>
        <w:t>t/a，饲料加工工序全年工作</w:t>
      </w:r>
      <w:r>
        <w:rPr>
          <w:rFonts w:hint="eastAsia"/>
        </w:rPr>
        <w:t>365</w:t>
      </w:r>
      <w:r>
        <w:t>d，每天工作时间</w:t>
      </w:r>
      <w:r>
        <w:rPr>
          <w:rFonts w:hint="eastAsia"/>
        </w:rPr>
        <w:t>2小时</w:t>
      </w:r>
      <w:r>
        <w:t>，则破碎过程中粉尘产生量</w:t>
      </w:r>
      <w:r>
        <w:rPr>
          <w:rFonts w:hint="eastAsia"/>
        </w:rPr>
        <w:t>为0.064</w:t>
      </w:r>
      <w:r>
        <w:t>t/a，产生速率</w:t>
      </w:r>
      <w:r>
        <w:rPr>
          <w:rFonts w:hint="eastAsia"/>
        </w:rPr>
        <w:t>为0.088</w:t>
      </w:r>
      <w:r>
        <w:t>kg/h，</w:t>
      </w:r>
      <w:r>
        <w:rPr>
          <w:rFonts w:hint="eastAsia"/>
        </w:rPr>
        <w:t>项目</w:t>
      </w:r>
      <w:r>
        <w:t>破碎工序主要在饲料</w:t>
      </w:r>
      <w:r>
        <w:rPr>
          <w:rFonts w:hint="eastAsia"/>
        </w:rPr>
        <w:t>库房</w:t>
      </w:r>
      <w:r>
        <w:t>内</w:t>
      </w:r>
      <w:r>
        <w:rPr>
          <w:rFonts w:hint="eastAsia"/>
        </w:rPr>
        <w:t>进行</w:t>
      </w:r>
      <w:r>
        <w:t>，</w:t>
      </w:r>
      <w:r>
        <w:rPr>
          <w:rFonts w:hint="eastAsia"/>
        </w:rPr>
        <w:t>库房</w:t>
      </w:r>
      <w:r>
        <w:t>密闭，</w:t>
      </w:r>
      <w:r>
        <w:rPr>
          <w:rFonts w:hint="eastAsia"/>
        </w:rPr>
        <w:t>破碎机</w:t>
      </w:r>
      <w:r>
        <w:t>自带布袋收尘器，收尘器的效率按</w:t>
      </w:r>
      <w:r>
        <w:rPr>
          <w:rFonts w:hint="eastAsia"/>
        </w:rPr>
        <w:t>99%计，收集到</w:t>
      </w:r>
      <w:r>
        <w:t>的粉尘</w:t>
      </w:r>
      <w:r>
        <w:rPr>
          <w:rFonts w:hint="eastAsia"/>
        </w:rPr>
        <w:t>作为饲料</w:t>
      </w:r>
      <w:r>
        <w:t>回用，</w:t>
      </w:r>
      <w:r>
        <w:rPr>
          <w:rFonts w:hint="eastAsia"/>
        </w:rPr>
        <w:t>其余</w:t>
      </w:r>
      <w:r>
        <w:t>未收集到的以无组织形式扩散，则破碎过程中</w:t>
      </w:r>
      <w:r>
        <w:rPr>
          <w:rFonts w:hint="eastAsia"/>
        </w:rPr>
        <w:t>排放</w:t>
      </w:r>
      <w:r>
        <w:t>的粉尘为</w:t>
      </w:r>
      <w:r>
        <w:rPr>
          <w:rFonts w:hint="eastAsia"/>
        </w:rPr>
        <w:t>0.0006</w:t>
      </w:r>
      <w:r>
        <w:t>t/a，</w:t>
      </w:r>
      <w:r>
        <w:rPr>
          <w:rFonts w:hint="eastAsia"/>
        </w:rPr>
        <w:t>排放</w:t>
      </w:r>
      <w:r>
        <w:t>速率为</w:t>
      </w:r>
      <w:r>
        <w:rPr>
          <w:rFonts w:hint="eastAsia"/>
        </w:rPr>
        <w:t>0.0008</w:t>
      </w:r>
      <w:r>
        <w:t>kg/h。</w:t>
      </w:r>
    </w:p>
    <w:p>
      <w:pPr>
        <w:pStyle w:val="79"/>
        <w:ind w:firstLine="482"/>
        <w:rPr>
          <w:rFonts w:cs="Times New Roman"/>
          <w:b/>
        </w:rPr>
      </w:pPr>
      <w:r>
        <w:rPr>
          <w:rFonts w:hint="eastAsia" w:cs="Times New Roman"/>
          <w:b/>
        </w:rPr>
        <w:t>4、</w:t>
      </w:r>
      <w:r>
        <w:rPr>
          <w:rFonts w:cs="Times New Roman"/>
          <w:b/>
        </w:rPr>
        <w:t>食堂油烟</w:t>
      </w:r>
    </w:p>
    <w:p>
      <w:pPr>
        <w:pStyle w:val="79"/>
        <w:ind w:firstLine="480"/>
        <w:rPr>
          <w:rFonts w:cs="Times New Roman"/>
        </w:rPr>
      </w:pPr>
      <w:r>
        <w:rPr>
          <w:rFonts w:cs="Times New Roman"/>
        </w:rPr>
        <w:t>生活区设简易的厨房，用餐人数</w:t>
      </w:r>
      <w:r>
        <w:rPr>
          <w:rFonts w:hint="eastAsia" w:cs="Times New Roman"/>
        </w:rPr>
        <w:t>以</w:t>
      </w:r>
      <w:r>
        <w:rPr>
          <w:rFonts w:cs="Times New Roman"/>
        </w:rPr>
        <w:t>20人计，年工作3</w:t>
      </w:r>
      <w:r>
        <w:rPr>
          <w:rFonts w:hint="eastAsia" w:cs="Times New Roman"/>
        </w:rPr>
        <w:t>65</w:t>
      </w:r>
      <w:r>
        <w:rPr>
          <w:rFonts w:cs="Times New Roman"/>
        </w:rPr>
        <w:t>天，其食用油用量平均按0.0</w:t>
      </w:r>
      <w:r>
        <w:rPr>
          <w:rFonts w:hint="eastAsia" w:cs="Times New Roman"/>
        </w:rPr>
        <w:t>3</w:t>
      </w:r>
      <w:r>
        <w:rPr>
          <w:rFonts w:cs="Times New Roman"/>
        </w:rPr>
        <w:t>kg/人·天计，年消耗食用油0.00</w:t>
      </w:r>
      <w:r>
        <w:rPr>
          <w:rFonts w:hint="eastAsia" w:cs="Times New Roman"/>
        </w:rPr>
        <w:t>06</w:t>
      </w:r>
      <w:r>
        <w:rPr>
          <w:rFonts w:cs="Times New Roman"/>
        </w:rPr>
        <w:t>t/d（</w:t>
      </w:r>
      <w:r>
        <w:rPr>
          <w:rFonts w:hint="eastAsia" w:cs="Times New Roman"/>
        </w:rPr>
        <w:t>0.219</w:t>
      </w:r>
      <w:r>
        <w:rPr>
          <w:rFonts w:cs="Times New Roman"/>
        </w:rPr>
        <w:t>t/a）。油的挥发量按总耗油量的2</w:t>
      </w:r>
      <w:r>
        <w:rPr>
          <w:rFonts w:hint="eastAsia" w:cs="Times New Roman"/>
        </w:rPr>
        <w:t>.83</w:t>
      </w:r>
      <w:r>
        <w:rPr>
          <w:rFonts w:cs="Times New Roman"/>
        </w:rPr>
        <w:t>%计，本项目油烟产生量</w:t>
      </w:r>
      <w:r>
        <w:rPr>
          <w:rFonts w:hint="eastAsia" w:cs="Times New Roman"/>
        </w:rPr>
        <w:t>6.2</w:t>
      </w:r>
      <w:r>
        <w:rPr>
          <w:rFonts w:cs="Times New Roman"/>
        </w:rPr>
        <w:t>kg/a。项目设2个基准灶头，总风量为</w:t>
      </w:r>
      <w:r>
        <w:rPr>
          <w:rFonts w:hint="eastAsia" w:cs="Times New Roman"/>
        </w:rPr>
        <w:t>2000</w:t>
      </w:r>
      <w:r>
        <w:rPr>
          <w:rFonts w:cs="Times New Roman"/>
        </w:rPr>
        <w:t>m</w:t>
      </w:r>
      <w:r>
        <w:rPr>
          <w:rFonts w:cs="Times New Roman"/>
          <w:vertAlign w:val="superscript"/>
        </w:rPr>
        <w:t>3</w:t>
      </w:r>
      <w:r>
        <w:rPr>
          <w:rFonts w:cs="Times New Roman"/>
        </w:rPr>
        <w:t>/h，按日高峰</w:t>
      </w:r>
      <w:r>
        <w:rPr>
          <w:rFonts w:hint="eastAsia" w:cs="Times New Roman"/>
        </w:rPr>
        <w:t>3h</w:t>
      </w:r>
      <w:r>
        <w:rPr>
          <w:rFonts w:cs="Times New Roman"/>
        </w:rPr>
        <w:t>计，</w:t>
      </w:r>
      <w:r>
        <w:rPr>
          <w:rFonts w:hint="eastAsia" w:cs="Times New Roman"/>
        </w:rPr>
        <w:t>油烟废气通过油烟净化器处理后经管道至屋顶排气筒排放，油烟净化器处理效率为60%，则油烟排放量为2.48</w:t>
      </w:r>
      <w:r>
        <w:rPr>
          <w:rFonts w:cs="Times New Roman"/>
        </w:rPr>
        <w:t>kg/a</w:t>
      </w:r>
      <w:r>
        <w:rPr>
          <w:rFonts w:hint="eastAsia" w:cs="Times New Roman"/>
        </w:rPr>
        <w:t>，排放速率0.0023kg/h，排放浓度为1.13mg/m</w:t>
      </w:r>
      <w:r>
        <w:rPr>
          <w:rFonts w:hint="eastAsia" w:cs="Times New Roman"/>
          <w:vertAlign w:val="superscript"/>
        </w:rPr>
        <w:t>3</w:t>
      </w:r>
      <w:r>
        <w:rPr>
          <w:rFonts w:hint="eastAsia" w:cs="Times New Roman"/>
        </w:rPr>
        <w:t>。</w:t>
      </w:r>
      <w:r>
        <w:rPr>
          <w:rFonts w:cs="Times New Roman"/>
        </w:rPr>
        <w:t>满足《饮食业油烟排放标准》</w:t>
      </w:r>
      <w:r>
        <w:rPr>
          <w:rFonts w:hint="eastAsia" w:cs="Times New Roman"/>
        </w:rPr>
        <w:t>（</w:t>
      </w:r>
      <w:r>
        <w:rPr>
          <w:rFonts w:cs="Times New Roman"/>
        </w:rPr>
        <w:t>GB18483-2001</w:t>
      </w:r>
      <w:r>
        <w:rPr>
          <w:rFonts w:hint="eastAsia" w:cs="Times New Roman"/>
        </w:rPr>
        <w:t>）</w:t>
      </w:r>
      <w:r>
        <w:rPr>
          <w:rFonts w:cs="Times New Roman"/>
        </w:rPr>
        <w:t>油烟最高排放浓度要求（≤2mg/m</w:t>
      </w:r>
      <w:r>
        <w:rPr>
          <w:rFonts w:cs="Times New Roman"/>
          <w:vertAlign w:val="superscript"/>
        </w:rPr>
        <w:t>3</w:t>
      </w:r>
      <w:r>
        <w:rPr>
          <w:rFonts w:cs="Times New Roman"/>
        </w:rPr>
        <w:t>）。</w:t>
      </w:r>
    </w:p>
    <w:p>
      <w:pPr>
        <w:pStyle w:val="85"/>
        <w:rPr>
          <w:rStyle w:val="86"/>
          <w:b/>
        </w:rPr>
      </w:pPr>
      <w:bookmarkStart w:id="95" w:name="_Ref37927915"/>
    </w:p>
    <w:bookmarkEnd w:id="95"/>
    <w:p>
      <w:pPr>
        <w:ind w:firstLine="480"/>
        <w:rPr>
          <w:rFonts w:hAnsi="宋体"/>
        </w:rPr>
        <w:sectPr>
          <w:headerReference r:id="rId23" w:type="default"/>
          <w:headerReference r:id="rId24" w:type="even"/>
          <w:pgSz w:w="11906" w:h="16838"/>
          <w:pgMar w:top="1418" w:right="1797" w:bottom="1418" w:left="1797" w:header="992" w:footer="992" w:gutter="0"/>
          <w:pgNumType w:fmt="numberInDash"/>
          <w:cols w:space="425" w:num="1"/>
          <w:docGrid w:type="lines" w:linePitch="326" w:charSpace="0"/>
        </w:sectPr>
      </w:pPr>
    </w:p>
    <w:p>
      <w:pPr>
        <w:pStyle w:val="85"/>
        <w:rPr>
          <w:rFonts w:hAnsi="Times New Roman"/>
          <w:szCs w:val="20"/>
        </w:rPr>
      </w:pPr>
      <w:bookmarkStart w:id="96" w:name="_Ref26370847"/>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3.3</w:t>
      </w:r>
      <w:r>
        <w:rPr>
          <w:rFonts w:hAnsi="Times New Roman"/>
        </w:rPr>
        <w:fldChar w:fldCharType="end"/>
      </w:r>
      <w:r>
        <w:rPr>
          <w:rFonts w:hAnsi="Times New Roman"/>
        </w:rPr>
        <w:noBreakHyphen/>
      </w:r>
      <w:bookmarkEnd w:id="96"/>
      <w:r>
        <w:rPr>
          <w:rFonts w:hAnsi="Times New Roman"/>
        </w:rPr>
        <w:t xml:space="preserve">9  </w:t>
      </w:r>
      <w:r>
        <w:rPr>
          <w:rFonts w:hAnsi="Times New Roman"/>
          <w:szCs w:val="21"/>
        </w:rPr>
        <w:t>项目废气污染源源强核算结果及相关参数一览表</w:t>
      </w:r>
    </w:p>
    <w:tbl>
      <w:tblPr>
        <w:tblStyle w:val="27"/>
        <w:tblW w:w="1392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72"/>
        <w:gridCol w:w="1178"/>
        <w:gridCol w:w="788"/>
        <w:gridCol w:w="1075"/>
        <w:gridCol w:w="1145"/>
        <w:gridCol w:w="1137"/>
        <w:gridCol w:w="922"/>
        <w:gridCol w:w="1290"/>
        <w:gridCol w:w="710"/>
        <w:gridCol w:w="1000"/>
        <w:gridCol w:w="1217"/>
        <w:gridCol w:w="1137"/>
        <w:gridCol w:w="1036"/>
        <w:gridCol w:w="6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tblHeader/>
          <w:jc w:val="center"/>
        </w:trPr>
        <w:tc>
          <w:tcPr>
            <w:tcW w:w="672" w:type="dxa"/>
            <w:vMerge w:val="restart"/>
            <w:tcBorders>
              <w:top w:val="single" w:color="auto" w:sz="12" w:space="0"/>
              <w:left w:val="single" w:color="auto" w:sz="12" w:space="0"/>
              <w:bottom w:val="single" w:color="auto" w:sz="4" w:space="0"/>
              <w:right w:val="single" w:color="auto" w:sz="4" w:space="0"/>
            </w:tcBorders>
            <w:vAlign w:val="center"/>
          </w:tcPr>
          <w:p>
            <w:pPr>
              <w:pStyle w:val="89"/>
            </w:pPr>
            <w:r>
              <w:t>工序</w:t>
            </w:r>
          </w:p>
        </w:tc>
        <w:tc>
          <w:tcPr>
            <w:tcW w:w="1178" w:type="dxa"/>
            <w:vMerge w:val="restart"/>
            <w:tcBorders>
              <w:top w:val="single" w:color="auto" w:sz="12" w:space="0"/>
              <w:left w:val="single" w:color="auto" w:sz="4" w:space="0"/>
              <w:bottom w:val="single" w:color="auto" w:sz="4" w:space="0"/>
              <w:right w:val="single" w:color="auto" w:sz="4" w:space="0"/>
            </w:tcBorders>
            <w:vAlign w:val="center"/>
          </w:tcPr>
          <w:p>
            <w:pPr>
              <w:pStyle w:val="89"/>
            </w:pPr>
            <w:r>
              <w:t>污染源</w:t>
            </w:r>
          </w:p>
        </w:tc>
        <w:tc>
          <w:tcPr>
            <w:tcW w:w="788" w:type="dxa"/>
            <w:vMerge w:val="restart"/>
            <w:tcBorders>
              <w:top w:val="single" w:color="auto" w:sz="12" w:space="0"/>
              <w:left w:val="single" w:color="auto" w:sz="4" w:space="0"/>
              <w:bottom w:val="single" w:color="auto" w:sz="4" w:space="0"/>
              <w:right w:val="single" w:color="auto" w:sz="4" w:space="0"/>
            </w:tcBorders>
            <w:vAlign w:val="center"/>
          </w:tcPr>
          <w:p>
            <w:pPr>
              <w:pStyle w:val="89"/>
            </w:pPr>
            <w:r>
              <w:t>污染物</w:t>
            </w:r>
          </w:p>
        </w:tc>
        <w:tc>
          <w:tcPr>
            <w:tcW w:w="4279" w:type="dxa"/>
            <w:gridSpan w:val="4"/>
            <w:tcBorders>
              <w:top w:val="single" w:color="auto" w:sz="12" w:space="0"/>
              <w:left w:val="single" w:color="auto" w:sz="4" w:space="0"/>
              <w:bottom w:val="single" w:color="auto" w:sz="4" w:space="0"/>
              <w:right w:val="single" w:color="auto" w:sz="4" w:space="0"/>
            </w:tcBorders>
            <w:vAlign w:val="center"/>
          </w:tcPr>
          <w:p>
            <w:pPr>
              <w:pStyle w:val="89"/>
            </w:pPr>
            <w:r>
              <w:t>污染物产生</w:t>
            </w:r>
          </w:p>
        </w:tc>
        <w:tc>
          <w:tcPr>
            <w:tcW w:w="2000" w:type="dxa"/>
            <w:gridSpan w:val="2"/>
            <w:tcBorders>
              <w:top w:val="single" w:color="auto" w:sz="12" w:space="0"/>
              <w:left w:val="single" w:color="auto" w:sz="4" w:space="0"/>
              <w:bottom w:val="single" w:color="auto" w:sz="4" w:space="0"/>
              <w:right w:val="single" w:color="auto" w:sz="4" w:space="0"/>
            </w:tcBorders>
            <w:vAlign w:val="center"/>
          </w:tcPr>
          <w:p>
            <w:pPr>
              <w:pStyle w:val="89"/>
            </w:pPr>
            <w:r>
              <w:t>治理措施</w:t>
            </w:r>
          </w:p>
        </w:tc>
        <w:tc>
          <w:tcPr>
            <w:tcW w:w="4390" w:type="dxa"/>
            <w:gridSpan w:val="4"/>
            <w:tcBorders>
              <w:top w:val="single" w:color="auto" w:sz="12" w:space="0"/>
              <w:left w:val="single" w:color="auto" w:sz="4" w:space="0"/>
              <w:bottom w:val="single" w:color="auto" w:sz="4" w:space="0"/>
              <w:right w:val="single" w:color="auto" w:sz="4" w:space="0"/>
            </w:tcBorders>
            <w:vAlign w:val="center"/>
          </w:tcPr>
          <w:p>
            <w:pPr>
              <w:pStyle w:val="89"/>
            </w:pPr>
            <w:r>
              <w:t>污染物排放</w:t>
            </w:r>
          </w:p>
        </w:tc>
        <w:tc>
          <w:tcPr>
            <w:tcW w:w="621" w:type="dxa"/>
            <w:vMerge w:val="restart"/>
            <w:tcBorders>
              <w:top w:val="single" w:color="auto" w:sz="12" w:space="0"/>
              <w:left w:val="single" w:color="auto" w:sz="4" w:space="0"/>
              <w:bottom w:val="single" w:color="auto" w:sz="4" w:space="0"/>
              <w:right w:val="single" w:color="auto" w:sz="12" w:space="0"/>
            </w:tcBorders>
            <w:vAlign w:val="center"/>
          </w:tcPr>
          <w:p>
            <w:pPr>
              <w:pStyle w:val="89"/>
            </w:pPr>
            <w:r>
              <w:t>排放</w:t>
            </w:r>
          </w:p>
          <w:p>
            <w:pPr>
              <w:pStyle w:val="89"/>
            </w:pPr>
            <w:r>
              <w:t>时间（h）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tblHeader/>
          <w:jc w:val="center"/>
        </w:trPr>
        <w:tc>
          <w:tcPr>
            <w:tcW w:w="672" w:type="dxa"/>
            <w:vMerge w:val="continue"/>
            <w:tcBorders>
              <w:top w:val="single" w:color="auto" w:sz="4" w:space="0"/>
              <w:left w:val="single" w:color="auto" w:sz="12" w:space="0"/>
              <w:bottom w:val="single" w:color="auto" w:sz="4" w:space="0"/>
              <w:right w:val="single" w:color="auto" w:sz="4" w:space="0"/>
            </w:tcBorders>
            <w:vAlign w:val="center"/>
          </w:tcPr>
          <w:p>
            <w:pPr>
              <w:pStyle w:val="89"/>
            </w:pPr>
          </w:p>
        </w:tc>
        <w:tc>
          <w:tcPr>
            <w:tcW w:w="1178"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1075" w:type="dxa"/>
            <w:tcBorders>
              <w:top w:val="single" w:color="auto" w:sz="4" w:space="0"/>
              <w:left w:val="single" w:color="auto" w:sz="4" w:space="0"/>
              <w:bottom w:val="single" w:color="auto" w:sz="4" w:space="0"/>
              <w:right w:val="single" w:color="auto" w:sz="4" w:space="0"/>
            </w:tcBorders>
            <w:vAlign w:val="center"/>
          </w:tcPr>
          <w:p>
            <w:pPr>
              <w:pStyle w:val="89"/>
            </w:pPr>
            <w:r>
              <w:t>核算方法</w:t>
            </w: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t>产生废气量（m</w:t>
            </w:r>
            <w:r>
              <w:rPr>
                <w:vertAlign w:val="superscript"/>
              </w:rPr>
              <w:t>3</w:t>
            </w:r>
            <w:r>
              <w:t>/h）</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t>产生浓度</w:t>
            </w:r>
          </w:p>
          <w:p>
            <w:pPr>
              <w:pStyle w:val="89"/>
            </w:pPr>
            <w:r>
              <w:t>（mg/m</w:t>
            </w:r>
            <w:r>
              <w:rPr>
                <w:vertAlign w:val="superscript"/>
              </w:rPr>
              <w:t>3</w:t>
            </w:r>
            <w:r>
              <w:t>）</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t>产生</w:t>
            </w:r>
            <w:r>
              <w:rPr>
                <w:rFonts w:hint="eastAsia"/>
              </w:rPr>
              <w:t>速率</w:t>
            </w:r>
            <w:r>
              <w:t>（kg/h）</w:t>
            </w:r>
          </w:p>
        </w:tc>
        <w:tc>
          <w:tcPr>
            <w:tcW w:w="1290" w:type="dxa"/>
            <w:tcBorders>
              <w:top w:val="single" w:color="auto" w:sz="4" w:space="0"/>
              <w:left w:val="single" w:color="auto" w:sz="4" w:space="0"/>
              <w:bottom w:val="single" w:color="auto" w:sz="4" w:space="0"/>
              <w:right w:val="single" w:color="auto" w:sz="4" w:space="0"/>
            </w:tcBorders>
            <w:vAlign w:val="center"/>
          </w:tcPr>
          <w:p>
            <w:pPr>
              <w:pStyle w:val="89"/>
            </w:pPr>
            <w:r>
              <w:t>工艺</w:t>
            </w: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t>效率（%）</w:t>
            </w:r>
          </w:p>
        </w:tc>
        <w:tc>
          <w:tcPr>
            <w:tcW w:w="1000" w:type="dxa"/>
            <w:tcBorders>
              <w:top w:val="single" w:color="auto" w:sz="4" w:space="0"/>
              <w:left w:val="single" w:color="auto" w:sz="4" w:space="0"/>
              <w:bottom w:val="single" w:color="auto" w:sz="4" w:space="0"/>
              <w:right w:val="single" w:color="auto" w:sz="4" w:space="0"/>
            </w:tcBorders>
            <w:vAlign w:val="center"/>
          </w:tcPr>
          <w:p>
            <w:pPr>
              <w:pStyle w:val="89"/>
            </w:pPr>
            <w:r>
              <w:t>核算方法</w:t>
            </w: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t>排放废气量（m</w:t>
            </w:r>
            <w:r>
              <w:rPr>
                <w:vertAlign w:val="superscript"/>
              </w:rPr>
              <w:t>3</w:t>
            </w:r>
            <w:r>
              <w:t>/h）</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t>排放浓度</w:t>
            </w:r>
          </w:p>
          <w:p>
            <w:pPr>
              <w:pStyle w:val="89"/>
            </w:pPr>
            <w:r>
              <w:t>（mg/m</w:t>
            </w:r>
            <w:r>
              <w:rPr>
                <w:vertAlign w:val="superscript"/>
              </w:rPr>
              <w:t>3</w:t>
            </w:r>
            <w: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t>排放</w:t>
            </w:r>
            <w:r>
              <w:rPr>
                <w:rFonts w:hint="eastAsia"/>
              </w:rPr>
              <w:t>速率</w:t>
            </w:r>
          </w:p>
          <w:p>
            <w:pPr>
              <w:pStyle w:val="89"/>
            </w:pPr>
            <w:r>
              <w:t>（kg/h）</w:t>
            </w:r>
          </w:p>
        </w:tc>
        <w:tc>
          <w:tcPr>
            <w:tcW w:w="621" w:type="dxa"/>
            <w:vMerge w:val="continue"/>
            <w:tcBorders>
              <w:top w:val="single" w:color="auto" w:sz="4" w:space="0"/>
              <w:left w:val="single" w:color="auto" w:sz="4" w:space="0"/>
              <w:bottom w:val="single" w:color="auto" w:sz="4" w:space="0"/>
              <w:right w:val="single" w:color="auto" w:sz="12" w:space="0"/>
            </w:tcBorders>
            <w:vAlign w:val="center"/>
          </w:tcPr>
          <w:p>
            <w:pPr>
              <w:pStyle w:val="89"/>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restart"/>
            <w:tcBorders>
              <w:top w:val="single" w:color="auto" w:sz="4" w:space="0"/>
              <w:left w:val="single" w:color="auto" w:sz="12" w:space="0"/>
              <w:bottom w:val="single" w:color="auto" w:sz="4" w:space="0"/>
              <w:right w:val="single" w:color="auto" w:sz="4" w:space="0"/>
            </w:tcBorders>
            <w:vAlign w:val="center"/>
          </w:tcPr>
          <w:p>
            <w:pPr>
              <w:pStyle w:val="89"/>
              <w:rPr>
                <w:highlight w:val="yellow"/>
              </w:rPr>
            </w:pPr>
            <w:r>
              <w:rPr>
                <w:rFonts w:hint="eastAsia"/>
              </w:rPr>
              <w:t>养殖</w:t>
            </w:r>
          </w:p>
        </w:tc>
        <w:tc>
          <w:tcPr>
            <w:tcW w:w="1178"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猪舍</w:t>
            </w: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NH</w:t>
            </w:r>
            <w:r>
              <w:rPr>
                <w:rFonts w:hint="eastAsia"/>
                <w:vertAlign w:val="subscript"/>
              </w:rPr>
              <w:t>3</w:t>
            </w:r>
          </w:p>
        </w:tc>
        <w:tc>
          <w:tcPr>
            <w:tcW w:w="1075"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类比</w:t>
            </w:r>
            <w:r>
              <w:t>法</w:t>
            </w: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4" w:space="0"/>
              <w:right w:val="single" w:color="auto" w:sz="4" w:space="0"/>
            </w:tcBorders>
            <w:vAlign w:val="bottom"/>
          </w:tcPr>
          <w:p>
            <w:pPr>
              <w:pStyle w:val="84"/>
            </w:pPr>
            <w:r>
              <w:rPr>
                <w:rFonts w:hint="eastAsia"/>
              </w:rPr>
              <w:t>0.0</w:t>
            </w:r>
            <w:r>
              <w:t>45</w:t>
            </w:r>
          </w:p>
        </w:tc>
        <w:tc>
          <w:tcPr>
            <w:tcW w:w="1290"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优化</w:t>
            </w:r>
            <w:r>
              <w:t>养殖，</w:t>
            </w:r>
            <w:r>
              <w:rPr>
                <w:rFonts w:hint="eastAsia"/>
              </w:rPr>
              <w:t>饲料</w:t>
            </w:r>
            <w:r>
              <w:t>中添加抑制剂</w:t>
            </w:r>
            <w:r>
              <w:rPr>
                <w:rFonts w:hint="eastAsia"/>
              </w:rPr>
              <w:t>，</w:t>
            </w:r>
            <w:r>
              <w:t>干清粪工艺，</w:t>
            </w:r>
            <w:r>
              <w:rPr>
                <w:rFonts w:hint="eastAsia"/>
              </w:rPr>
              <w:t>喷洒</w:t>
            </w:r>
            <w:r>
              <w:t>除臭剂，加强通风</w:t>
            </w: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t>90</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pStyle w:val="89"/>
              <w:rPr>
                <w:highlight w:val="yellow"/>
              </w:rPr>
            </w:pPr>
            <w:r>
              <w:rPr>
                <w:rFonts w:hint="eastAsia"/>
              </w:rPr>
              <w:t>物料</w:t>
            </w:r>
            <w:r>
              <w:t>衡算法</w:t>
            </w: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Ansi="宋体"/>
              </w:rPr>
              <w:t>0.004</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continue"/>
            <w:tcBorders>
              <w:top w:val="single" w:color="auto" w:sz="4" w:space="0"/>
              <w:left w:val="single" w:color="auto" w:sz="12" w:space="0"/>
              <w:bottom w:val="single" w:color="auto" w:sz="4" w:space="0"/>
              <w:right w:val="single" w:color="auto" w:sz="4" w:space="0"/>
            </w:tcBorders>
            <w:vAlign w:val="center"/>
          </w:tcPr>
          <w:p>
            <w:pPr>
              <w:pStyle w:val="89"/>
              <w:rPr>
                <w:highlight w:val="yellow"/>
              </w:rPr>
            </w:pPr>
          </w:p>
        </w:tc>
        <w:tc>
          <w:tcPr>
            <w:tcW w:w="1178"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H</w:t>
            </w:r>
            <w:r>
              <w:rPr>
                <w:rFonts w:hint="eastAsia"/>
                <w:vertAlign w:val="subscript"/>
              </w:rPr>
              <w:t>2</w:t>
            </w:r>
            <w:r>
              <w:rPr>
                <w:rFonts w:hint="eastAsia"/>
              </w:rPr>
              <w:t>S</w:t>
            </w: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4" w:space="0"/>
              <w:right w:val="single" w:color="auto" w:sz="4" w:space="0"/>
            </w:tcBorders>
            <w:vAlign w:val="center"/>
          </w:tcPr>
          <w:p>
            <w:pPr>
              <w:pStyle w:val="84"/>
            </w:pPr>
            <w:r>
              <w:rPr>
                <w:rFonts w:hint="eastAsia"/>
              </w:rPr>
              <w:t>0.0</w:t>
            </w:r>
            <w:r>
              <w:t>07</w:t>
            </w:r>
          </w:p>
        </w:tc>
        <w:tc>
          <w:tcPr>
            <w:tcW w:w="1290"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t>90</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pStyle w:val="89"/>
              <w:rPr>
                <w:highlight w:val="yellow"/>
              </w:rPr>
            </w:pP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Ansi="宋体"/>
              </w:rPr>
              <w:t>0.0007</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restart"/>
            <w:tcBorders>
              <w:top w:val="single" w:color="auto" w:sz="4" w:space="0"/>
              <w:left w:val="single" w:color="auto" w:sz="12" w:space="0"/>
              <w:bottom w:val="single" w:color="auto" w:sz="4" w:space="0"/>
              <w:right w:val="single" w:color="auto" w:sz="4" w:space="0"/>
            </w:tcBorders>
            <w:vAlign w:val="center"/>
          </w:tcPr>
          <w:p>
            <w:pPr>
              <w:pStyle w:val="89"/>
            </w:pPr>
            <w:r>
              <w:rPr>
                <w:rFonts w:hint="eastAsia"/>
              </w:rPr>
              <w:t>堆粪</w:t>
            </w:r>
          </w:p>
        </w:tc>
        <w:tc>
          <w:tcPr>
            <w:tcW w:w="1178" w:type="dxa"/>
            <w:vMerge w:val="restart"/>
            <w:tcBorders>
              <w:top w:val="single" w:color="auto" w:sz="4" w:space="0"/>
              <w:left w:val="single" w:color="auto" w:sz="4" w:space="0"/>
              <w:right w:val="single" w:color="auto" w:sz="4" w:space="0"/>
            </w:tcBorders>
            <w:vAlign w:val="center"/>
          </w:tcPr>
          <w:p>
            <w:pPr>
              <w:pStyle w:val="89"/>
            </w:pPr>
            <w:r>
              <w:rPr>
                <w:rFonts w:hint="eastAsia"/>
              </w:rPr>
              <w:t>堆粪棚</w:t>
            </w: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NH</w:t>
            </w:r>
            <w:r>
              <w:rPr>
                <w:rFonts w:hint="eastAsia"/>
                <w:vertAlign w:val="subscript"/>
              </w:rPr>
              <w:t>3</w:t>
            </w:r>
          </w:p>
        </w:tc>
        <w:tc>
          <w:tcPr>
            <w:tcW w:w="1075"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类比法</w:t>
            </w: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w:t>
            </w:r>
            <w:r>
              <w:t>65</w:t>
            </w:r>
          </w:p>
        </w:tc>
        <w:tc>
          <w:tcPr>
            <w:tcW w:w="1290"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szCs w:val="21"/>
              </w:rPr>
              <w:t>干清粪</w:t>
            </w:r>
            <w:r>
              <w:rPr>
                <w:szCs w:val="21"/>
              </w:rPr>
              <w:t>，</w:t>
            </w:r>
            <w:r>
              <w:rPr>
                <w:rFonts w:hint="eastAsia"/>
                <w:szCs w:val="21"/>
              </w:rPr>
              <w:t>设置</w:t>
            </w:r>
            <w:r>
              <w:rPr>
                <w:szCs w:val="21"/>
              </w:rPr>
              <w:t>堆粪棚，</w:t>
            </w:r>
            <w:r>
              <w:rPr>
                <w:rFonts w:hint="eastAsia"/>
                <w:szCs w:val="21"/>
              </w:rPr>
              <w:t>喷洒植物性除臭剂，</w:t>
            </w:r>
            <w:r>
              <w:rPr>
                <w:szCs w:val="21"/>
              </w:rPr>
              <w:t>及时清运</w:t>
            </w: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85</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物料</w:t>
            </w:r>
            <w:r>
              <w:t>衡算法</w:t>
            </w: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t>0.009</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continue"/>
            <w:tcBorders>
              <w:top w:val="single" w:color="auto" w:sz="4" w:space="0"/>
              <w:left w:val="single" w:color="auto" w:sz="12" w:space="0"/>
              <w:bottom w:val="single" w:color="auto" w:sz="4" w:space="0"/>
              <w:right w:val="single" w:color="auto" w:sz="4" w:space="0"/>
            </w:tcBorders>
            <w:vAlign w:val="center"/>
          </w:tcPr>
          <w:p>
            <w:pPr>
              <w:pStyle w:val="89"/>
            </w:pPr>
          </w:p>
        </w:tc>
        <w:tc>
          <w:tcPr>
            <w:tcW w:w="1178" w:type="dxa"/>
            <w:vMerge w:val="continue"/>
            <w:tcBorders>
              <w:left w:val="single" w:color="auto" w:sz="4" w:space="0"/>
              <w:bottom w:val="single" w:color="auto" w:sz="4" w:space="0"/>
              <w:right w:val="single" w:color="auto" w:sz="4" w:space="0"/>
            </w:tcBorders>
            <w:vAlign w:val="center"/>
          </w:tcPr>
          <w:p>
            <w:pPr>
              <w:pStyle w:val="89"/>
            </w:pP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H</w:t>
            </w:r>
            <w:r>
              <w:rPr>
                <w:rFonts w:hint="eastAsia"/>
                <w:vertAlign w:val="subscript"/>
              </w:rPr>
              <w:t>2</w:t>
            </w:r>
            <w:r>
              <w:rPr>
                <w:rFonts w:hint="eastAsia"/>
              </w:rPr>
              <w:t>S</w:t>
            </w: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w:t>
            </w:r>
            <w:r>
              <w:t>4</w:t>
            </w:r>
          </w:p>
        </w:tc>
        <w:tc>
          <w:tcPr>
            <w:tcW w:w="1290"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85</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0.0006</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restart"/>
            <w:tcBorders>
              <w:top w:val="single" w:color="auto" w:sz="4" w:space="0"/>
              <w:left w:val="single" w:color="auto" w:sz="12" w:space="0"/>
              <w:bottom w:val="single" w:color="auto" w:sz="4" w:space="0"/>
              <w:right w:val="single" w:color="auto" w:sz="4" w:space="0"/>
            </w:tcBorders>
            <w:vAlign w:val="center"/>
          </w:tcPr>
          <w:p>
            <w:pPr>
              <w:pStyle w:val="89"/>
            </w:pPr>
            <w:r>
              <w:rPr>
                <w:rFonts w:hint="eastAsia"/>
              </w:rPr>
              <w:t>污水处</w:t>
            </w:r>
            <w:r>
              <w:t>理</w:t>
            </w:r>
          </w:p>
        </w:tc>
        <w:tc>
          <w:tcPr>
            <w:tcW w:w="1178" w:type="dxa"/>
            <w:vMerge w:val="restart"/>
            <w:tcBorders>
              <w:top w:val="single" w:color="auto" w:sz="4" w:space="0"/>
              <w:left w:val="single" w:color="auto" w:sz="4" w:space="0"/>
              <w:right w:val="single" w:color="auto" w:sz="4" w:space="0"/>
            </w:tcBorders>
            <w:vAlign w:val="center"/>
          </w:tcPr>
          <w:p>
            <w:pPr>
              <w:pStyle w:val="89"/>
            </w:pPr>
            <w:r>
              <w:t>处理构筑物</w:t>
            </w: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NH</w:t>
            </w:r>
            <w:r>
              <w:rPr>
                <w:rFonts w:hint="eastAsia"/>
                <w:vertAlign w:val="subscript"/>
              </w:rPr>
              <w:t>3</w:t>
            </w:r>
          </w:p>
        </w:tc>
        <w:tc>
          <w:tcPr>
            <w:tcW w:w="1075"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类比法</w:t>
            </w: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w:t>
            </w:r>
            <w:r>
              <w:t>02</w:t>
            </w:r>
          </w:p>
        </w:tc>
        <w:tc>
          <w:tcPr>
            <w:tcW w:w="1290"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加盖密闭，喷洒</w:t>
            </w:r>
            <w:r>
              <w:t>除臭</w:t>
            </w:r>
            <w:r>
              <w:rPr>
                <w:rFonts w:hint="eastAsia"/>
              </w:rPr>
              <w:t>剂</w:t>
            </w: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t>85</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pStyle w:val="89"/>
            </w:pPr>
            <w:r>
              <w:rPr>
                <w:rFonts w:hint="eastAsia"/>
              </w:rPr>
              <w:t>物料衡</w:t>
            </w:r>
            <w:r>
              <w:t>算法</w:t>
            </w: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w:t>
            </w:r>
            <w:r>
              <w:t>003</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continue"/>
            <w:tcBorders>
              <w:top w:val="single" w:color="auto" w:sz="4" w:space="0"/>
              <w:left w:val="single" w:color="auto" w:sz="12" w:space="0"/>
              <w:bottom w:val="single" w:color="auto" w:sz="4" w:space="0"/>
              <w:right w:val="single" w:color="auto" w:sz="4" w:space="0"/>
            </w:tcBorders>
            <w:vAlign w:val="center"/>
          </w:tcPr>
          <w:p>
            <w:pPr>
              <w:pStyle w:val="89"/>
            </w:pPr>
          </w:p>
        </w:tc>
        <w:tc>
          <w:tcPr>
            <w:tcW w:w="1178" w:type="dxa"/>
            <w:vMerge w:val="continue"/>
            <w:tcBorders>
              <w:left w:val="single" w:color="auto" w:sz="4" w:space="0"/>
              <w:bottom w:val="single" w:color="auto" w:sz="4" w:space="0"/>
              <w:right w:val="single" w:color="auto" w:sz="4" w:space="0"/>
            </w:tcBorders>
            <w:vAlign w:val="center"/>
          </w:tcPr>
          <w:p>
            <w:pPr>
              <w:pStyle w:val="89"/>
            </w:pP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H</w:t>
            </w:r>
            <w:r>
              <w:rPr>
                <w:rFonts w:hint="eastAsia"/>
                <w:vertAlign w:val="subscript"/>
              </w:rPr>
              <w:t>2</w:t>
            </w:r>
            <w:r>
              <w:rPr>
                <w:rFonts w:hint="eastAsia"/>
              </w:rPr>
              <w:t>S</w:t>
            </w: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w:t>
            </w:r>
            <w:r>
              <w:t>0</w:t>
            </w:r>
            <w:r>
              <w:rPr>
                <w:rFonts w:hint="eastAsia"/>
              </w:rPr>
              <w:t>0</w:t>
            </w:r>
            <w:r>
              <w:t>8</w:t>
            </w:r>
          </w:p>
        </w:tc>
        <w:tc>
          <w:tcPr>
            <w:tcW w:w="1290"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t>85</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pStyle w:val="89"/>
            </w:pP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w:t>
            </w:r>
            <w:r>
              <w:t>001</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restart"/>
            <w:tcBorders>
              <w:top w:val="single" w:color="auto" w:sz="4" w:space="0"/>
              <w:left w:val="single" w:color="auto" w:sz="12" w:space="0"/>
              <w:right w:val="single" w:color="auto" w:sz="4" w:space="0"/>
            </w:tcBorders>
            <w:vAlign w:val="center"/>
          </w:tcPr>
          <w:p>
            <w:pPr>
              <w:pStyle w:val="89"/>
            </w:pPr>
            <w:r>
              <w:rPr>
                <w:rFonts w:hint="eastAsia"/>
              </w:rPr>
              <w:t>沼气燃烧</w:t>
            </w:r>
          </w:p>
        </w:tc>
        <w:tc>
          <w:tcPr>
            <w:tcW w:w="1178" w:type="dxa"/>
            <w:vMerge w:val="restart"/>
            <w:tcBorders>
              <w:top w:val="single" w:color="auto" w:sz="4" w:space="0"/>
              <w:left w:val="single" w:color="auto" w:sz="4" w:space="0"/>
              <w:right w:val="single" w:color="auto" w:sz="4" w:space="0"/>
            </w:tcBorders>
            <w:vAlign w:val="center"/>
          </w:tcPr>
          <w:p>
            <w:pPr>
              <w:pStyle w:val="89"/>
            </w:pPr>
            <w:r>
              <w:rPr>
                <w:rFonts w:hint="eastAsia"/>
              </w:rPr>
              <w:t>厌氧发酵池</w:t>
            </w:r>
            <w:r>
              <w:t>沼气</w:t>
            </w:r>
            <w:r>
              <w:rPr>
                <w:rFonts w:hint="eastAsia"/>
              </w:rPr>
              <w:t>燃烧</w:t>
            </w: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颗粒物</w:t>
            </w:r>
          </w:p>
        </w:tc>
        <w:tc>
          <w:tcPr>
            <w:tcW w:w="1075" w:type="dxa"/>
            <w:vMerge w:val="restart"/>
            <w:tcBorders>
              <w:top w:val="single" w:color="auto" w:sz="4" w:space="0"/>
              <w:left w:val="single" w:color="auto" w:sz="4" w:space="0"/>
              <w:right w:val="single" w:color="auto" w:sz="4" w:space="0"/>
            </w:tcBorders>
            <w:vAlign w:val="center"/>
          </w:tcPr>
          <w:p>
            <w:pPr>
              <w:pStyle w:val="89"/>
              <w:rPr>
                <w:highlight w:val="yellow"/>
              </w:rPr>
            </w:pPr>
            <w:r>
              <w:rPr>
                <w:rFonts w:hint="eastAsia"/>
              </w:rPr>
              <w:t>类比法</w:t>
            </w: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26.54</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0.0001</w:t>
            </w:r>
          </w:p>
        </w:tc>
        <w:tc>
          <w:tcPr>
            <w:tcW w:w="1290" w:type="dxa"/>
            <w:vMerge w:val="restart"/>
            <w:tcBorders>
              <w:top w:val="single" w:color="auto" w:sz="4" w:space="0"/>
              <w:left w:val="single" w:color="auto" w:sz="4" w:space="0"/>
              <w:right w:val="single" w:color="auto" w:sz="4" w:space="0"/>
            </w:tcBorders>
            <w:vAlign w:val="center"/>
          </w:tcPr>
          <w:p>
            <w:pPr>
              <w:pStyle w:val="89"/>
            </w:pPr>
            <w:r>
              <w:t>不</w:t>
            </w:r>
            <w:r>
              <w:rPr>
                <w:rFonts w:hint="eastAsia"/>
              </w:rPr>
              <w:t>低于8</w:t>
            </w:r>
            <w:r>
              <w:t>m排气筒</w:t>
            </w: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t>/</w:t>
            </w:r>
          </w:p>
        </w:tc>
        <w:tc>
          <w:tcPr>
            <w:tcW w:w="1000" w:type="dxa"/>
            <w:vMerge w:val="restart"/>
            <w:tcBorders>
              <w:top w:val="single" w:color="auto" w:sz="4" w:space="0"/>
              <w:left w:val="single" w:color="auto" w:sz="4" w:space="0"/>
              <w:right w:val="single" w:color="auto" w:sz="4" w:space="0"/>
            </w:tcBorders>
            <w:vAlign w:val="center"/>
          </w:tcPr>
          <w:p>
            <w:pPr>
              <w:pStyle w:val="89"/>
              <w:rPr>
                <w:highlight w:val="yellow"/>
              </w:rPr>
            </w:pPr>
            <w:r>
              <w:rPr>
                <w:rFonts w:hint="eastAsia"/>
              </w:rPr>
              <w:t>物料衡</w:t>
            </w:r>
            <w:r>
              <w:t>算法</w:t>
            </w: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26.54</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0.0001</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continue"/>
            <w:tcBorders>
              <w:left w:val="single" w:color="auto" w:sz="12" w:space="0"/>
              <w:right w:val="single" w:color="auto" w:sz="4" w:space="0"/>
            </w:tcBorders>
            <w:vAlign w:val="center"/>
          </w:tcPr>
          <w:p>
            <w:pPr>
              <w:pStyle w:val="89"/>
              <w:rPr>
                <w:highlight w:val="yellow"/>
              </w:rPr>
            </w:pPr>
          </w:p>
        </w:tc>
        <w:tc>
          <w:tcPr>
            <w:tcW w:w="1178" w:type="dxa"/>
            <w:vMerge w:val="continue"/>
            <w:tcBorders>
              <w:left w:val="single" w:color="auto" w:sz="4" w:space="0"/>
              <w:right w:val="single" w:color="auto" w:sz="4" w:space="0"/>
            </w:tcBorders>
            <w:vAlign w:val="center"/>
          </w:tcPr>
          <w:p>
            <w:pPr>
              <w:pStyle w:val="89"/>
              <w:rPr>
                <w:highlight w:val="yellow"/>
              </w:rPr>
            </w:pP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SO</w:t>
            </w:r>
            <w:r>
              <w:rPr>
                <w:rFonts w:hint="eastAsia"/>
                <w:vertAlign w:val="subscript"/>
              </w:rPr>
              <w:t>2</w:t>
            </w:r>
          </w:p>
        </w:tc>
        <w:tc>
          <w:tcPr>
            <w:tcW w:w="1075" w:type="dxa"/>
            <w:vMerge w:val="continue"/>
            <w:tcBorders>
              <w:left w:val="single" w:color="auto" w:sz="4" w:space="0"/>
              <w:right w:val="single" w:color="auto" w:sz="4" w:space="0"/>
            </w:tcBorders>
            <w:vAlign w:val="center"/>
          </w:tcPr>
          <w:p>
            <w:pPr>
              <w:pStyle w:val="89"/>
              <w:rPr>
                <w:highlight w:val="yellow"/>
              </w:rPr>
            </w:pP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3.71</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0.00002</w:t>
            </w:r>
          </w:p>
        </w:tc>
        <w:tc>
          <w:tcPr>
            <w:tcW w:w="1290" w:type="dxa"/>
            <w:vMerge w:val="continue"/>
            <w:tcBorders>
              <w:left w:val="single" w:color="auto" w:sz="4" w:space="0"/>
              <w:right w:val="single" w:color="auto" w:sz="4" w:space="0"/>
            </w:tcBorders>
            <w:vAlign w:val="center"/>
          </w:tcPr>
          <w:p>
            <w:pPr>
              <w:pStyle w:val="89"/>
            </w:pP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00" w:type="dxa"/>
            <w:vMerge w:val="continue"/>
            <w:tcBorders>
              <w:left w:val="single" w:color="auto" w:sz="4" w:space="0"/>
              <w:right w:val="single" w:color="auto" w:sz="4" w:space="0"/>
            </w:tcBorders>
            <w:vAlign w:val="center"/>
          </w:tcPr>
          <w:p>
            <w:pPr>
              <w:pStyle w:val="89"/>
              <w:rPr>
                <w:highlight w:val="yellow"/>
              </w:rPr>
            </w:pP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3.71</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0.00002</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vMerge w:val="continue"/>
            <w:tcBorders>
              <w:left w:val="single" w:color="auto" w:sz="12" w:space="0"/>
              <w:bottom w:val="single" w:color="auto" w:sz="4" w:space="0"/>
              <w:right w:val="single" w:color="auto" w:sz="4" w:space="0"/>
            </w:tcBorders>
            <w:vAlign w:val="center"/>
          </w:tcPr>
          <w:p>
            <w:pPr>
              <w:pStyle w:val="89"/>
              <w:rPr>
                <w:highlight w:val="yellow"/>
              </w:rPr>
            </w:pPr>
          </w:p>
        </w:tc>
        <w:tc>
          <w:tcPr>
            <w:tcW w:w="1178" w:type="dxa"/>
            <w:vMerge w:val="continue"/>
            <w:tcBorders>
              <w:left w:val="single" w:color="auto" w:sz="4" w:space="0"/>
              <w:bottom w:val="single" w:color="auto" w:sz="4" w:space="0"/>
              <w:right w:val="single" w:color="auto" w:sz="4" w:space="0"/>
            </w:tcBorders>
            <w:vAlign w:val="center"/>
          </w:tcPr>
          <w:p>
            <w:pPr>
              <w:pStyle w:val="89"/>
              <w:rPr>
                <w:highlight w:val="yellow"/>
              </w:rPr>
            </w:pP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NOx</w:t>
            </w:r>
          </w:p>
        </w:tc>
        <w:tc>
          <w:tcPr>
            <w:tcW w:w="1075" w:type="dxa"/>
            <w:vMerge w:val="continue"/>
            <w:tcBorders>
              <w:left w:val="single" w:color="auto" w:sz="4" w:space="0"/>
              <w:bottom w:val="single" w:color="auto" w:sz="4" w:space="0"/>
              <w:right w:val="single" w:color="auto" w:sz="4" w:space="0"/>
            </w:tcBorders>
            <w:vAlign w:val="center"/>
          </w:tcPr>
          <w:p>
            <w:pPr>
              <w:pStyle w:val="89"/>
              <w:rPr>
                <w:highlight w:val="yellow"/>
              </w:rPr>
            </w:pP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173.64</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0.001</w:t>
            </w:r>
          </w:p>
        </w:tc>
        <w:tc>
          <w:tcPr>
            <w:tcW w:w="1290" w:type="dxa"/>
            <w:vMerge w:val="continue"/>
            <w:tcBorders>
              <w:left w:val="single" w:color="auto" w:sz="4" w:space="0"/>
              <w:bottom w:val="single" w:color="auto" w:sz="4" w:space="0"/>
              <w:right w:val="single" w:color="auto" w:sz="4" w:space="0"/>
            </w:tcBorders>
            <w:vAlign w:val="center"/>
          </w:tcPr>
          <w:p>
            <w:pPr>
              <w:pStyle w:val="89"/>
            </w:pP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00" w:type="dxa"/>
            <w:vMerge w:val="continue"/>
            <w:tcBorders>
              <w:left w:val="single" w:color="auto" w:sz="4" w:space="0"/>
              <w:bottom w:val="single" w:color="auto" w:sz="4" w:space="0"/>
              <w:right w:val="single" w:color="auto" w:sz="4" w:space="0"/>
            </w:tcBorders>
            <w:vAlign w:val="center"/>
          </w:tcPr>
          <w:p>
            <w:pPr>
              <w:pStyle w:val="89"/>
              <w:rPr>
                <w:highlight w:val="yellow"/>
              </w:rPr>
            </w:pP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173.64</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0.001</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tcBorders>
              <w:left w:val="single" w:color="auto" w:sz="12" w:space="0"/>
              <w:bottom w:val="single" w:color="auto" w:sz="4" w:space="0"/>
              <w:right w:val="single" w:color="auto" w:sz="4" w:space="0"/>
            </w:tcBorders>
            <w:vAlign w:val="center"/>
          </w:tcPr>
          <w:p>
            <w:pPr>
              <w:pStyle w:val="89"/>
            </w:pPr>
            <w:r>
              <w:rPr>
                <w:rFonts w:hint="eastAsia"/>
              </w:rPr>
              <w:t>饲料</w:t>
            </w:r>
            <w:r>
              <w:t>加工</w:t>
            </w:r>
          </w:p>
        </w:tc>
        <w:tc>
          <w:tcPr>
            <w:tcW w:w="1178" w:type="dxa"/>
            <w:tcBorders>
              <w:left w:val="single" w:color="auto" w:sz="4" w:space="0"/>
              <w:bottom w:val="single" w:color="auto" w:sz="4" w:space="0"/>
              <w:right w:val="single" w:color="auto" w:sz="4" w:space="0"/>
            </w:tcBorders>
            <w:vAlign w:val="center"/>
          </w:tcPr>
          <w:p>
            <w:pPr>
              <w:pStyle w:val="89"/>
            </w:pPr>
            <w:r>
              <w:rPr>
                <w:rFonts w:hint="eastAsia"/>
              </w:rPr>
              <w:t>破碎</w:t>
            </w:r>
          </w:p>
        </w:tc>
        <w:tc>
          <w:tcPr>
            <w:tcW w:w="788"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颗粒物</w:t>
            </w:r>
          </w:p>
        </w:tc>
        <w:tc>
          <w:tcPr>
            <w:tcW w:w="1075" w:type="dxa"/>
            <w:tcBorders>
              <w:left w:val="single" w:color="auto" w:sz="4" w:space="0"/>
              <w:bottom w:val="single" w:color="auto" w:sz="4" w:space="0"/>
              <w:right w:val="single" w:color="auto" w:sz="4" w:space="0"/>
            </w:tcBorders>
            <w:vAlign w:val="center"/>
          </w:tcPr>
          <w:p>
            <w:pPr>
              <w:pStyle w:val="89"/>
              <w:rPr>
                <w:highlight w:val="yellow"/>
              </w:rPr>
            </w:pPr>
            <w:r>
              <w:rPr>
                <w:rFonts w:hint="eastAsia"/>
              </w:rPr>
              <w:t>产污系数法</w:t>
            </w:r>
          </w:p>
        </w:tc>
        <w:tc>
          <w:tcPr>
            <w:tcW w:w="1145"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0.088</w:t>
            </w:r>
          </w:p>
        </w:tc>
        <w:tc>
          <w:tcPr>
            <w:tcW w:w="1290" w:type="dxa"/>
            <w:tcBorders>
              <w:left w:val="single" w:color="auto" w:sz="4" w:space="0"/>
              <w:bottom w:val="single" w:color="auto" w:sz="4" w:space="0"/>
              <w:right w:val="single" w:color="auto" w:sz="4" w:space="0"/>
            </w:tcBorders>
            <w:vAlign w:val="center"/>
          </w:tcPr>
          <w:p>
            <w:pPr>
              <w:pStyle w:val="89"/>
            </w:pPr>
            <w:r>
              <w:rPr>
                <w:rFonts w:hint="eastAsia"/>
              </w:rPr>
              <w:t>饲料</w:t>
            </w:r>
            <w:r>
              <w:t>库房密闭，</w:t>
            </w:r>
            <w:r>
              <w:rPr>
                <w:rFonts w:hint="eastAsia"/>
              </w:rPr>
              <w:t>自带</w:t>
            </w:r>
            <w:r>
              <w:t>收尘器处理后</w:t>
            </w:r>
            <w:r>
              <w:rPr>
                <w:rFonts w:hint="eastAsia"/>
              </w:rPr>
              <w:t>无组织</w:t>
            </w:r>
            <w:r>
              <w:t>排放</w:t>
            </w:r>
          </w:p>
        </w:tc>
        <w:tc>
          <w:tcPr>
            <w:tcW w:w="710" w:type="dxa"/>
            <w:tcBorders>
              <w:top w:val="single" w:color="auto" w:sz="4" w:space="0"/>
              <w:left w:val="single" w:color="auto" w:sz="4" w:space="0"/>
              <w:bottom w:val="single" w:color="auto" w:sz="4" w:space="0"/>
              <w:right w:val="single" w:color="auto" w:sz="4" w:space="0"/>
            </w:tcBorders>
            <w:vAlign w:val="center"/>
          </w:tcPr>
          <w:p>
            <w:pPr>
              <w:pStyle w:val="89"/>
            </w:pPr>
            <w:r>
              <w:t>/</w:t>
            </w:r>
          </w:p>
        </w:tc>
        <w:tc>
          <w:tcPr>
            <w:tcW w:w="1000" w:type="dxa"/>
            <w:tcBorders>
              <w:left w:val="single" w:color="auto" w:sz="4" w:space="0"/>
              <w:bottom w:val="single" w:color="auto" w:sz="4" w:space="0"/>
              <w:right w:val="single" w:color="auto" w:sz="4" w:space="0"/>
            </w:tcBorders>
            <w:vAlign w:val="center"/>
          </w:tcPr>
          <w:p>
            <w:pPr>
              <w:pStyle w:val="89"/>
              <w:rPr>
                <w:highlight w:val="yellow"/>
              </w:rPr>
            </w:pPr>
            <w:r>
              <w:rPr>
                <w:rFonts w:hint="eastAsia"/>
              </w:rPr>
              <w:t>物料</w:t>
            </w:r>
            <w:r>
              <w:t>衡算法</w:t>
            </w:r>
          </w:p>
        </w:tc>
        <w:tc>
          <w:tcPr>
            <w:tcW w:w="121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w:t>
            </w:r>
          </w:p>
        </w:tc>
        <w:tc>
          <w:tcPr>
            <w:tcW w:w="1036" w:type="dxa"/>
            <w:tcBorders>
              <w:top w:val="single" w:color="auto" w:sz="4" w:space="0"/>
              <w:left w:val="single" w:color="auto" w:sz="4" w:space="0"/>
              <w:bottom w:val="single" w:color="auto" w:sz="4" w:space="0"/>
              <w:right w:val="single" w:color="auto" w:sz="4" w:space="0"/>
            </w:tcBorders>
            <w:vAlign w:val="center"/>
          </w:tcPr>
          <w:p>
            <w:pPr>
              <w:pStyle w:val="89"/>
            </w:pPr>
            <w:r>
              <w:rPr>
                <w:rFonts w:hint="eastAsia"/>
              </w:rPr>
              <w:t>0.0</w:t>
            </w:r>
            <w:r>
              <w:t>008</w:t>
            </w:r>
          </w:p>
        </w:tc>
        <w:tc>
          <w:tcPr>
            <w:tcW w:w="621" w:type="dxa"/>
            <w:tcBorders>
              <w:top w:val="single" w:color="auto" w:sz="4" w:space="0"/>
              <w:left w:val="single" w:color="auto" w:sz="4" w:space="0"/>
              <w:bottom w:val="single" w:color="auto" w:sz="4" w:space="0"/>
              <w:right w:val="single" w:color="auto" w:sz="12" w:space="0"/>
            </w:tcBorders>
            <w:vAlign w:val="center"/>
          </w:tcPr>
          <w:p>
            <w:pPr>
              <w:pStyle w:val="89"/>
            </w:pPr>
            <w:r>
              <w:rPr>
                <w:rFonts w:hint="eastAsia"/>
              </w:rPr>
              <w:t>7</w:t>
            </w:r>
            <w:r>
              <w:t>3</w:t>
            </w: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cantSplit/>
          <w:trHeight w:val="20" w:hRule="atLeast"/>
          <w:jc w:val="center"/>
        </w:trPr>
        <w:tc>
          <w:tcPr>
            <w:tcW w:w="672" w:type="dxa"/>
            <w:tcBorders>
              <w:top w:val="single" w:color="auto" w:sz="4" w:space="0"/>
              <w:left w:val="single" w:color="auto" w:sz="12" w:space="0"/>
              <w:bottom w:val="single" w:color="auto" w:sz="12" w:space="0"/>
              <w:right w:val="single" w:color="auto" w:sz="4" w:space="0"/>
            </w:tcBorders>
            <w:vAlign w:val="center"/>
          </w:tcPr>
          <w:p>
            <w:pPr>
              <w:pStyle w:val="89"/>
            </w:pPr>
            <w:r>
              <w:rPr>
                <w:rFonts w:hint="eastAsia"/>
              </w:rPr>
              <w:t>生活</w:t>
            </w:r>
          </w:p>
        </w:tc>
        <w:tc>
          <w:tcPr>
            <w:tcW w:w="1178"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食堂</w:t>
            </w:r>
          </w:p>
        </w:tc>
        <w:tc>
          <w:tcPr>
            <w:tcW w:w="788"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油烟</w:t>
            </w:r>
          </w:p>
        </w:tc>
        <w:tc>
          <w:tcPr>
            <w:tcW w:w="1075"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物料衡</w:t>
            </w:r>
            <w:r>
              <w:t>算法</w:t>
            </w:r>
          </w:p>
        </w:tc>
        <w:tc>
          <w:tcPr>
            <w:tcW w:w="1145"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w:t>
            </w:r>
          </w:p>
        </w:tc>
        <w:tc>
          <w:tcPr>
            <w:tcW w:w="1137"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w:t>
            </w:r>
          </w:p>
        </w:tc>
        <w:tc>
          <w:tcPr>
            <w:tcW w:w="922"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0.0067</w:t>
            </w:r>
          </w:p>
        </w:tc>
        <w:tc>
          <w:tcPr>
            <w:tcW w:w="1290"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油烟净化器</w:t>
            </w:r>
          </w:p>
        </w:tc>
        <w:tc>
          <w:tcPr>
            <w:tcW w:w="710"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60%</w:t>
            </w:r>
          </w:p>
        </w:tc>
        <w:tc>
          <w:tcPr>
            <w:tcW w:w="1000"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类比法</w:t>
            </w:r>
          </w:p>
        </w:tc>
        <w:tc>
          <w:tcPr>
            <w:tcW w:w="1217"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4000</w:t>
            </w:r>
          </w:p>
        </w:tc>
        <w:tc>
          <w:tcPr>
            <w:tcW w:w="1137"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1.13</w:t>
            </w:r>
          </w:p>
        </w:tc>
        <w:tc>
          <w:tcPr>
            <w:tcW w:w="1036" w:type="dxa"/>
            <w:tcBorders>
              <w:top w:val="single" w:color="auto" w:sz="4" w:space="0"/>
              <w:left w:val="single" w:color="auto" w:sz="4" w:space="0"/>
              <w:bottom w:val="single" w:color="auto" w:sz="12" w:space="0"/>
              <w:right w:val="single" w:color="auto" w:sz="4" w:space="0"/>
            </w:tcBorders>
            <w:vAlign w:val="center"/>
          </w:tcPr>
          <w:p>
            <w:pPr>
              <w:pStyle w:val="89"/>
            </w:pPr>
            <w:r>
              <w:rPr>
                <w:rFonts w:hint="eastAsia"/>
              </w:rPr>
              <w:t>0.0023</w:t>
            </w:r>
          </w:p>
        </w:tc>
        <w:tc>
          <w:tcPr>
            <w:tcW w:w="621" w:type="dxa"/>
            <w:tcBorders>
              <w:top w:val="single" w:color="auto" w:sz="4" w:space="0"/>
              <w:left w:val="single" w:color="auto" w:sz="4" w:space="0"/>
              <w:bottom w:val="single" w:color="auto" w:sz="12" w:space="0"/>
              <w:right w:val="single" w:color="auto" w:sz="12" w:space="0"/>
            </w:tcBorders>
            <w:vAlign w:val="center"/>
          </w:tcPr>
          <w:p>
            <w:pPr>
              <w:pStyle w:val="89"/>
            </w:pPr>
            <w:r>
              <w:rPr>
                <w:rFonts w:hint="eastAsia"/>
              </w:rPr>
              <w:t>1095</w:t>
            </w:r>
          </w:p>
        </w:tc>
      </w:tr>
    </w:tbl>
    <w:p>
      <w:pPr>
        <w:ind w:firstLine="480"/>
        <w:rPr>
          <w:rFonts w:hAnsi="宋体"/>
        </w:rPr>
      </w:pPr>
    </w:p>
    <w:p>
      <w:pPr>
        <w:ind w:firstLine="480"/>
        <w:rPr>
          <w:rFonts w:hAnsi="宋体"/>
        </w:rPr>
        <w:sectPr>
          <w:headerReference r:id="rId25" w:type="default"/>
          <w:headerReference r:id="rId26" w:type="even"/>
          <w:pgSz w:w="16838" w:h="11906" w:orient="landscape"/>
          <w:pgMar w:top="1418" w:right="1440" w:bottom="1418" w:left="1440" w:header="992" w:footer="992" w:gutter="0"/>
          <w:pgNumType w:fmt="numberInDash"/>
          <w:cols w:space="425" w:num="1"/>
          <w:docGrid w:type="lines" w:linePitch="326" w:charSpace="0"/>
        </w:sectPr>
      </w:pPr>
    </w:p>
    <w:p>
      <w:pPr>
        <w:pStyle w:val="5"/>
      </w:pPr>
      <w:r>
        <w:rPr>
          <w:rFonts w:hint="eastAsia"/>
        </w:rPr>
        <w:t>废水</w:t>
      </w:r>
    </w:p>
    <w:p>
      <w:pPr>
        <w:ind w:firstLine="480"/>
      </w:pPr>
      <w:r>
        <w:rPr>
          <w:rFonts w:hint="eastAsia"/>
        </w:rPr>
        <w:t>营运期的废水主要为猪尿、猪舍冲洗废水以及职工生活污水。根据水平衡，项目总</w:t>
      </w:r>
      <w:r>
        <w:t>废水排放量</w:t>
      </w:r>
      <w:r>
        <w:rPr>
          <w:rFonts w:hint="eastAsia"/>
        </w:rPr>
        <w:t>7664.35</w:t>
      </w:r>
      <w:r>
        <w:t>m</w:t>
      </w:r>
      <w:r>
        <w:rPr>
          <w:vertAlign w:val="superscript"/>
        </w:rPr>
        <w:t>3</w:t>
      </w:r>
      <w:r>
        <w:t>/a，</w:t>
      </w:r>
      <w:r>
        <w:rPr>
          <w:rFonts w:hint="eastAsia"/>
        </w:rPr>
        <w:t>其中猪尿排放量为6103.00m</w:t>
      </w:r>
      <w:r>
        <w:rPr>
          <w:rFonts w:hint="eastAsia"/>
          <w:vertAlign w:val="superscript"/>
        </w:rPr>
        <w:t>3</w:t>
      </w:r>
      <w:r>
        <w:rPr>
          <w:rFonts w:hint="eastAsia"/>
        </w:rPr>
        <w:t>/a，猪舍冲洗废水产生量为499.2m</w:t>
      </w:r>
      <w:r>
        <w:rPr>
          <w:rFonts w:hint="eastAsia"/>
          <w:vertAlign w:val="superscript"/>
        </w:rPr>
        <w:t>3</w:t>
      </w:r>
      <w:r>
        <w:rPr>
          <w:rFonts w:hint="eastAsia"/>
        </w:rPr>
        <w:t>/a，生活污水产生量为1062.15m</w:t>
      </w:r>
      <w:r>
        <w:rPr>
          <w:rFonts w:hint="eastAsia"/>
          <w:vertAlign w:val="superscript"/>
        </w:rPr>
        <w:t>3</w:t>
      </w:r>
      <w:r>
        <w:rPr>
          <w:rFonts w:hint="eastAsia"/>
        </w:rPr>
        <w:t>/a。</w:t>
      </w:r>
    </w:p>
    <w:p>
      <w:pPr>
        <w:ind w:firstLine="482"/>
        <w:rPr>
          <w:b/>
        </w:rPr>
      </w:pPr>
      <w:r>
        <w:rPr>
          <w:rFonts w:hint="eastAsia"/>
          <w:b/>
        </w:rPr>
        <w:t>粪污</w:t>
      </w:r>
      <w:r>
        <w:rPr>
          <w:b/>
        </w:rPr>
        <w:t>收集方式：</w:t>
      </w:r>
    </w:p>
    <w:p>
      <w:pPr>
        <w:ind w:firstLine="480"/>
      </w:pPr>
      <w:r>
        <w:rPr>
          <w:rFonts w:hint="eastAsia"/>
        </w:rPr>
        <w:t>本项目拟采用干清粪工艺。根据业主提供的资料，本项目干清粪工艺采用全漏缝板自动清粪工艺，粪便、尿液一经产出后经漏缝地板漏下，通过底部的</w:t>
      </w:r>
      <w:r>
        <w:t>PVC</w:t>
      </w:r>
      <w:r>
        <w:rPr>
          <w:rFonts w:hint="eastAsia"/>
        </w:rPr>
        <w:t>排粪通道自流进入集粪池；经固液分离后，养殖废水经厌氧反应后用</w:t>
      </w:r>
      <w:r>
        <w:rPr>
          <w:rFonts w:hint="eastAsia"/>
          <w:iCs/>
        </w:rPr>
        <w:t>于种植</w:t>
      </w:r>
      <w:r>
        <w:rPr>
          <w:iCs/>
        </w:rPr>
        <w:t>区魔芋、特色林果的</w:t>
      </w:r>
      <w:r>
        <w:rPr>
          <w:rFonts w:hint="eastAsia"/>
          <w:iCs/>
        </w:rPr>
        <w:t>施肥</w:t>
      </w:r>
      <w:r>
        <w:rPr>
          <w:rFonts w:hint="eastAsia"/>
        </w:rPr>
        <w:t>，固液分离后的干粪收集至干湿分离棚的干粪暂存区，袋装</w:t>
      </w:r>
      <w:r>
        <w:rPr>
          <w:rFonts w:hint="eastAsia"/>
          <w:iCs/>
        </w:rPr>
        <w:t>外售给有机肥厂当原料</w:t>
      </w:r>
      <w:r>
        <w:rPr>
          <w:rFonts w:hint="eastAsia"/>
        </w:rPr>
        <w:t>。干粪及时</w:t>
      </w:r>
      <w:r>
        <w:t>清运，</w:t>
      </w:r>
      <w:r>
        <w:rPr>
          <w:rFonts w:hint="eastAsia"/>
        </w:rPr>
        <w:t>尤其</w:t>
      </w:r>
      <w:r>
        <w:t>是夏季</w:t>
      </w:r>
      <w:r>
        <w:rPr>
          <w:rFonts w:hint="eastAsia"/>
        </w:rPr>
        <w:t>加大</w:t>
      </w:r>
      <w:r>
        <w:t>清运次数</w:t>
      </w:r>
      <w:r>
        <w:rPr>
          <w:rFonts w:hint="eastAsia"/>
        </w:rPr>
        <w:t>。</w:t>
      </w:r>
    </w:p>
    <w:p>
      <w:pPr>
        <w:ind w:firstLine="482"/>
      </w:pPr>
      <w:r>
        <w:rPr>
          <w:rFonts w:hint="eastAsia"/>
          <w:b/>
        </w:rPr>
        <w:t>废水</w:t>
      </w:r>
      <w:r>
        <w:rPr>
          <w:b/>
        </w:rPr>
        <w:t>处理：</w:t>
      </w:r>
      <w:r>
        <w:rPr>
          <w:rFonts w:hint="eastAsia"/>
        </w:rPr>
        <w:t>项目生活污水经化粪池预处理后排入污水处理系统，猪尿、猪舍冲洗废水经猪舍的导尿管和厂区的污水管道收集至污水处理系统</w:t>
      </w:r>
      <w:r>
        <w:t>：污水处理系统采用集粪池</w:t>
      </w:r>
      <w:r>
        <w:rPr>
          <w:rFonts w:hint="eastAsia"/>
        </w:rPr>
        <w:t>+固液</w:t>
      </w:r>
      <w:r>
        <w:t>分离</w:t>
      </w:r>
      <w:r>
        <w:rPr>
          <w:rFonts w:hint="eastAsia"/>
        </w:rPr>
        <w:t>+厌氧发酵+沼液</w:t>
      </w:r>
      <w:r>
        <w:t>暂存池，用于</w:t>
      </w:r>
      <w:r>
        <w:rPr>
          <w:rFonts w:hint="eastAsia"/>
        </w:rPr>
        <w:t>魔芋</w:t>
      </w:r>
      <w:r>
        <w:t>，果树种植施肥，不外排</w:t>
      </w:r>
      <w:r>
        <w:rPr>
          <w:rFonts w:hint="eastAsia"/>
        </w:rPr>
        <w:t>。</w:t>
      </w:r>
      <w:r>
        <w:t xml:space="preserve"> </w:t>
      </w:r>
    </w:p>
    <w:p>
      <w:pPr>
        <w:ind w:firstLine="480"/>
      </w:pPr>
      <w:r>
        <w:rPr>
          <w:rFonts w:hint="eastAsia"/>
        </w:rPr>
        <w:t>项目养殖废水类比</w:t>
      </w:r>
      <w:r>
        <w:t>相同企业产生情况并</w:t>
      </w:r>
      <w:r>
        <w:rPr>
          <w:rFonts w:hint="eastAsia"/>
        </w:rPr>
        <w:t>参考《畜禽养殖业污染治理工程技术规范》（HJ497-2009）表A.1 中提供的养猪干清粪方式的浓度，项目废水产生情况表见表3.3-</w:t>
      </w:r>
      <w:r>
        <w:t>10</w:t>
      </w:r>
      <w:r>
        <w:rPr>
          <w:rFonts w:hint="eastAsia"/>
        </w:rPr>
        <w:t>。</w:t>
      </w:r>
    </w:p>
    <w:p>
      <w:pPr>
        <w:pStyle w:val="85"/>
      </w:pPr>
      <w:bookmarkStart w:id="97" w:name="_Ref37257598"/>
      <w:r>
        <w:rPr>
          <w:rFonts w:hint="eastAsia"/>
        </w:rPr>
        <w:t>表</w:t>
      </w:r>
      <w:bookmarkEnd w:id="97"/>
      <w:r>
        <w:t xml:space="preserve">3.3-10  </w:t>
      </w:r>
      <w:r>
        <w:rPr>
          <w:rFonts w:hint="eastAsia"/>
        </w:rPr>
        <w:t>废水</w:t>
      </w:r>
      <w:r>
        <w:t>产生情况</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40"/>
        <w:gridCol w:w="1402"/>
        <w:gridCol w:w="917"/>
        <w:gridCol w:w="993"/>
        <w:gridCol w:w="993"/>
        <w:gridCol w:w="909"/>
        <w:gridCol w:w="950"/>
        <w:gridCol w:w="4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vAlign w:val="center"/>
          </w:tcPr>
          <w:p>
            <w:pPr>
              <w:pStyle w:val="84"/>
            </w:pPr>
            <w:r>
              <w:rPr>
                <w:rFonts w:hint="eastAsia"/>
              </w:rPr>
              <w:t>废水</w:t>
            </w:r>
            <w:r>
              <w:t>种类</w:t>
            </w:r>
          </w:p>
        </w:tc>
        <w:tc>
          <w:tcPr>
            <w:tcW w:w="940" w:type="dxa"/>
            <w:vMerge w:val="restart"/>
            <w:vAlign w:val="center"/>
          </w:tcPr>
          <w:p>
            <w:pPr>
              <w:pStyle w:val="84"/>
              <w:jc w:val="both"/>
            </w:pPr>
            <w:r>
              <w:rPr>
                <w:rFonts w:hint="eastAsia"/>
              </w:rPr>
              <w:t>废水</w:t>
            </w:r>
            <w:r>
              <w:t>产生量（m</w:t>
            </w:r>
            <w:r>
              <w:rPr>
                <w:rFonts w:hint="eastAsia"/>
                <w:vertAlign w:val="superscript"/>
              </w:rPr>
              <w:t>3</w:t>
            </w:r>
            <w:r>
              <w:rPr>
                <w:rFonts w:hint="eastAsia"/>
              </w:rPr>
              <w:t>/a</w:t>
            </w:r>
            <w:r>
              <w:t>）</w:t>
            </w:r>
          </w:p>
        </w:tc>
        <w:tc>
          <w:tcPr>
            <w:tcW w:w="1402" w:type="dxa"/>
            <w:vMerge w:val="restart"/>
            <w:vAlign w:val="center"/>
          </w:tcPr>
          <w:p>
            <w:pPr>
              <w:pStyle w:val="84"/>
            </w:pPr>
            <w:r>
              <w:rPr>
                <w:rFonts w:hint="eastAsia"/>
              </w:rPr>
              <w:t>污染物</w:t>
            </w:r>
            <w:r>
              <w:t>产生情况</w:t>
            </w:r>
          </w:p>
        </w:tc>
        <w:tc>
          <w:tcPr>
            <w:tcW w:w="4762" w:type="dxa"/>
            <w:gridSpan w:val="5"/>
            <w:vAlign w:val="center"/>
          </w:tcPr>
          <w:p>
            <w:pPr>
              <w:pStyle w:val="84"/>
            </w:pPr>
            <w:r>
              <w:rPr>
                <w:rFonts w:hint="eastAsia"/>
              </w:rPr>
              <w:t>主要</w:t>
            </w:r>
            <w:r>
              <w:t>污染物</w:t>
            </w:r>
          </w:p>
        </w:tc>
        <w:tc>
          <w:tcPr>
            <w:tcW w:w="478" w:type="dxa"/>
            <w:vMerge w:val="restart"/>
            <w:vAlign w:val="center"/>
          </w:tcPr>
          <w:p>
            <w:pPr>
              <w:pStyle w:val="84"/>
            </w:pPr>
            <w:r>
              <w:rPr>
                <w:rFonts w:hint="eastAsia"/>
              </w:rPr>
              <w:t>处理</w:t>
            </w:r>
            <w: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vAlign w:val="center"/>
          </w:tcPr>
          <w:p>
            <w:pPr>
              <w:pStyle w:val="84"/>
            </w:pPr>
          </w:p>
        </w:tc>
        <w:tc>
          <w:tcPr>
            <w:tcW w:w="940" w:type="dxa"/>
            <w:vMerge w:val="continue"/>
            <w:vAlign w:val="center"/>
          </w:tcPr>
          <w:p>
            <w:pPr>
              <w:pStyle w:val="84"/>
            </w:pPr>
          </w:p>
        </w:tc>
        <w:tc>
          <w:tcPr>
            <w:tcW w:w="1402" w:type="dxa"/>
            <w:vMerge w:val="continue"/>
            <w:vAlign w:val="center"/>
          </w:tcPr>
          <w:p>
            <w:pPr>
              <w:pStyle w:val="84"/>
            </w:pPr>
          </w:p>
        </w:tc>
        <w:tc>
          <w:tcPr>
            <w:tcW w:w="917" w:type="dxa"/>
            <w:vAlign w:val="center"/>
          </w:tcPr>
          <w:p>
            <w:pPr>
              <w:pStyle w:val="84"/>
            </w:pPr>
            <w:r>
              <w:rPr>
                <w:rFonts w:hint="eastAsia"/>
              </w:rPr>
              <w:t>COD</w:t>
            </w:r>
          </w:p>
        </w:tc>
        <w:tc>
          <w:tcPr>
            <w:tcW w:w="993" w:type="dxa"/>
            <w:vAlign w:val="center"/>
          </w:tcPr>
          <w:p>
            <w:pPr>
              <w:pStyle w:val="84"/>
            </w:pPr>
            <w:r>
              <w:rPr>
                <w:rFonts w:hint="eastAsia"/>
              </w:rPr>
              <w:t>BOD</w:t>
            </w:r>
            <w:r>
              <w:rPr>
                <w:vertAlign w:val="subscript"/>
              </w:rPr>
              <w:t>5</w:t>
            </w:r>
          </w:p>
        </w:tc>
        <w:tc>
          <w:tcPr>
            <w:tcW w:w="993" w:type="dxa"/>
            <w:vAlign w:val="center"/>
          </w:tcPr>
          <w:p>
            <w:pPr>
              <w:pStyle w:val="84"/>
            </w:pPr>
            <w:r>
              <w:rPr>
                <w:rFonts w:hint="eastAsia"/>
              </w:rPr>
              <w:t>SS</w:t>
            </w:r>
          </w:p>
        </w:tc>
        <w:tc>
          <w:tcPr>
            <w:tcW w:w="909" w:type="dxa"/>
            <w:vAlign w:val="center"/>
          </w:tcPr>
          <w:p>
            <w:pPr>
              <w:pStyle w:val="84"/>
            </w:pPr>
            <w:r>
              <w:rPr>
                <w:rFonts w:hint="eastAsia"/>
              </w:rPr>
              <w:t>NH</w:t>
            </w:r>
            <w:r>
              <w:rPr>
                <w:rFonts w:hint="eastAsia"/>
                <w:vertAlign w:val="subscript"/>
              </w:rPr>
              <w:t>3</w:t>
            </w:r>
            <w:r>
              <w:rPr>
                <w:rFonts w:hint="eastAsia"/>
              </w:rPr>
              <w:t>-N</w:t>
            </w:r>
          </w:p>
        </w:tc>
        <w:tc>
          <w:tcPr>
            <w:tcW w:w="950" w:type="dxa"/>
            <w:vAlign w:val="center"/>
          </w:tcPr>
          <w:p>
            <w:pPr>
              <w:pStyle w:val="84"/>
            </w:pPr>
            <w:r>
              <w:rPr>
                <w:rFonts w:hint="eastAsia"/>
              </w:rPr>
              <w:t>TP</w:t>
            </w:r>
          </w:p>
        </w:tc>
        <w:tc>
          <w:tcPr>
            <w:tcW w:w="478" w:type="dxa"/>
            <w:vMerge w:val="continue"/>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vAlign w:val="center"/>
          </w:tcPr>
          <w:p>
            <w:pPr>
              <w:pStyle w:val="84"/>
            </w:pPr>
            <w:r>
              <w:rPr>
                <w:rFonts w:hint="eastAsia"/>
              </w:rPr>
              <w:t>养殖</w:t>
            </w:r>
            <w:r>
              <w:t>废水</w:t>
            </w:r>
          </w:p>
        </w:tc>
        <w:tc>
          <w:tcPr>
            <w:tcW w:w="940" w:type="dxa"/>
            <w:vMerge w:val="restart"/>
            <w:vAlign w:val="center"/>
          </w:tcPr>
          <w:p>
            <w:pPr>
              <w:pStyle w:val="84"/>
            </w:pPr>
            <w:r>
              <w:t>6602.2</w:t>
            </w:r>
          </w:p>
        </w:tc>
        <w:tc>
          <w:tcPr>
            <w:tcW w:w="1402" w:type="dxa"/>
            <w:vAlign w:val="center"/>
          </w:tcPr>
          <w:p>
            <w:pPr>
              <w:pStyle w:val="84"/>
              <w:jc w:val="both"/>
            </w:pPr>
            <w:r>
              <w:rPr>
                <w:rFonts w:hint="eastAsia"/>
              </w:rPr>
              <w:t>浓度</w:t>
            </w:r>
            <w:r>
              <w:t>（</w:t>
            </w:r>
            <w:r>
              <w:rPr>
                <w:rFonts w:hint="eastAsia"/>
              </w:rPr>
              <w:t>mg/</w:t>
            </w:r>
            <w:r>
              <w:t>L）</w:t>
            </w:r>
          </w:p>
        </w:tc>
        <w:tc>
          <w:tcPr>
            <w:tcW w:w="917" w:type="dxa"/>
            <w:vAlign w:val="center"/>
          </w:tcPr>
          <w:p>
            <w:pPr>
              <w:pStyle w:val="84"/>
            </w:pPr>
            <w:r>
              <w:rPr>
                <w:rFonts w:hint="eastAsia"/>
              </w:rPr>
              <w:t>2640</w:t>
            </w:r>
          </w:p>
        </w:tc>
        <w:tc>
          <w:tcPr>
            <w:tcW w:w="993" w:type="dxa"/>
            <w:vAlign w:val="center"/>
          </w:tcPr>
          <w:p>
            <w:pPr>
              <w:pStyle w:val="84"/>
            </w:pPr>
            <w:r>
              <w:rPr>
                <w:rFonts w:hint="eastAsia"/>
              </w:rPr>
              <w:t>1200</w:t>
            </w:r>
          </w:p>
        </w:tc>
        <w:tc>
          <w:tcPr>
            <w:tcW w:w="993" w:type="dxa"/>
            <w:vAlign w:val="center"/>
          </w:tcPr>
          <w:p>
            <w:pPr>
              <w:pStyle w:val="84"/>
            </w:pPr>
            <w:r>
              <w:t>15</w:t>
            </w:r>
            <w:r>
              <w:rPr>
                <w:rFonts w:hint="eastAsia"/>
              </w:rPr>
              <w:t>00</w:t>
            </w:r>
          </w:p>
        </w:tc>
        <w:tc>
          <w:tcPr>
            <w:tcW w:w="909" w:type="dxa"/>
            <w:vAlign w:val="center"/>
          </w:tcPr>
          <w:p>
            <w:pPr>
              <w:pStyle w:val="84"/>
            </w:pPr>
            <w:r>
              <w:rPr>
                <w:rFonts w:hint="eastAsia"/>
              </w:rPr>
              <w:t>261</w:t>
            </w:r>
          </w:p>
        </w:tc>
        <w:tc>
          <w:tcPr>
            <w:tcW w:w="950" w:type="dxa"/>
            <w:vAlign w:val="center"/>
          </w:tcPr>
          <w:p>
            <w:pPr>
              <w:pStyle w:val="84"/>
            </w:pPr>
            <w:r>
              <w:rPr>
                <w:rFonts w:hint="eastAsia"/>
              </w:rPr>
              <w:t>45</w:t>
            </w:r>
          </w:p>
        </w:tc>
        <w:tc>
          <w:tcPr>
            <w:tcW w:w="478" w:type="dxa"/>
            <w:vMerge w:val="restart"/>
            <w:vAlign w:val="center"/>
          </w:tcPr>
          <w:p>
            <w:pPr>
              <w:pStyle w:val="84"/>
            </w:pPr>
            <w:r>
              <w:rPr>
                <w:rFonts w:hint="eastAsia"/>
              </w:rPr>
              <w:t>进入</w:t>
            </w:r>
            <w:r>
              <w:t>污水处理</w:t>
            </w:r>
            <w:r>
              <w:rPr>
                <w:rFonts w:hint="eastAsia"/>
              </w:rPr>
              <w:t>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vAlign w:val="center"/>
          </w:tcPr>
          <w:p>
            <w:pPr>
              <w:pStyle w:val="84"/>
            </w:pPr>
          </w:p>
        </w:tc>
        <w:tc>
          <w:tcPr>
            <w:tcW w:w="940" w:type="dxa"/>
            <w:vMerge w:val="continue"/>
            <w:vAlign w:val="center"/>
          </w:tcPr>
          <w:p>
            <w:pPr>
              <w:pStyle w:val="84"/>
            </w:pPr>
          </w:p>
        </w:tc>
        <w:tc>
          <w:tcPr>
            <w:tcW w:w="1402" w:type="dxa"/>
            <w:vAlign w:val="center"/>
          </w:tcPr>
          <w:p>
            <w:pPr>
              <w:pStyle w:val="84"/>
              <w:jc w:val="both"/>
            </w:pPr>
            <w:r>
              <w:rPr>
                <w:rFonts w:hint="eastAsia"/>
              </w:rPr>
              <w:t>产生</w:t>
            </w:r>
            <w:r>
              <w:t>量（</w:t>
            </w:r>
            <w:r>
              <w:rPr>
                <w:rFonts w:hint="eastAsia"/>
              </w:rPr>
              <w:t>t/a</w:t>
            </w:r>
            <w:r>
              <w:t>）</w:t>
            </w:r>
          </w:p>
        </w:tc>
        <w:tc>
          <w:tcPr>
            <w:tcW w:w="917" w:type="dxa"/>
            <w:vAlign w:val="center"/>
          </w:tcPr>
          <w:p>
            <w:pPr>
              <w:pStyle w:val="84"/>
            </w:pPr>
            <w:r>
              <w:t>17.43</w:t>
            </w:r>
          </w:p>
        </w:tc>
        <w:tc>
          <w:tcPr>
            <w:tcW w:w="993" w:type="dxa"/>
            <w:vAlign w:val="center"/>
          </w:tcPr>
          <w:p>
            <w:pPr>
              <w:pStyle w:val="84"/>
            </w:pPr>
            <w:r>
              <w:t>7.92</w:t>
            </w:r>
          </w:p>
        </w:tc>
        <w:tc>
          <w:tcPr>
            <w:tcW w:w="993" w:type="dxa"/>
            <w:vAlign w:val="center"/>
          </w:tcPr>
          <w:p>
            <w:pPr>
              <w:pStyle w:val="84"/>
            </w:pPr>
            <w:r>
              <w:t>9.90</w:t>
            </w:r>
          </w:p>
        </w:tc>
        <w:tc>
          <w:tcPr>
            <w:tcW w:w="909" w:type="dxa"/>
            <w:vAlign w:val="center"/>
          </w:tcPr>
          <w:p>
            <w:pPr>
              <w:pStyle w:val="84"/>
            </w:pPr>
            <w:r>
              <w:t>1.72</w:t>
            </w:r>
          </w:p>
        </w:tc>
        <w:tc>
          <w:tcPr>
            <w:tcW w:w="950" w:type="dxa"/>
            <w:vAlign w:val="center"/>
          </w:tcPr>
          <w:p>
            <w:pPr>
              <w:pStyle w:val="84"/>
            </w:pPr>
            <w:r>
              <w:t>0.30</w:t>
            </w:r>
          </w:p>
        </w:tc>
        <w:tc>
          <w:tcPr>
            <w:tcW w:w="478" w:type="dxa"/>
            <w:vMerge w:val="continue"/>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vAlign w:val="center"/>
          </w:tcPr>
          <w:p>
            <w:pPr>
              <w:pStyle w:val="84"/>
            </w:pPr>
            <w:r>
              <w:rPr>
                <w:rFonts w:hint="eastAsia"/>
              </w:rPr>
              <w:t>生活</w:t>
            </w:r>
            <w:r>
              <w:t>污水</w:t>
            </w:r>
          </w:p>
        </w:tc>
        <w:tc>
          <w:tcPr>
            <w:tcW w:w="940" w:type="dxa"/>
            <w:vMerge w:val="restart"/>
            <w:vAlign w:val="center"/>
          </w:tcPr>
          <w:p>
            <w:pPr>
              <w:pStyle w:val="84"/>
            </w:pPr>
            <w:r>
              <w:rPr>
                <w:rFonts w:hint="eastAsia"/>
              </w:rPr>
              <w:t>1062.15</w:t>
            </w:r>
          </w:p>
        </w:tc>
        <w:tc>
          <w:tcPr>
            <w:tcW w:w="1402" w:type="dxa"/>
            <w:vAlign w:val="center"/>
          </w:tcPr>
          <w:p>
            <w:pPr>
              <w:pStyle w:val="84"/>
              <w:jc w:val="both"/>
            </w:pPr>
            <w:r>
              <w:rPr>
                <w:rFonts w:hint="eastAsia"/>
              </w:rPr>
              <w:t>浓度</w:t>
            </w:r>
            <w:r>
              <w:t>（</w:t>
            </w:r>
            <w:r>
              <w:rPr>
                <w:rFonts w:hint="eastAsia"/>
              </w:rPr>
              <w:t>mg/</w:t>
            </w:r>
            <w:r>
              <w:t>L）</w:t>
            </w:r>
          </w:p>
        </w:tc>
        <w:tc>
          <w:tcPr>
            <w:tcW w:w="917" w:type="dxa"/>
            <w:vAlign w:val="center"/>
          </w:tcPr>
          <w:p>
            <w:pPr>
              <w:pStyle w:val="84"/>
            </w:pPr>
            <w:r>
              <w:rPr>
                <w:rFonts w:hint="eastAsia"/>
              </w:rPr>
              <w:t>350</w:t>
            </w:r>
          </w:p>
        </w:tc>
        <w:tc>
          <w:tcPr>
            <w:tcW w:w="993" w:type="dxa"/>
            <w:vAlign w:val="center"/>
          </w:tcPr>
          <w:p>
            <w:pPr>
              <w:pStyle w:val="84"/>
            </w:pPr>
            <w:r>
              <w:rPr>
                <w:rFonts w:hint="eastAsia"/>
              </w:rPr>
              <w:t>200</w:t>
            </w:r>
          </w:p>
        </w:tc>
        <w:tc>
          <w:tcPr>
            <w:tcW w:w="993" w:type="dxa"/>
            <w:vAlign w:val="center"/>
          </w:tcPr>
          <w:p>
            <w:pPr>
              <w:pStyle w:val="84"/>
            </w:pPr>
            <w:r>
              <w:rPr>
                <w:rFonts w:hint="eastAsia"/>
              </w:rPr>
              <w:t>200</w:t>
            </w:r>
          </w:p>
        </w:tc>
        <w:tc>
          <w:tcPr>
            <w:tcW w:w="909" w:type="dxa"/>
            <w:vAlign w:val="center"/>
          </w:tcPr>
          <w:p>
            <w:pPr>
              <w:pStyle w:val="84"/>
            </w:pPr>
            <w:r>
              <w:rPr>
                <w:rFonts w:hint="eastAsia"/>
              </w:rPr>
              <w:t>45</w:t>
            </w:r>
          </w:p>
        </w:tc>
        <w:tc>
          <w:tcPr>
            <w:tcW w:w="950" w:type="dxa"/>
            <w:vAlign w:val="center"/>
          </w:tcPr>
          <w:p>
            <w:pPr>
              <w:pStyle w:val="84"/>
            </w:pPr>
            <w:r>
              <w:rPr>
                <w:rFonts w:hint="eastAsia"/>
              </w:rPr>
              <w:t>20</w:t>
            </w:r>
          </w:p>
        </w:tc>
        <w:tc>
          <w:tcPr>
            <w:tcW w:w="478" w:type="dxa"/>
            <w:vMerge w:val="continue"/>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vAlign w:val="center"/>
          </w:tcPr>
          <w:p>
            <w:pPr>
              <w:pStyle w:val="84"/>
            </w:pPr>
          </w:p>
        </w:tc>
        <w:tc>
          <w:tcPr>
            <w:tcW w:w="940" w:type="dxa"/>
            <w:vMerge w:val="continue"/>
            <w:vAlign w:val="center"/>
          </w:tcPr>
          <w:p>
            <w:pPr>
              <w:pStyle w:val="84"/>
            </w:pPr>
          </w:p>
        </w:tc>
        <w:tc>
          <w:tcPr>
            <w:tcW w:w="1402" w:type="dxa"/>
            <w:vAlign w:val="center"/>
          </w:tcPr>
          <w:p>
            <w:pPr>
              <w:pStyle w:val="84"/>
              <w:jc w:val="both"/>
            </w:pPr>
            <w:r>
              <w:rPr>
                <w:rFonts w:hint="eastAsia"/>
              </w:rPr>
              <w:t>产生</w:t>
            </w:r>
            <w:r>
              <w:t>量（</w:t>
            </w:r>
            <w:r>
              <w:rPr>
                <w:rFonts w:hint="eastAsia"/>
              </w:rPr>
              <w:t>t/a</w:t>
            </w:r>
            <w:r>
              <w:t>）</w:t>
            </w:r>
          </w:p>
        </w:tc>
        <w:tc>
          <w:tcPr>
            <w:tcW w:w="917" w:type="dxa"/>
            <w:vAlign w:val="center"/>
          </w:tcPr>
          <w:p>
            <w:pPr>
              <w:pStyle w:val="84"/>
            </w:pPr>
            <w:r>
              <w:t>0.37</w:t>
            </w:r>
          </w:p>
        </w:tc>
        <w:tc>
          <w:tcPr>
            <w:tcW w:w="993" w:type="dxa"/>
            <w:vAlign w:val="center"/>
          </w:tcPr>
          <w:p>
            <w:pPr>
              <w:pStyle w:val="84"/>
            </w:pPr>
            <w:r>
              <w:t>0.21</w:t>
            </w:r>
          </w:p>
        </w:tc>
        <w:tc>
          <w:tcPr>
            <w:tcW w:w="993" w:type="dxa"/>
            <w:vAlign w:val="center"/>
          </w:tcPr>
          <w:p>
            <w:pPr>
              <w:pStyle w:val="84"/>
            </w:pPr>
            <w:r>
              <w:t>0.21</w:t>
            </w:r>
          </w:p>
        </w:tc>
        <w:tc>
          <w:tcPr>
            <w:tcW w:w="909" w:type="dxa"/>
            <w:vAlign w:val="center"/>
          </w:tcPr>
          <w:p>
            <w:pPr>
              <w:pStyle w:val="84"/>
            </w:pPr>
            <w:r>
              <w:t>0.05</w:t>
            </w:r>
          </w:p>
        </w:tc>
        <w:tc>
          <w:tcPr>
            <w:tcW w:w="950" w:type="dxa"/>
            <w:vAlign w:val="center"/>
          </w:tcPr>
          <w:p>
            <w:pPr>
              <w:pStyle w:val="84"/>
            </w:pPr>
            <w:r>
              <w:t>0.02</w:t>
            </w:r>
          </w:p>
        </w:tc>
        <w:tc>
          <w:tcPr>
            <w:tcW w:w="478" w:type="dxa"/>
            <w:vMerge w:val="continue"/>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restart"/>
            <w:vAlign w:val="center"/>
          </w:tcPr>
          <w:p>
            <w:pPr>
              <w:pStyle w:val="84"/>
            </w:pPr>
            <w:r>
              <w:rPr>
                <w:rFonts w:hint="eastAsia"/>
              </w:rPr>
              <w:t>混合废水</w:t>
            </w:r>
          </w:p>
        </w:tc>
        <w:tc>
          <w:tcPr>
            <w:tcW w:w="940" w:type="dxa"/>
            <w:vMerge w:val="restart"/>
            <w:vAlign w:val="center"/>
          </w:tcPr>
          <w:p>
            <w:pPr>
              <w:pStyle w:val="84"/>
            </w:pPr>
            <w:r>
              <w:t>7664.35</w:t>
            </w:r>
          </w:p>
        </w:tc>
        <w:tc>
          <w:tcPr>
            <w:tcW w:w="1402" w:type="dxa"/>
            <w:vAlign w:val="center"/>
          </w:tcPr>
          <w:p>
            <w:pPr>
              <w:pStyle w:val="84"/>
              <w:jc w:val="both"/>
            </w:pPr>
            <w:r>
              <w:rPr>
                <w:rFonts w:hint="eastAsia"/>
              </w:rPr>
              <w:t>浓度</w:t>
            </w:r>
            <w:r>
              <w:t>（</w:t>
            </w:r>
            <w:r>
              <w:rPr>
                <w:rFonts w:hint="eastAsia"/>
              </w:rPr>
              <w:t>mg/</w:t>
            </w:r>
            <w:r>
              <w:t>L）</w:t>
            </w:r>
          </w:p>
        </w:tc>
        <w:tc>
          <w:tcPr>
            <w:tcW w:w="917" w:type="dxa"/>
            <w:vAlign w:val="center"/>
          </w:tcPr>
          <w:p>
            <w:pPr>
              <w:pStyle w:val="84"/>
            </w:pPr>
            <w:r>
              <w:t>2322.64</w:t>
            </w:r>
          </w:p>
        </w:tc>
        <w:tc>
          <w:tcPr>
            <w:tcW w:w="993" w:type="dxa"/>
            <w:vAlign w:val="center"/>
          </w:tcPr>
          <w:p>
            <w:pPr>
              <w:pStyle w:val="84"/>
            </w:pPr>
            <w:r>
              <w:t>1061.42</w:t>
            </w:r>
          </w:p>
        </w:tc>
        <w:tc>
          <w:tcPr>
            <w:tcW w:w="993" w:type="dxa"/>
            <w:vAlign w:val="center"/>
          </w:tcPr>
          <w:p>
            <w:pPr>
              <w:pStyle w:val="84"/>
            </w:pPr>
            <w:r>
              <w:t>1319.84</w:t>
            </w:r>
          </w:p>
        </w:tc>
        <w:tc>
          <w:tcPr>
            <w:tcW w:w="909" w:type="dxa"/>
            <w:vAlign w:val="center"/>
          </w:tcPr>
          <w:p>
            <w:pPr>
              <w:pStyle w:val="84"/>
            </w:pPr>
            <w:r>
              <w:t>231.07</w:t>
            </w:r>
          </w:p>
        </w:tc>
        <w:tc>
          <w:tcPr>
            <w:tcW w:w="950" w:type="dxa"/>
            <w:vAlign w:val="center"/>
          </w:tcPr>
          <w:p>
            <w:pPr>
              <w:pStyle w:val="84"/>
            </w:pPr>
            <w:r>
              <w:t>41.54</w:t>
            </w:r>
          </w:p>
        </w:tc>
        <w:tc>
          <w:tcPr>
            <w:tcW w:w="478" w:type="dxa"/>
            <w:vMerge w:val="continue"/>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4" w:type="dxa"/>
            <w:vMerge w:val="continue"/>
            <w:vAlign w:val="center"/>
          </w:tcPr>
          <w:p>
            <w:pPr>
              <w:pStyle w:val="84"/>
            </w:pPr>
          </w:p>
        </w:tc>
        <w:tc>
          <w:tcPr>
            <w:tcW w:w="940" w:type="dxa"/>
            <w:vMerge w:val="continue"/>
            <w:vAlign w:val="center"/>
          </w:tcPr>
          <w:p>
            <w:pPr>
              <w:pStyle w:val="84"/>
            </w:pPr>
          </w:p>
        </w:tc>
        <w:tc>
          <w:tcPr>
            <w:tcW w:w="1402" w:type="dxa"/>
            <w:vAlign w:val="center"/>
          </w:tcPr>
          <w:p>
            <w:pPr>
              <w:pStyle w:val="84"/>
              <w:jc w:val="both"/>
            </w:pPr>
            <w:r>
              <w:rPr>
                <w:rFonts w:hint="eastAsia"/>
              </w:rPr>
              <w:t>产生</w:t>
            </w:r>
            <w:r>
              <w:t>量（</w:t>
            </w:r>
            <w:r>
              <w:rPr>
                <w:rFonts w:hint="eastAsia"/>
              </w:rPr>
              <w:t>t/a</w:t>
            </w:r>
            <w:r>
              <w:t>）</w:t>
            </w:r>
          </w:p>
        </w:tc>
        <w:tc>
          <w:tcPr>
            <w:tcW w:w="917" w:type="dxa"/>
            <w:vAlign w:val="center"/>
          </w:tcPr>
          <w:p>
            <w:pPr>
              <w:pStyle w:val="84"/>
            </w:pPr>
            <w:r>
              <w:t xml:space="preserve">17.80 </w:t>
            </w:r>
          </w:p>
        </w:tc>
        <w:tc>
          <w:tcPr>
            <w:tcW w:w="993" w:type="dxa"/>
            <w:vAlign w:val="center"/>
          </w:tcPr>
          <w:p>
            <w:pPr>
              <w:pStyle w:val="84"/>
            </w:pPr>
            <w:r>
              <w:t>8.14</w:t>
            </w:r>
          </w:p>
        </w:tc>
        <w:tc>
          <w:tcPr>
            <w:tcW w:w="993" w:type="dxa"/>
            <w:vAlign w:val="center"/>
          </w:tcPr>
          <w:p>
            <w:pPr>
              <w:pStyle w:val="84"/>
            </w:pPr>
            <w:r>
              <w:t>10.12</w:t>
            </w:r>
          </w:p>
        </w:tc>
        <w:tc>
          <w:tcPr>
            <w:tcW w:w="909" w:type="dxa"/>
            <w:vAlign w:val="center"/>
          </w:tcPr>
          <w:p>
            <w:pPr>
              <w:pStyle w:val="84"/>
            </w:pPr>
            <w:r>
              <w:t xml:space="preserve">1.77 </w:t>
            </w:r>
          </w:p>
        </w:tc>
        <w:tc>
          <w:tcPr>
            <w:tcW w:w="950" w:type="dxa"/>
            <w:vAlign w:val="center"/>
          </w:tcPr>
          <w:p>
            <w:pPr>
              <w:pStyle w:val="84"/>
            </w:pPr>
            <w:r>
              <w:t xml:space="preserve">0.32 </w:t>
            </w:r>
          </w:p>
        </w:tc>
        <w:tc>
          <w:tcPr>
            <w:tcW w:w="478" w:type="dxa"/>
            <w:vMerge w:val="continue"/>
            <w:vAlign w:val="center"/>
          </w:tcPr>
          <w:p>
            <w:pPr>
              <w:pStyle w:val="84"/>
            </w:pPr>
          </w:p>
        </w:tc>
      </w:tr>
    </w:tbl>
    <w:p>
      <w:pPr>
        <w:ind w:firstLine="480"/>
      </w:pPr>
      <w:r>
        <w:rPr>
          <w:rFonts w:hint="eastAsia"/>
        </w:rPr>
        <w:t>项目废水采用“集</w:t>
      </w:r>
      <w:r>
        <w:t>粪池</w:t>
      </w:r>
      <w:r>
        <w:rPr>
          <w:rFonts w:hint="eastAsia"/>
        </w:rPr>
        <w:t>+固液</w:t>
      </w:r>
      <w:r>
        <w:t>分离</w:t>
      </w:r>
      <w:r>
        <w:rPr>
          <w:rFonts w:hint="eastAsia"/>
        </w:rPr>
        <w:t>+厌氧</w:t>
      </w:r>
      <w:r>
        <w:t>发酵池处理</w:t>
      </w:r>
      <w:r>
        <w:rPr>
          <w:rFonts w:hint="eastAsia"/>
        </w:rPr>
        <w:t>”，项目废水处理情况表见表3.3-1</w:t>
      </w:r>
      <w:r>
        <w:t>1</w:t>
      </w:r>
      <w:r>
        <w:rPr>
          <w:rFonts w:hint="eastAsia"/>
        </w:rPr>
        <w:t>。</w:t>
      </w:r>
    </w:p>
    <w:p>
      <w:pPr>
        <w:pStyle w:val="85"/>
      </w:pPr>
      <w:bookmarkStart w:id="98" w:name="_Ref37936499"/>
      <w:r>
        <w:br w:type="column"/>
      </w:r>
      <w:r>
        <w:rPr>
          <w:rFonts w:hint="eastAsia"/>
        </w:rPr>
        <w:t>表</w:t>
      </w:r>
      <w:bookmarkEnd w:id="98"/>
      <w:r>
        <w:t xml:space="preserve">3.3-11  </w:t>
      </w:r>
      <w:r>
        <w:rPr>
          <w:rFonts w:hint="eastAsia"/>
        </w:rPr>
        <w:t>项目</w:t>
      </w:r>
      <w:r>
        <w:t>废水排放情况一览表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968"/>
        <w:gridCol w:w="945"/>
        <w:gridCol w:w="1015"/>
        <w:gridCol w:w="957"/>
        <w:gridCol w:w="958"/>
        <w:gridCol w:w="7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6" w:type="dxa"/>
            <w:vAlign w:val="center"/>
          </w:tcPr>
          <w:p>
            <w:pPr>
              <w:pStyle w:val="89"/>
              <w:ind w:left="115" w:right="170"/>
            </w:pPr>
            <w:r>
              <w:rPr>
                <w:rFonts w:hint="eastAsia"/>
              </w:rPr>
              <w:t>废水</w:t>
            </w:r>
            <w:r>
              <w:t>种类</w:t>
            </w:r>
          </w:p>
        </w:tc>
        <w:tc>
          <w:tcPr>
            <w:tcW w:w="1968" w:type="dxa"/>
            <w:vAlign w:val="center"/>
          </w:tcPr>
          <w:p>
            <w:pPr>
              <w:pStyle w:val="89"/>
              <w:ind w:left="115" w:right="170"/>
            </w:pPr>
            <w:r>
              <w:rPr>
                <w:rFonts w:hint="eastAsia"/>
              </w:rPr>
              <w:t>指标</w:t>
            </w:r>
          </w:p>
        </w:tc>
        <w:tc>
          <w:tcPr>
            <w:tcW w:w="945" w:type="dxa"/>
            <w:vAlign w:val="center"/>
          </w:tcPr>
          <w:p>
            <w:pPr>
              <w:pStyle w:val="89"/>
              <w:ind w:left="115" w:right="170"/>
            </w:pPr>
            <w:r>
              <w:rPr>
                <w:rFonts w:hint="eastAsia"/>
              </w:rPr>
              <w:t>COD</w:t>
            </w:r>
          </w:p>
        </w:tc>
        <w:tc>
          <w:tcPr>
            <w:tcW w:w="1015" w:type="dxa"/>
            <w:vAlign w:val="center"/>
          </w:tcPr>
          <w:p>
            <w:pPr>
              <w:pStyle w:val="89"/>
              <w:ind w:left="115" w:right="170"/>
            </w:pPr>
            <w:r>
              <w:rPr>
                <w:rFonts w:hint="eastAsia"/>
              </w:rPr>
              <w:t>BOD</w:t>
            </w:r>
            <w:r>
              <w:rPr>
                <w:vertAlign w:val="subscript"/>
              </w:rPr>
              <w:t>5</w:t>
            </w:r>
          </w:p>
        </w:tc>
        <w:tc>
          <w:tcPr>
            <w:tcW w:w="957" w:type="dxa"/>
            <w:vAlign w:val="center"/>
          </w:tcPr>
          <w:p>
            <w:pPr>
              <w:pStyle w:val="89"/>
              <w:ind w:left="115" w:right="170"/>
            </w:pPr>
            <w:r>
              <w:rPr>
                <w:rFonts w:hint="eastAsia"/>
              </w:rPr>
              <w:t>SS</w:t>
            </w:r>
          </w:p>
        </w:tc>
        <w:tc>
          <w:tcPr>
            <w:tcW w:w="958" w:type="dxa"/>
            <w:vAlign w:val="center"/>
          </w:tcPr>
          <w:p>
            <w:pPr>
              <w:pStyle w:val="89"/>
              <w:ind w:left="115" w:right="170"/>
            </w:pPr>
            <w:r>
              <w:rPr>
                <w:rFonts w:hint="eastAsia"/>
              </w:rPr>
              <w:t>NH</w:t>
            </w:r>
            <w:r>
              <w:rPr>
                <w:rFonts w:hint="eastAsia"/>
                <w:vertAlign w:val="subscript"/>
              </w:rPr>
              <w:t>3</w:t>
            </w:r>
            <w:r>
              <w:rPr>
                <w:rFonts w:hint="eastAsia"/>
              </w:rPr>
              <w:t>-N</w:t>
            </w:r>
          </w:p>
        </w:tc>
        <w:tc>
          <w:tcPr>
            <w:tcW w:w="747" w:type="dxa"/>
            <w:vAlign w:val="center"/>
          </w:tcPr>
          <w:p>
            <w:pPr>
              <w:pStyle w:val="89"/>
              <w:ind w:left="115" w:right="170"/>
            </w:pPr>
            <w:r>
              <w:rPr>
                <w:rFonts w:hint="eastAsia"/>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6" w:type="dxa"/>
            <w:vMerge w:val="restart"/>
            <w:vAlign w:val="center"/>
          </w:tcPr>
          <w:p>
            <w:pPr>
              <w:pStyle w:val="89"/>
              <w:ind w:left="115" w:right="170"/>
            </w:pPr>
            <w:r>
              <w:rPr>
                <w:rFonts w:hint="eastAsia"/>
              </w:rPr>
              <w:t>混合</w:t>
            </w:r>
            <w:r>
              <w:t>废水（</w:t>
            </w:r>
            <w:r>
              <w:rPr>
                <w:rFonts w:hint="eastAsia"/>
              </w:rPr>
              <w:t>处理前</w:t>
            </w:r>
            <w:r>
              <w:t>）</w:t>
            </w:r>
          </w:p>
        </w:tc>
        <w:tc>
          <w:tcPr>
            <w:tcW w:w="1968" w:type="dxa"/>
            <w:vAlign w:val="center"/>
          </w:tcPr>
          <w:p>
            <w:pPr>
              <w:pStyle w:val="89"/>
              <w:ind w:left="115" w:right="170"/>
            </w:pPr>
            <w:r>
              <w:t>浓度（</w:t>
            </w:r>
            <w:r>
              <w:rPr>
                <w:rFonts w:hint="eastAsia"/>
              </w:rPr>
              <w:t>mg/L</w:t>
            </w:r>
            <w:r>
              <w:t>）</w:t>
            </w:r>
          </w:p>
        </w:tc>
        <w:tc>
          <w:tcPr>
            <w:tcW w:w="945" w:type="dxa"/>
            <w:vAlign w:val="center"/>
          </w:tcPr>
          <w:p>
            <w:pPr>
              <w:pStyle w:val="84"/>
            </w:pPr>
            <w:r>
              <w:t>2322.64</w:t>
            </w:r>
          </w:p>
        </w:tc>
        <w:tc>
          <w:tcPr>
            <w:tcW w:w="1015" w:type="dxa"/>
            <w:vAlign w:val="center"/>
          </w:tcPr>
          <w:p>
            <w:pPr>
              <w:pStyle w:val="84"/>
            </w:pPr>
            <w:r>
              <w:t>1061.42</w:t>
            </w:r>
          </w:p>
        </w:tc>
        <w:tc>
          <w:tcPr>
            <w:tcW w:w="957" w:type="dxa"/>
            <w:vAlign w:val="center"/>
          </w:tcPr>
          <w:p>
            <w:pPr>
              <w:pStyle w:val="84"/>
            </w:pPr>
            <w:r>
              <w:t>1319.84</w:t>
            </w:r>
          </w:p>
        </w:tc>
        <w:tc>
          <w:tcPr>
            <w:tcW w:w="958" w:type="dxa"/>
            <w:vAlign w:val="center"/>
          </w:tcPr>
          <w:p>
            <w:pPr>
              <w:pStyle w:val="84"/>
            </w:pPr>
            <w:r>
              <w:t>231.07</w:t>
            </w:r>
          </w:p>
        </w:tc>
        <w:tc>
          <w:tcPr>
            <w:tcW w:w="747" w:type="dxa"/>
            <w:vAlign w:val="center"/>
          </w:tcPr>
          <w:p>
            <w:pPr>
              <w:pStyle w:val="84"/>
            </w:pPr>
            <w:r>
              <w:t>41.54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6" w:type="dxa"/>
            <w:vMerge w:val="continue"/>
            <w:vAlign w:val="center"/>
          </w:tcPr>
          <w:p>
            <w:pPr>
              <w:pStyle w:val="89"/>
              <w:ind w:left="115" w:right="170"/>
            </w:pPr>
          </w:p>
        </w:tc>
        <w:tc>
          <w:tcPr>
            <w:tcW w:w="1968" w:type="dxa"/>
            <w:vAlign w:val="center"/>
          </w:tcPr>
          <w:p>
            <w:pPr>
              <w:pStyle w:val="89"/>
              <w:ind w:left="115" w:right="170"/>
            </w:pPr>
            <w:r>
              <w:rPr>
                <w:rFonts w:hint="eastAsia"/>
              </w:rPr>
              <w:t>产生</w:t>
            </w:r>
            <w:r>
              <w:t>量（</w:t>
            </w:r>
            <w:r>
              <w:rPr>
                <w:rFonts w:hint="eastAsia"/>
              </w:rPr>
              <w:t>t/a</w:t>
            </w:r>
            <w:r>
              <w:t>）</w:t>
            </w:r>
          </w:p>
        </w:tc>
        <w:tc>
          <w:tcPr>
            <w:tcW w:w="945" w:type="dxa"/>
            <w:vAlign w:val="center"/>
          </w:tcPr>
          <w:p>
            <w:pPr>
              <w:pStyle w:val="84"/>
            </w:pPr>
            <w:r>
              <w:t xml:space="preserve">17.80 </w:t>
            </w:r>
          </w:p>
        </w:tc>
        <w:tc>
          <w:tcPr>
            <w:tcW w:w="1015" w:type="dxa"/>
            <w:vAlign w:val="center"/>
          </w:tcPr>
          <w:p>
            <w:pPr>
              <w:pStyle w:val="84"/>
            </w:pPr>
            <w:r>
              <w:t>8.14</w:t>
            </w:r>
          </w:p>
        </w:tc>
        <w:tc>
          <w:tcPr>
            <w:tcW w:w="957" w:type="dxa"/>
            <w:vAlign w:val="center"/>
          </w:tcPr>
          <w:p>
            <w:pPr>
              <w:pStyle w:val="84"/>
            </w:pPr>
            <w:r>
              <w:t>10.12</w:t>
            </w:r>
          </w:p>
        </w:tc>
        <w:tc>
          <w:tcPr>
            <w:tcW w:w="958" w:type="dxa"/>
            <w:vAlign w:val="center"/>
          </w:tcPr>
          <w:p>
            <w:pPr>
              <w:pStyle w:val="84"/>
            </w:pPr>
            <w:r>
              <w:t xml:space="preserve">1.77 </w:t>
            </w:r>
          </w:p>
        </w:tc>
        <w:tc>
          <w:tcPr>
            <w:tcW w:w="747" w:type="dxa"/>
            <w:vAlign w:val="center"/>
          </w:tcPr>
          <w:p>
            <w:pPr>
              <w:pStyle w:val="84"/>
            </w:pPr>
            <w:r>
              <w:t xml:space="preserve">0.32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654" w:type="dxa"/>
            <w:gridSpan w:val="2"/>
          </w:tcPr>
          <w:p>
            <w:pPr>
              <w:pStyle w:val="89"/>
              <w:ind w:left="115" w:right="170"/>
            </w:pPr>
            <w:r>
              <w:rPr>
                <w:rFonts w:hint="eastAsia"/>
              </w:rPr>
              <w:t>去除</w:t>
            </w:r>
            <w:r>
              <w:t>效率（</w:t>
            </w:r>
            <w:r>
              <w:rPr>
                <w:rFonts w:hint="eastAsia"/>
              </w:rPr>
              <w:t>%</w:t>
            </w:r>
            <w:r>
              <w:t>）</w:t>
            </w:r>
          </w:p>
        </w:tc>
        <w:tc>
          <w:tcPr>
            <w:tcW w:w="945" w:type="dxa"/>
            <w:vAlign w:val="center"/>
          </w:tcPr>
          <w:p>
            <w:pPr>
              <w:pStyle w:val="89"/>
              <w:ind w:left="115" w:right="170"/>
            </w:pPr>
            <w:r>
              <w:t>80</w:t>
            </w:r>
          </w:p>
        </w:tc>
        <w:tc>
          <w:tcPr>
            <w:tcW w:w="1015" w:type="dxa"/>
            <w:vAlign w:val="center"/>
          </w:tcPr>
          <w:p>
            <w:pPr>
              <w:pStyle w:val="89"/>
              <w:ind w:left="115" w:right="170"/>
              <w:rPr>
                <w:highlight w:val="yellow"/>
              </w:rPr>
            </w:pPr>
            <w:r>
              <w:t>80</w:t>
            </w:r>
          </w:p>
        </w:tc>
        <w:tc>
          <w:tcPr>
            <w:tcW w:w="957" w:type="dxa"/>
            <w:vAlign w:val="center"/>
          </w:tcPr>
          <w:p>
            <w:pPr>
              <w:pStyle w:val="89"/>
              <w:ind w:left="115" w:right="170"/>
              <w:rPr>
                <w:highlight w:val="yellow"/>
              </w:rPr>
            </w:pPr>
            <w:r>
              <w:t>87.5</w:t>
            </w:r>
          </w:p>
        </w:tc>
        <w:tc>
          <w:tcPr>
            <w:tcW w:w="958" w:type="dxa"/>
            <w:vAlign w:val="center"/>
          </w:tcPr>
          <w:p>
            <w:pPr>
              <w:pStyle w:val="89"/>
              <w:ind w:left="115" w:right="170"/>
            </w:pPr>
            <w:r>
              <w:t>30</w:t>
            </w:r>
          </w:p>
        </w:tc>
        <w:tc>
          <w:tcPr>
            <w:tcW w:w="747" w:type="dxa"/>
            <w:vAlign w:val="center"/>
          </w:tcPr>
          <w:p>
            <w:pPr>
              <w:pStyle w:val="89"/>
              <w:ind w:left="115" w:right="170"/>
            </w:pPr>
            <w: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6" w:type="dxa"/>
            <w:vMerge w:val="restart"/>
            <w:vAlign w:val="center"/>
          </w:tcPr>
          <w:p>
            <w:pPr>
              <w:pStyle w:val="89"/>
              <w:ind w:left="115" w:right="170"/>
              <w:rPr>
                <w:highlight w:val="yellow"/>
              </w:rPr>
            </w:pPr>
            <w:r>
              <w:rPr>
                <w:rFonts w:hint="eastAsia"/>
              </w:rPr>
              <w:t>混合</w:t>
            </w:r>
            <w:r>
              <w:t>废水（</w:t>
            </w:r>
            <w:r>
              <w:rPr>
                <w:rFonts w:hint="eastAsia"/>
              </w:rPr>
              <w:t>处理</w:t>
            </w:r>
            <w:r>
              <w:t>后）</w:t>
            </w:r>
          </w:p>
        </w:tc>
        <w:tc>
          <w:tcPr>
            <w:tcW w:w="1968" w:type="dxa"/>
            <w:vAlign w:val="center"/>
          </w:tcPr>
          <w:p>
            <w:pPr>
              <w:pStyle w:val="89"/>
              <w:ind w:left="115" w:right="170"/>
              <w:jc w:val="both"/>
            </w:pPr>
            <w:r>
              <w:t>浓度（</w:t>
            </w:r>
            <w:r>
              <w:rPr>
                <w:rFonts w:hint="eastAsia"/>
              </w:rPr>
              <w:t>mg/L</w:t>
            </w:r>
            <w:r>
              <w:t>）</w:t>
            </w:r>
          </w:p>
        </w:tc>
        <w:tc>
          <w:tcPr>
            <w:tcW w:w="945" w:type="dxa"/>
            <w:vAlign w:val="center"/>
          </w:tcPr>
          <w:p>
            <w:pPr>
              <w:pStyle w:val="84"/>
            </w:pPr>
            <w:r>
              <w:t>464.53</w:t>
            </w:r>
          </w:p>
        </w:tc>
        <w:tc>
          <w:tcPr>
            <w:tcW w:w="1015" w:type="dxa"/>
            <w:vAlign w:val="center"/>
          </w:tcPr>
          <w:p>
            <w:pPr>
              <w:pStyle w:val="84"/>
            </w:pPr>
            <w:r>
              <w:t>212.28</w:t>
            </w:r>
          </w:p>
        </w:tc>
        <w:tc>
          <w:tcPr>
            <w:tcW w:w="957" w:type="dxa"/>
            <w:vAlign w:val="center"/>
          </w:tcPr>
          <w:p>
            <w:pPr>
              <w:pStyle w:val="84"/>
            </w:pPr>
            <w:r>
              <w:t>164.98</w:t>
            </w:r>
          </w:p>
        </w:tc>
        <w:tc>
          <w:tcPr>
            <w:tcW w:w="958" w:type="dxa"/>
            <w:vAlign w:val="center"/>
          </w:tcPr>
          <w:p>
            <w:pPr>
              <w:pStyle w:val="84"/>
            </w:pPr>
            <w:r>
              <w:t>161.75</w:t>
            </w:r>
          </w:p>
        </w:tc>
        <w:tc>
          <w:tcPr>
            <w:tcW w:w="747" w:type="dxa"/>
            <w:vAlign w:val="center"/>
          </w:tcPr>
          <w:p>
            <w:pPr>
              <w:pStyle w:val="84"/>
            </w:pPr>
            <w:r>
              <w:t>29.08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6" w:type="dxa"/>
            <w:vMerge w:val="continue"/>
          </w:tcPr>
          <w:p>
            <w:pPr>
              <w:pStyle w:val="89"/>
              <w:ind w:left="115" w:right="170"/>
              <w:rPr>
                <w:highlight w:val="yellow"/>
              </w:rPr>
            </w:pPr>
          </w:p>
        </w:tc>
        <w:tc>
          <w:tcPr>
            <w:tcW w:w="1968" w:type="dxa"/>
            <w:vAlign w:val="center"/>
          </w:tcPr>
          <w:p>
            <w:pPr>
              <w:pStyle w:val="89"/>
              <w:ind w:left="115" w:right="170"/>
            </w:pPr>
            <w:r>
              <w:rPr>
                <w:rFonts w:hint="eastAsia"/>
              </w:rPr>
              <w:t>排放量</w:t>
            </w:r>
            <w:r>
              <w:t>（</w:t>
            </w:r>
            <w:r>
              <w:rPr>
                <w:rFonts w:hint="eastAsia"/>
              </w:rPr>
              <w:t>t/a</w:t>
            </w:r>
            <w:r>
              <w:t>）</w:t>
            </w:r>
          </w:p>
        </w:tc>
        <w:tc>
          <w:tcPr>
            <w:tcW w:w="945" w:type="dxa"/>
            <w:vAlign w:val="center"/>
          </w:tcPr>
          <w:p>
            <w:pPr>
              <w:pStyle w:val="84"/>
            </w:pPr>
            <w:r>
              <w:t>3.56</w:t>
            </w:r>
          </w:p>
        </w:tc>
        <w:tc>
          <w:tcPr>
            <w:tcW w:w="1015" w:type="dxa"/>
            <w:vAlign w:val="center"/>
          </w:tcPr>
          <w:p>
            <w:pPr>
              <w:pStyle w:val="84"/>
            </w:pPr>
            <w:r>
              <w:t>1.63</w:t>
            </w:r>
          </w:p>
        </w:tc>
        <w:tc>
          <w:tcPr>
            <w:tcW w:w="957" w:type="dxa"/>
            <w:vAlign w:val="center"/>
          </w:tcPr>
          <w:p>
            <w:pPr>
              <w:pStyle w:val="84"/>
            </w:pPr>
            <w:r>
              <w:t>1.26</w:t>
            </w:r>
          </w:p>
        </w:tc>
        <w:tc>
          <w:tcPr>
            <w:tcW w:w="958" w:type="dxa"/>
            <w:vAlign w:val="center"/>
          </w:tcPr>
          <w:p>
            <w:pPr>
              <w:pStyle w:val="84"/>
            </w:pPr>
            <w:r>
              <w:t>1.24</w:t>
            </w:r>
          </w:p>
        </w:tc>
        <w:tc>
          <w:tcPr>
            <w:tcW w:w="747" w:type="dxa"/>
            <w:vAlign w:val="center"/>
          </w:tcPr>
          <w:p>
            <w:pPr>
              <w:pStyle w:val="84"/>
            </w:pPr>
            <w:r>
              <w:t>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76" w:type="dxa"/>
            <w:gridSpan w:val="7"/>
          </w:tcPr>
          <w:p>
            <w:pPr>
              <w:pStyle w:val="89"/>
              <w:ind w:left="115" w:right="170"/>
              <w:jc w:val="both"/>
              <w:rPr>
                <w:highlight w:val="yellow"/>
              </w:rPr>
            </w:pPr>
            <w:r>
              <w:rPr>
                <w:rFonts w:hint="eastAsia"/>
              </w:rPr>
              <w:t>注：根据养殖行业预处理模式经验数据，固液分离+厌氧反应对SS去除率约为85～90%，本次</w:t>
            </w:r>
            <w:r>
              <w:t>环评取</w:t>
            </w:r>
            <w:r>
              <w:rPr>
                <w:rFonts w:hint="eastAsia"/>
              </w:rPr>
              <w:t>8</w:t>
            </w:r>
            <w:r>
              <w:t>7.5</w:t>
            </w:r>
            <w:r>
              <w:rPr>
                <w:rFonts w:hint="eastAsia"/>
              </w:rPr>
              <w:t>%，</w:t>
            </w:r>
            <w:r>
              <w:t>根据《</w:t>
            </w:r>
            <w:r>
              <w:rPr>
                <w:rFonts w:hint="eastAsia"/>
              </w:rPr>
              <w:t>规模化</w:t>
            </w:r>
            <w:r>
              <w:t>畜禽养殖场沼气工程设计规范》</w:t>
            </w:r>
            <w:r>
              <w:rPr>
                <w:rFonts w:hint="eastAsia"/>
              </w:rPr>
              <w:t>（NY/T</w:t>
            </w:r>
            <w:r>
              <w:t>1222-2006</w:t>
            </w:r>
            <w:r>
              <w:rPr>
                <w:rFonts w:hint="eastAsia"/>
              </w:rPr>
              <w:t>），厌氧</w:t>
            </w:r>
            <w:r>
              <w:t>反应</w:t>
            </w:r>
            <w:r>
              <w:rPr>
                <w:rFonts w:hint="eastAsia"/>
              </w:rPr>
              <w:t>对有机物降解率约为75～85%，</w:t>
            </w:r>
            <w:r>
              <w:t>本次环评取</w:t>
            </w:r>
            <w:r>
              <w:rPr>
                <w:rFonts w:hint="eastAsia"/>
              </w:rPr>
              <w:t>80%。</w:t>
            </w:r>
          </w:p>
        </w:tc>
      </w:tr>
    </w:tbl>
    <w:p>
      <w:pPr>
        <w:ind w:firstLine="480"/>
        <w:sectPr>
          <w:headerReference r:id="rId27" w:type="default"/>
          <w:headerReference r:id="rId28" w:type="even"/>
          <w:pgSz w:w="11906" w:h="16838"/>
          <w:pgMar w:top="1440" w:right="1800" w:bottom="1440" w:left="1800" w:header="992" w:footer="992" w:gutter="0"/>
          <w:pgNumType w:fmt="numberInDash"/>
          <w:cols w:space="425" w:num="1"/>
          <w:docGrid w:type="lines" w:linePitch="326" w:charSpace="0"/>
        </w:sectPr>
      </w:pPr>
    </w:p>
    <w:p>
      <w:pPr>
        <w:pStyle w:val="79"/>
        <w:ind w:firstLine="0" w:firstLineChars="0"/>
      </w:pPr>
      <w:bookmarkStart w:id="99" w:name="_Ref26284752"/>
      <w:r>
        <w:rPr>
          <w:rFonts w:hint="eastAsia"/>
        </w:rPr>
        <w:t>项目</w:t>
      </w:r>
      <w:r>
        <w:t>废水污染源源强核算表见</w:t>
      </w:r>
      <w:r>
        <w:rPr>
          <w:rFonts w:hint="eastAsia"/>
        </w:rPr>
        <w:t>表3.3-1</w:t>
      </w:r>
      <w:r>
        <w:t>2</w:t>
      </w:r>
      <w:r>
        <w:rPr>
          <w:rFonts w:hint="eastAsia"/>
        </w:rPr>
        <w:t>。</w:t>
      </w:r>
    </w:p>
    <w:p>
      <w:pPr>
        <w:pStyle w:val="85"/>
        <w:ind w:firstLine="360"/>
        <w:rPr>
          <w:rFonts w:hAnsi="Times New Roman"/>
          <w:sz w:val="20"/>
          <w:szCs w:val="20"/>
        </w:rPr>
      </w:pPr>
      <w:r>
        <w:rPr>
          <w:rFonts w:hAnsi="Times New Roman"/>
        </w:rPr>
        <w:t>表</w:t>
      </w:r>
      <w:bookmarkEnd w:id="99"/>
      <w:r>
        <w:rPr>
          <w:rFonts w:hAnsi="Times New Roman"/>
        </w:rPr>
        <w:t xml:space="preserve">3.3-12  </w:t>
      </w:r>
      <w:r>
        <w:rPr>
          <w:rFonts w:hAnsi="Times New Roman"/>
          <w:szCs w:val="21"/>
        </w:rPr>
        <w:t>废水污染源源强核算结果及相关参数一览表</w:t>
      </w:r>
    </w:p>
    <w:tbl>
      <w:tblPr>
        <w:tblStyle w:val="27"/>
        <w:tblW w:w="139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
        <w:gridCol w:w="839"/>
        <w:gridCol w:w="661"/>
        <w:gridCol w:w="787"/>
        <w:gridCol w:w="633"/>
        <w:gridCol w:w="1021"/>
        <w:gridCol w:w="1091"/>
        <w:gridCol w:w="846"/>
        <w:gridCol w:w="1954"/>
        <w:gridCol w:w="945"/>
        <w:gridCol w:w="737"/>
        <w:gridCol w:w="1079"/>
        <w:gridCol w:w="1091"/>
        <w:gridCol w:w="867"/>
        <w:gridCol w:w="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636" w:type="dxa"/>
            <w:vMerge w:val="restart"/>
            <w:shd w:val="clear" w:color="auto" w:fill="auto"/>
            <w:vAlign w:val="center"/>
          </w:tcPr>
          <w:p>
            <w:pPr>
              <w:pStyle w:val="89"/>
            </w:pPr>
            <w:r>
              <w:t>工序</w:t>
            </w:r>
          </w:p>
        </w:tc>
        <w:tc>
          <w:tcPr>
            <w:tcW w:w="839" w:type="dxa"/>
            <w:vMerge w:val="restart"/>
            <w:shd w:val="clear" w:color="auto" w:fill="auto"/>
            <w:vAlign w:val="center"/>
          </w:tcPr>
          <w:p>
            <w:pPr>
              <w:pStyle w:val="89"/>
            </w:pPr>
            <w:r>
              <w:t>装置</w:t>
            </w:r>
          </w:p>
        </w:tc>
        <w:tc>
          <w:tcPr>
            <w:tcW w:w="661" w:type="dxa"/>
            <w:vMerge w:val="restart"/>
            <w:shd w:val="clear" w:color="auto" w:fill="auto"/>
            <w:vAlign w:val="center"/>
          </w:tcPr>
          <w:p>
            <w:pPr>
              <w:pStyle w:val="89"/>
            </w:pPr>
            <w:r>
              <w:t>污染源</w:t>
            </w:r>
          </w:p>
        </w:tc>
        <w:tc>
          <w:tcPr>
            <w:tcW w:w="787" w:type="dxa"/>
            <w:vMerge w:val="restart"/>
            <w:shd w:val="clear" w:color="auto" w:fill="auto"/>
            <w:vAlign w:val="center"/>
          </w:tcPr>
          <w:p>
            <w:pPr>
              <w:pStyle w:val="89"/>
            </w:pPr>
            <w:r>
              <w:t>污染物</w:t>
            </w:r>
          </w:p>
        </w:tc>
        <w:tc>
          <w:tcPr>
            <w:tcW w:w="3591" w:type="dxa"/>
            <w:gridSpan w:val="4"/>
            <w:shd w:val="clear" w:color="auto" w:fill="auto"/>
            <w:vAlign w:val="center"/>
          </w:tcPr>
          <w:p>
            <w:pPr>
              <w:pStyle w:val="89"/>
            </w:pPr>
            <w:r>
              <w:t>污染物产生</w:t>
            </w:r>
          </w:p>
        </w:tc>
        <w:tc>
          <w:tcPr>
            <w:tcW w:w="2899" w:type="dxa"/>
            <w:gridSpan w:val="2"/>
            <w:shd w:val="clear" w:color="auto" w:fill="auto"/>
            <w:vAlign w:val="center"/>
          </w:tcPr>
          <w:p>
            <w:pPr>
              <w:pStyle w:val="89"/>
            </w:pPr>
            <w:r>
              <w:t>治理措施</w:t>
            </w:r>
          </w:p>
        </w:tc>
        <w:tc>
          <w:tcPr>
            <w:tcW w:w="3774" w:type="dxa"/>
            <w:gridSpan w:val="4"/>
            <w:shd w:val="clear" w:color="auto" w:fill="auto"/>
            <w:vAlign w:val="center"/>
          </w:tcPr>
          <w:p>
            <w:pPr>
              <w:pStyle w:val="89"/>
            </w:pPr>
            <w:r>
              <w:t>污染物排放</w:t>
            </w:r>
          </w:p>
        </w:tc>
        <w:tc>
          <w:tcPr>
            <w:tcW w:w="741" w:type="dxa"/>
            <w:vMerge w:val="restart"/>
            <w:shd w:val="clear" w:color="auto" w:fill="auto"/>
            <w:vAlign w:val="center"/>
          </w:tcPr>
          <w:p>
            <w:pPr>
              <w:pStyle w:val="89"/>
            </w:pPr>
            <w:r>
              <w:t>排放</w:t>
            </w:r>
          </w:p>
          <w:p>
            <w:pPr>
              <w:pStyle w:val="89"/>
            </w:pPr>
            <w:r>
              <w:t>时间</w:t>
            </w:r>
            <w:r>
              <w:rPr>
                <w:rFonts w:hint="eastAsia"/>
              </w:rPr>
              <w:t>（</w:t>
            </w:r>
            <w:r>
              <w:t>h</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36" w:type="dxa"/>
            <w:vMerge w:val="continue"/>
            <w:shd w:val="clear" w:color="auto" w:fill="auto"/>
            <w:vAlign w:val="center"/>
          </w:tcPr>
          <w:p>
            <w:pPr>
              <w:pStyle w:val="89"/>
            </w:pPr>
          </w:p>
        </w:tc>
        <w:tc>
          <w:tcPr>
            <w:tcW w:w="839" w:type="dxa"/>
            <w:vMerge w:val="continue"/>
            <w:shd w:val="clear" w:color="auto" w:fill="auto"/>
            <w:vAlign w:val="center"/>
          </w:tcPr>
          <w:p>
            <w:pPr>
              <w:pStyle w:val="89"/>
            </w:pPr>
          </w:p>
        </w:tc>
        <w:tc>
          <w:tcPr>
            <w:tcW w:w="661" w:type="dxa"/>
            <w:vMerge w:val="continue"/>
            <w:shd w:val="clear" w:color="auto" w:fill="auto"/>
            <w:vAlign w:val="center"/>
          </w:tcPr>
          <w:p>
            <w:pPr>
              <w:pStyle w:val="89"/>
            </w:pPr>
          </w:p>
        </w:tc>
        <w:tc>
          <w:tcPr>
            <w:tcW w:w="787" w:type="dxa"/>
            <w:vMerge w:val="continue"/>
            <w:shd w:val="clear" w:color="auto" w:fill="auto"/>
            <w:vAlign w:val="center"/>
          </w:tcPr>
          <w:p>
            <w:pPr>
              <w:pStyle w:val="89"/>
            </w:pPr>
          </w:p>
        </w:tc>
        <w:tc>
          <w:tcPr>
            <w:tcW w:w="633" w:type="dxa"/>
            <w:shd w:val="clear" w:color="auto" w:fill="auto"/>
            <w:vAlign w:val="center"/>
          </w:tcPr>
          <w:p>
            <w:pPr>
              <w:pStyle w:val="89"/>
            </w:pPr>
            <w:r>
              <w:t>核算方法</w:t>
            </w:r>
          </w:p>
        </w:tc>
        <w:tc>
          <w:tcPr>
            <w:tcW w:w="1021" w:type="dxa"/>
            <w:shd w:val="clear" w:color="auto" w:fill="auto"/>
            <w:vAlign w:val="center"/>
          </w:tcPr>
          <w:p>
            <w:pPr>
              <w:pStyle w:val="89"/>
            </w:pPr>
            <w:r>
              <w:t>产生废水量</w:t>
            </w:r>
            <w:r>
              <w:rPr>
                <w:rFonts w:hint="eastAsia"/>
              </w:rPr>
              <w:t>（</w:t>
            </w:r>
            <w:r>
              <w:t>m</w:t>
            </w:r>
            <w:r>
              <w:rPr>
                <w:vertAlign w:val="superscript"/>
              </w:rPr>
              <w:t>3</w:t>
            </w:r>
            <w:r>
              <w:t>/a</w:t>
            </w:r>
            <w:r>
              <w:rPr>
                <w:rFonts w:hint="eastAsia"/>
              </w:rPr>
              <w:t>）</w:t>
            </w:r>
          </w:p>
        </w:tc>
        <w:tc>
          <w:tcPr>
            <w:tcW w:w="1091" w:type="dxa"/>
            <w:shd w:val="clear" w:color="auto" w:fill="auto"/>
            <w:vAlign w:val="center"/>
          </w:tcPr>
          <w:p>
            <w:pPr>
              <w:pStyle w:val="89"/>
            </w:pPr>
            <w:r>
              <w:t>产生浓度</w:t>
            </w:r>
            <w:r>
              <w:rPr>
                <w:rFonts w:hint="eastAsia"/>
              </w:rPr>
              <w:t>（</w:t>
            </w:r>
            <w:r>
              <w:t>mg/L</w:t>
            </w:r>
            <w:r>
              <w:rPr>
                <w:rFonts w:hint="eastAsia"/>
              </w:rPr>
              <w:t>）</w:t>
            </w:r>
          </w:p>
        </w:tc>
        <w:tc>
          <w:tcPr>
            <w:tcW w:w="846" w:type="dxa"/>
            <w:shd w:val="clear" w:color="auto" w:fill="auto"/>
            <w:vAlign w:val="center"/>
          </w:tcPr>
          <w:p>
            <w:pPr>
              <w:pStyle w:val="89"/>
            </w:pPr>
            <w:r>
              <w:t>产生量</w:t>
            </w:r>
            <w:r>
              <w:rPr>
                <w:rFonts w:hint="eastAsia"/>
              </w:rPr>
              <w:t>（</w:t>
            </w:r>
            <w:r>
              <w:t>t/a</w:t>
            </w:r>
            <w:r>
              <w:rPr>
                <w:rFonts w:hint="eastAsia"/>
              </w:rPr>
              <w:t>）</w:t>
            </w:r>
          </w:p>
        </w:tc>
        <w:tc>
          <w:tcPr>
            <w:tcW w:w="1954" w:type="dxa"/>
            <w:shd w:val="clear" w:color="auto" w:fill="auto"/>
            <w:vAlign w:val="center"/>
          </w:tcPr>
          <w:p>
            <w:pPr>
              <w:pStyle w:val="89"/>
            </w:pPr>
            <w:r>
              <w:t>工艺</w:t>
            </w:r>
          </w:p>
        </w:tc>
        <w:tc>
          <w:tcPr>
            <w:tcW w:w="945" w:type="dxa"/>
            <w:shd w:val="clear" w:color="auto" w:fill="auto"/>
            <w:vAlign w:val="center"/>
          </w:tcPr>
          <w:p>
            <w:pPr>
              <w:pStyle w:val="89"/>
            </w:pPr>
            <w:r>
              <w:t>综合处理效率</w:t>
            </w:r>
            <w:r>
              <w:rPr>
                <w:rFonts w:hint="eastAsia"/>
              </w:rPr>
              <w:t>（</w:t>
            </w:r>
            <w:r>
              <w:t>%</w:t>
            </w:r>
            <w:r>
              <w:rPr>
                <w:rFonts w:hint="eastAsia"/>
              </w:rPr>
              <w:t>）</w:t>
            </w:r>
          </w:p>
        </w:tc>
        <w:tc>
          <w:tcPr>
            <w:tcW w:w="737" w:type="dxa"/>
            <w:shd w:val="clear" w:color="auto" w:fill="auto"/>
            <w:vAlign w:val="center"/>
          </w:tcPr>
          <w:p>
            <w:pPr>
              <w:pStyle w:val="89"/>
            </w:pPr>
            <w:r>
              <w:t>核算方法</w:t>
            </w:r>
          </w:p>
        </w:tc>
        <w:tc>
          <w:tcPr>
            <w:tcW w:w="1079" w:type="dxa"/>
            <w:shd w:val="clear" w:color="auto" w:fill="auto"/>
            <w:vAlign w:val="center"/>
          </w:tcPr>
          <w:p>
            <w:pPr>
              <w:pStyle w:val="89"/>
            </w:pPr>
            <w:r>
              <w:t>排放废水量（m</w:t>
            </w:r>
            <w:r>
              <w:rPr>
                <w:vertAlign w:val="superscript"/>
              </w:rPr>
              <w:t>3</w:t>
            </w:r>
            <w:r>
              <w:t>/a）</w:t>
            </w:r>
          </w:p>
        </w:tc>
        <w:tc>
          <w:tcPr>
            <w:tcW w:w="1091" w:type="dxa"/>
            <w:shd w:val="clear" w:color="auto" w:fill="auto"/>
            <w:vAlign w:val="center"/>
          </w:tcPr>
          <w:p>
            <w:pPr>
              <w:pStyle w:val="89"/>
            </w:pPr>
            <w:r>
              <w:t>排放浓度</w:t>
            </w:r>
            <w:r>
              <w:rPr>
                <w:rFonts w:hint="eastAsia"/>
              </w:rPr>
              <w:t>（</w:t>
            </w:r>
            <w:r>
              <w:t>mg/L</w:t>
            </w:r>
            <w:r>
              <w:rPr>
                <w:rFonts w:hint="eastAsia"/>
              </w:rPr>
              <w:t>）</w:t>
            </w:r>
          </w:p>
        </w:tc>
        <w:tc>
          <w:tcPr>
            <w:tcW w:w="867" w:type="dxa"/>
            <w:shd w:val="clear" w:color="auto" w:fill="auto"/>
            <w:vAlign w:val="center"/>
          </w:tcPr>
          <w:p>
            <w:pPr>
              <w:pStyle w:val="89"/>
            </w:pPr>
            <w:r>
              <w:t>排放量</w:t>
            </w:r>
            <w:r>
              <w:rPr>
                <w:rFonts w:hint="eastAsia"/>
              </w:rPr>
              <w:t>（</w:t>
            </w:r>
            <w:r>
              <w:t>t/a</w:t>
            </w:r>
            <w:r>
              <w:rPr>
                <w:rFonts w:hint="eastAsia"/>
              </w:rPr>
              <w:t>）</w:t>
            </w:r>
          </w:p>
        </w:tc>
        <w:tc>
          <w:tcPr>
            <w:tcW w:w="741" w:type="dxa"/>
            <w:vMerge w:val="continue"/>
            <w:shd w:val="clear" w:color="auto" w:fill="auto"/>
            <w:vAlign w:val="center"/>
          </w:tcPr>
          <w:p>
            <w:pPr>
              <w:pStyle w:val="8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36" w:type="dxa"/>
            <w:vMerge w:val="restart"/>
            <w:shd w:val="clear" w:color="auto" w:fill="auto"/>
            <w:vAlign w:val="center"/>
          </w:tcPr>
          <w:p>
            <w:pPr>
              <w:pStyle w:val="89"/>
            </w:pPr>
            <w:r>
              <w:rPr>
                <w:rFonts w:hint="eastAsia"/>
              </w:rPr>
              <w:t>养殖、员工</w:t>
            </w:r>
            <w:r>
              <w:t>生活</w:t>
            </w:r>
          </w:p>
        </w:tc>
        <w:tc>
          <w:tcPr>
            <w:tcW w:w="839" w:type="dxa"/>
            <w:vMerge w:val="restart"/>
            <w:shd w:val="clear" w:color="auto" w:fill="auto"/>
            <w:vAlign w:val="center"/>
          </w:tcPr>
          <w:p>
            <w:pPr>
              <w:pStyle w:val="89"/>
            </w:pPr>
            <w:r>
              <w:rPr>
                <w:rFonts w:hint="eastAsia"/>
              </w:rPr>
              <w:t>猪舍</w:t>
            </w:r>
            <w:r>
              <w:t>、员工生活</w:t>
            </w:r>
          </w:p>
        </w:tc>
        <w:tc>
          <w:tcPr>
            <w:tcW w:w="661" w:type="dxa"/>
            <w:vMerge w:val="restart"/>
            <w:shd w:val="clear" w:color="auto" w:fill="auto"/>
            <w:vAlign w:val="center"/>
          </w:tcPr>
          <w:p>
            <w:pPr>
              <w:pStyle w:val="89"/>
            </w:pPr>
            <w:r>
              <w:rPr>
                <w:rFonts w:hint="eastAsia"/>
              </w:rPr>
              <w:t>猪尿</w:t>
            </w:r>
            <w:r>
              <w:t>、猪舍冲洗、员工生活</w:t>
            </w:r>
          </w:p>
        </w:tc>
        <w:tc>
          <w:tcPr>
            <w:tcW w:w="787" w:type="dxa"/>
            <w:shd w:val="clear" w:color="auto" w:fill="auto"/>
            <w:vAlign w:val="center"/>
          </w:tcPr>
          <w:p>
            <w:pPr>
              <w:pStyle w:val="89"/>
            </w:pPr>
            <w:r>
              <w:t>COD</w:t>
            </w:r>
          </w:p>
        </w:tc>
        <w:tc>
          <w:tcPr>
            <w:tcW w:w="633" w:type="dxa"/>
            <w:vMerge w:val="restart"/>
            <w:shd w:val="clear" w:color="auto" w:fill="auto"/>
            <w:vAlign w:val="center"/>
          </w:tcPr>
          <w:p>
            <w:pPr>
              <w:pStyle w:val="89"/>
            </w:pPr>
            <w:r>
              <w:t>类</w:t>
            </w:r>
          </w:p>
          <w:p>
            <w:pPr>
              <w:pStyle w:val="89"/>
            </w:pPr>
            <w:r>
              <w:t>比</w:t>
            </w:r>
          </w:p>
          <w:p>
            <w:pPr>
              <w:pStyle w:val="89"/>
            </w:pPr>
            <w:r>
              <w:t>法</w:t>
            </w:r>
          </w:p>
        </w:tc>
        <w:tc>
          <w:tcPr>
            <w:tcW w:w="1021" w:type="dxa"/>
            <w:vMerge w:val="restart"/>
            <w:shd w:val="clear" w:color="auto" w:fill="auto"/>
            <w:vAlign w:val="center"/>
          </w:tcPr>
          <w:p>
            <w:pPr>
              <w:pStyle w:val="89"/>
            </w:pPr>
            <w:r>
              <w:t>7664.35</w:t>
            </w:r>
          </w:p>
        </w:tc>
        <w:tc>
          <w:tcPr>
            <w:tcW w:w="1091" w:type="dxa"/>
            <w:shd w:val="clear" w:color="auto" w:fill="auto"/>
            <w:vAlign w:val="center"/>
          </w:tcPr>
          <w:p>
            <w:pPr>
              <w:pStyle w:val="89"/>
            </w:pPr>
            <w:r>
              <w:rPr>
                <w:rFonts w:hAnsi="宋体"/>
              </w:rPr>
              <w:t>2322.64</w:t>
            </w:r>
          </w:p>
        </w:tc>
        <w:tc>
          <w:tcPr>
            <w:tcW w:w="846" w:type="dxa"/>
            <w:shd w:val="clear" w:color="auto" w:fill="auto"/>
            <w:vAlign w:val="center"/>
          </w:tcPr>
          <w:p>
            <w:pPr>
              <w:pStyle w:val="89"/>
              <w:rPr>
                <w:sz w:val="22"/>
              </w:rPr>
            </w:pPr>
            <w:r>
              <w:rPr>
                <w:rFonts w:hAnsi="宋体"/>
              </w:rPr>
              <w:t>17.80</w:t>
            </w:r>
          </w:p>
        </w:tc>
        <w:tc>
          <w:tcPr>
            <w:tcW w:w="1954" w:type="dxa"/>
            <w:vMerge w:val="restart"/>
            <w:shd w:val="clear" w:color="auto" w:fill="auto"/>
            <w:vAlign w:val="center"/>
          </w:tcPr>
          <w:p>
            <w:pPr>
              <w:pStyle w:val="89"/>
            </w:pPr>
            <w:r>
              <w:rPr>
                <w:rFonts w:hint="eastAsia"/>
              </w:rPr>
              <w:t>生活</w:t>
            </w:r>
            <w:r>
              <w:t>污水经化粪池预处理后排入污水处理系统处理，污水处理系统</w:t>
            </w:r>
            <w:r>
              <w:rPr>
                <w:rFonts w:hint="eastAsia"/>
              </w:rPr>
              <w:t>采用“集</w:t>
            </w:r>
            <w:r>
              <w:t>粪池</w:t>
            </w:r>
            <w:r>
              <w:rPr>
                <w:rFonts w:hint="eastAsia"/>
              </w:rPr>
              <w:t>+固液</w:t>
            </w:r>
            <w:r>
              <w:t>分离</w:t>
            </w:r>
            <w:r>
              <w:rPr>
                <w:rFonts w:hint="eastAsia"/>
              </w:rPr>
              <w:t>+厌氧</w:t>
            </w:r>
            <w:r>
              <w:t>发酵池处理</w:t>
            </w:r>
            <w:r>
              <w:rPr>
                <w:rFonts w:hint="eastAsia"/>
              </w:rPr>
              <w:t>”工艺</w:t>
            </w:r>
          </w:p>
        </w:tc>
        <w:tc>
          <w:tcPr>
            <w:tcW w:w="945" w:type="dxa"/>
            <w:shd w:val="clear" w:color="auto" w:fill="auto"/>
            <w:vAlign w:val="center"/>
          </w:tcPr>
          <w:p>
            <w:pPr>
              <w:pStyle w:val="89"/>
            </w:pPr>
            <w:r>
              <w:rPr>
                <w:rFonts w:hint="eastAsia"/>
              </w:rPr>
              <w:t>80</w:t>
            </w:r>
          </w:p>
        </w:tc>
        <w:tc>
          <w:tcPr>
            <w:tcW w:w="737" w:type="dxa"/>
            <w:vMerge w:val="restart"/>
            <w:shd w:val="clear" w:color="auto" w:fill="auto"/>
            <w:vAlign w:val="center"/>
          </w:tcPr>
          <w:p>
            <w:pPr>
              <w:pStyle w:val="89"/>
            </w:pPr>
            <w:r>
              <w:t>类</w:t>
            </w:r>
          </w:p>
          <w:p>
            <w:pPr>
              <w:pStyle w:val="89"/>
            </w:pPr>
            <w:r>
              <w:t>比</w:t>
            </w:r>
          </w:p>
          <w:p>
            <w:pPr>
              <w:pStyle w:val="89"/>
            </w:pPr>
            <w:r>
              <w:t>法</w:t>
            </w:r>
          </w:p>
        </w:tc>
        <w:tc>
          <w:tcPr>
            <w:tcW w:w="1079" w:type="dxa"/>
            <w:vMerge w:val="restart"/>
            <w:shd w:val="clear" w:color="auto" w:fill="auto"/>
            <w:vAlign w:val="center"/>
          </w:tcPr>
          <w:p>
            <w:pPr>
              <w:pStyle w:val="89"/>
            </w:pPr>
            <w:r>
              <w:t>7664.35</w:t>
            </w:r>
          </w:p>
        </w:tc>
        <w:tc>
          <w:tcPr>
            <w:tcW w:w="1091" w:type="dxa"/>
            <w:shd w:val="clear" w:color="auto" w:fill="auto"/>
            <w:vAlign w:val="center"/>
          </w:tcPr>
          <w:p>
            <w:pPr>
              <w:pStyle w:val="89"/>
            </w:pPr>
            <w:r>
              <w:rPr>
                <w:rFonts w:hint="eastAsia"/>
              </w:rPr>
              <w:t>464.53</w:t>
            </w:r>
          </w:p>
        </w:tc>
        <w:tc>
          <w:tcPr>
            <w:tcW w:w="867" w:type="dxa"/>
            <w:shd w:val="clear" w:color="auto" w:fill="auto"/>
            <w:vAlign w:val="center"/>
          </w:tcPr>
          <w:p>
            <w:pPr>
              <w:pStyle w:val="89"/>
            </w:pPr>
            <w:r>
              <w:rPr>
                <w:rFonts w:hint="eastAsia"/>
              </w:rPr>
              <w:t>3.56</w:t>
            </w:r>
          </w:p>
        </w:tc>
        <w:tc>
          <w:tcPr>
            <w:tcW w:w="741" w:type="dxa"/>
            <w:vMerge w:val="restart"/>
            <w:shd w:val="clear" w:color="auto" w:fill="auto"/>
            <w:vAlign w:val="center"/>
          </w:tcPr>
          <w:p>
            <w:pPr>
              <w:pStyle w:val="89"/>
            </w:pPr>
            <w:r>
              <w:rPr>
                <w:rFonts w:hint="eastAsia"/>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36" w:type="dxa"/>
            <w:vMerge w:val="continue"/>
            <w:shd w:val="clear" w:color="auto" w:fill="auto"/>
            <w:vAlign w:val="center"/>
          </w:tcPr>
          <w:p>
            <w:pPr>
              <w:pStyle w:val="89"/>
            </w:pPr>
          </w:p>
        </w:tc>
        <w:tc>
          <w:tcPr>
            <w:tcW w:w="839" w:type="dxa"/>
            <w:vMerge w:val="continue"/>
            <w:shd w:val="clear" w:color="auto" w:fill="auto"/>
            <w:vAlign w:val="center"/>
          </w:tcPr>
          <w:p>
            <w:pPr>
              <w:pStyle w:val="89"/>
            </w:pPr>
          </w:p>
        </w:tc>
        <w:tc>
          <w:tcPr>
            <w:tcW w:w="661" w:type="dxa"/>
            <w:vMerge w:val="continue"/>
            <w:shd w:val="clear" w:color="auto" w:fill="auto"/>
            <w:vAlign w:val="center"/>
          </w:tcPr>
          <w:p>
            <w:pPr>
              <w:pStyle w:val="89"/>
            </w:pPr>
          </w:p>
        </w:tc>
        <w:tc>
          <w:tcPr>
            <w:tcW w:w="787" w:type="dxa"/>
            <w:shd w:val="clear" w:color="auto" w:fill="auto"/>
            <w:vAlign w:val="center"/>
          </w:tcPr>
          <w:p>
            <w:pPr>
              <w:pStyle w:val="89"/>
            </w:pPr>
            <w:r>
              <w:t>BOD</w:t>
            </w:r>
            <w:r>
              <w:rPr>
                <w:vertAlign w:val="subscript"/>
              </w:rPr>
              <w:t>5</w:t>
            </w:r>
          </w:p>
        </w:tc>
        <w:tc>
          <w:tcPr>
            <w:tcW w:w="633" w:type="dxa"/>
            <w:vMerge w:val="continue"/>
            <w:shd w:val="clear" w:color="auto" w:fill="auto"/>
            <w:vAlign w:val="center"/>
          </w:tcPr>
          <w:p>
            <w:pPr>
              <w:pStyle w:val="89"/>
            </w:pPr>
          </w:p>
        </w:tc>
        <w:tc>
          <w:tcPr>
            <w:tcW w:w="1021" w:type="dxa"/>
            <w:vMerge w:val="continue"/>
            <w:shd w:val="clear" w:color="auto" w:fill="auto"/>
            <w:vAlign w:val="center"/>
          </w:tcPr>
          <w:p>
            <w:pPr>
              <w:pStyle w:val="89"/>
            </w:pPr>
          </w:p>
        </w:tc>
        <w:tc>
          <w:tcPr>
            <w:tcW w:w="1091" w:type="dxa"/>
            <w:shd w:val="clear" w:color="auto" w:fill="auto"/>
            <w:vAlign w:val="center"/>
          </w:tcPr>
          <w:p>
            <w:pPr>
              <w:pStyle w:val="89"/>
            </w:pPr>
            <w:r>
              <w:rPr>
                <w:rFonts w:hint="eastAsia"/>
              </w:rPr>
              <w:t>1061.42</w:t>
            </w:r>
          </w:p>
        </w:tc>
        <w:tc>
          <w:tcPr>
            <w:tcW w:w="846" w:type="dxa"/>
            <w:shd w:val="clear" w:color="auto" w:fill="auto"/>
            <w:vAlign w:val="center"/>
          </w:tcPr>
          <w:p>
            <w:pPr>
              <w:pStyle w:val="89"/>
              <w:rPr>
                <w:sz w:val="22"/>
              </w:rPr>
            </w:pPr>
            <w:r>
              <w:rPr>
                <w:rFonts w:hAnsi="宋体"/>
              </w:rPr>
              <w:t>8.14</w:t>
            </w:r>
          </w:p>
        </w:tc>
        <w:tc>
          <w:tcPr>
            <w:tcW w:w="1954" w:type="dxa"/>
            <w:vMerge w:val="continue"/>
            <w:shd w:val="clear" w:color="auto" w:fill="auto"/>
            <w:vAlign w:val="center"/>
          </w:tcPr>
          <w:p>
            <w:pPr>
              <w:pStyle w:val="89"/>
            </w:pPr>
          </w:p>
        </w:tc>
        <w:tc>
          <w:tcPr>
            <w:tcW w:w="945" w:type="dxa"/>
            <w:shd w:val="clear" w:color="auto" w:fill="auto"/>
            <w:vAlign w:val="center"/>
          </w:tcPr>
          <w:p>
            <w:pPr>
              <w:pStyle w:val="89"/>
            </w:pPr>
            <w:r>
              <w:rPr>
                <w:rFonts w:hint="eastAsia"/>
              </w:rPr>
              <w:t>80</w:t>
            </w:r>
          </w:p>
        </w:tc>
        <w:tc>
          <w:tcPr>
            <w:tcW w:w="737" w:type="dxa"/>
            <w:vMerge w:val="continue"/>
            <w:shd w:val="clear" w:color="auto" w:fill="auto"/>
            <w:vAlign w:val="center"/>
          </w:tcPr>
          <w:p>
            <w:pPr>
              <w:pStyle w:val="89"/>
            </w:pPr>
          </w:p>
        </w:tc>
        <w:tc>
          <w:tcPr>
            <w:tcW w:w="1079" w:type="dxa"/>
            <w:vMerge w:val="continue"/>
            <w:shd w:val="clear" w:color="auto" w:fill="auto"/>
            <w:vAlign w:val="center"/>
          </w:tcPr>
          <w:p>
            <w:pPr>
              <w:pStyle w:val="89"/>
            </w:pPr>
          </w:p>
        </w:tc>
        <w:tc>
          <w:tcPr>
            <w:tcW w:w="1091" w:type="dxa"/>
            <w:shd w:val="clear" w:color="auto" w:fill="auto"/>
            <w:vAlign w:val="center"/>
          </w:tcPr>
          <w:p>
            <w:pPr>
              <w:pStyle w:val="89"/>
            </w:pPr>
            <w:r>
              <w:rPr>
                <w:rFonts w:hint="eastAsia"/>
              </w:rPr>
              <w:t>212.28</w:t>
            </w:r>
          </w:p>
        </w:tc>
        <w:tc>
          <w:tcPr>
            <w:tcW w:w="867" w:type="dxa"/>
            <w:shd w:val="clear" w:color="auto" w:fill="auto"/>
            <w:vAlign w:val="center"/>
          </w:tcPr>
          <w:p>
            <w:pPr>
              <w:pStyle w:val="89"/>
            </w:pPr>
            <w:r>
              <w:rPr>
                <w:rFonts w:hint="eastAsia"/>
              </w:rPr>
              <w:t>1.63</w:t>
            </w:r>
          </w:p>
        </w:tc>
        <w:tc>
          <w:tcPr>
            <w:tcW w:w="741" w:type="dxa"/>
            <w:vMerge w:val="continue"/>
            <w:shd w:val="clear" w:color="auto" w:fill="auto"/>
            <w:vAlign w:val="center"/>
          </w:tcPr>
          <w:p>
            <w:pPr>
              <w:pStyle w:val="8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36" w:type="dxa"/>
            <w:vMerge w:val="continue"/>
            <w:shd w:val="clear" w:color="auto" w:fill="auto"/>
            <w:vAlign w:val="center"/>
          </w:tcPr>
          <w:p>
            <w:pPr>
              <w:pStyle w:val="89"/>
            </w:pPr>
          </w:p>
        </w:tc>
        <w:tc>
          <w:tcPr>
            <w:tcW w:w="839" w:type="dxa"/>
            <w:vMerge w:val="continue"/>
            <w:shd w:val="clear" w:color="auto" w:fill="auto"/>
            <w:vAlign w:val="center"/>
          </w:tcPr>
          <w:p>
            <w:pPr>
              <w:pStyle w:val="89"/>
            </w:pPr>
          </w:p>
        </w:tc>
        <w:tc>
          <w:tcPr>
            <w:tcW w:w="661" w:type="dxa"/>
            <w:vMerge w:val="continue"/>
            <w:shd w:val="clear" w:color="auto" w:fill="auto"/>
            <w:vAlign w:val="center"/>
          </w:tcPr>
          <w:p>
            <w:pPr>
              <w:pStyle w:val="89"/>
            </w:pPr>
          </w:p>
        </w:tc>
        <w:tc>
          <w:tcPr>
            <w:tcW w:w="787" w:type="dxa"/>
            <w:shd w:val="clear" w:color="auto" w:fill="auto"/>
            <w:vAlign w:val="center"/>
          </w:tcPr>
          <w:p>
            <w:pPr>
              <w:pStyle w:val="89"/>
            </w:pPr>
            <w:r>
              <w:t>SS</w:t>
            </w:r>
          </w:p>
        </w:tc>
        <w:tc>
          <w:tcPr>
            <w:tcW w:w="633" w:type="dxa"/>
            <w:vMerge w:val="continue"/>
            <w:shd w:val="clear" w:color="auto" w:fill="auto"/>
            <w:vAlign w:val="center"/>
          </w:tcPr>
          <w:p>
            <w:pPr>
              <w:pStyle w:val="89"/>
            </w:pPr>
          </w:p>
        </w:tc>
        <w:tc>
          <w:tcPr>
            <w:tcW w:w="1021" w:type="dxa"/>
            <w:vMerge w:val="continue"/>
            <w:shd w:val="clear" w:color="auto" w:fill="auto"/>
            <w:vAlign w:val="center"/>
          </w:tcPr>
          <w:p>
            <w:pPr>
              <w:pStyle w:val="89"/>
            </w:pPr>
          </w:p>
        </w:tc>
        <w:tc>
          <w:tcPr>
            <w:tcW w:w="1091" w:type="dxa"/>
            <w:shd w:val="clear" w:color="auto" w:fill="auto"/>
            <w:vAlign w:val="center"/>
          </w:tcPr>
          <w:p>
            <w:pPr>
              <w:pStyle w:val="89"/>
            </w:pPr>
            <w:r>
              <w:rPr>
                <w:rFonts w:hAnsi="宋体"/>
              </w:rPr>
              <w:t>1319.84</w:t>
            </w:r>
          </w:p>
        </w:tc>
        <w:tc>
          <w:tcPr>
            <w:tcW w:w="846" w:type="dxa"/>
            <w:shd w:val="clear" w:color="auto" w:fill="auto"/>
            <w:vAlign w:val="center"/>
          </w:tcPr>
          <w:p>
            <w:pPr>
              <w:pStyle w:val="89"/>
              <w:rPr>
                <w:sz w:val="22"/>
              </w:rPr>
            </w:pPr>
            <w:r>
              <w:rPr>
                <w:rFonts w:hAnsi="宋体"/>
              </w:rPr>
              <w:t>10.12</w:t>
            </w:r>
          </w:p>
        </w:tc>
        <w:tc>
          <w:tcPr>
            <w:tcW w:w="1954" w:type="dxa"/>
            <w:vMerge w:val="continue"/>
            <w:shd w:val="clear" w:color="auto" w:fill="auto"/>
            <w:vAlign w:val="center"/>
          </w:tcPr>
          <w:p>
            <w:pPr>
              <w:pStyle w:val="89"/>
            </w:pPr>
          </w:p>
        </w:tc>
        <w:tc>
          <w:tcPr>
            <w:tcW w:w="945" w:type="dxa"/>
            <w:shd w:val="clear" w:color="auto" w:fill="auto"/>
            <w:vAlign w:val="center"/>
          </w:tcPr>
          <w:p>
            <w:pPr>
              <w:pStyle w:val="89"/>
            </w:pPr>
            <w:r>
              <w:rPr>
                <w:rFonts w:hint="eastAsia"/>
              </w:rPr>
              <w:t>87.5</w:t>
            </w:r>
          </w:p>
        </w:tc>
        <w:tc>
          <w:tcPr>
            <w:tcW w:w="737" w:type="dxa"/>
            <w:vMerge w:val="continue"/>
            <w:shd w:val="clear" w:color="auto" w:fill="auto"/>
            <w:vAlign w:val="center"/>
          </w:tcPr>
          <w:p>
            <w:pPr>
              <w:pStyle w:val="89"/>
            </w:pPr>
          </w:p>
        </w:tc>
        <w:tc>
          <w:tcPr>
            <w:tcW w:w="1079" w:type="dxa"/>
            <w:vMerge w:val="continue"/>
            <w:shd w:val="clear" w:color="auto" w:fill="auto"/>
            <w:vAlign w:val="center"/>
          </w:tcPr>
          <w:p>
            <w:pPr>
              <w:pStyle w:val="89"/>
            </w:pPr>
          </w:p>
        </w:tc>
        <w:tc>
          <w:tcPr>
            <w:tcW w:w="1091" w:type="dxa"/>
            <w:shd w:val="clear" w:color="auto" w:fill="auto"/>
            <w:vAlign w:val="center"/>
          </w:tcPr>
          <w:p>
            <w:pPr>
              <w:pStyle w:val="89"/>
            </w:pPr>
            <w:r>
              <w:rPr>
                <w:rFonts w:hint="eastAsia"/>
              </w:rPr>
              <w:t>164.98</w:t>
            </w:r>
          </w:p>
        </w:tc>
        <w:tc>
          <w:tcPr>
            <w:tcW w:w="867" w:type="dxa"/>
            <w:shd w:val="clear" w:color="auto" w:fill="auto"/>
            <w:vAlign w:val="center"/>
          </w:tcPr>
          <w:p>
            <w:pPr>
              <w:pStyle w:val="89"/>
            </w:pPr>
            <w:r>
              <w:rPr>
                <w:rFonts w:hint="eastAsia"/>
              </w:rPr>
              <w:t>1.26</w:t>
            </w:r>
          </w:p>
        </w:tc>
        <w:tc>
          <w:tcPr>
            <w:tcW w:w="741" w:type="dxa"/>
            <w:vMerge w:val="continue"/>
            <w:shd w:val="clear" w:color="auto" w:fill="auto"/>
            <w:vAlign w:val="center"/>
          </w:tcPr>
          <w:p>
            <w:pPr>
              <w:pStyle w:val="8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36" w:type="dxa"/>
            <w:vMerge w:val="continue"/>
            <w:shd w:val="clear" w:color="auto" w:fill="auto"/>
            <w:vAlign w:val="center"/>
          </w:tcPr>
          <w:p>
            <w:pPr>
              <w:pStyle w:val="89"/>
            </w:pPr>
          </w:p>
        </w:tc>
        <w:tc>
          <w:tcPr>
            <w:tcW w:w="839" w:type="dxa"/>
            <w:vMerge w:val="continue"/>
            <w:shd w:val="clear" w:color="auto" w:fill="auto"/>
            <w:vAlign w:val="center"/>
          </w:tcPr>
          <w:p>
            <w:pPr>
              <w:pStyle w:val="89"/>
            </w:pPr>
          </w:p>
        </w:tc>
        <w:tc>
          <w:tcPr>
            <w:tcW w:w="661" w:type="dxa"/>
            <w:vMerge w:val="continue"/>
            <w:shd w:val="clear" w:color="auto" w:fill="auto"/>
            <w:vAlign w:val="center"/>
          </w:tcPr>
          <w:p>
            <w:pPr>
              <w:pStyle w:val="89"/>
            </w:pPr>
          </w:p>
        </w:tc>
        <w:tc>
          <w:tcPr>
            <w:tcW w:w="787" w:type="dxa"/>
            <w:shd w:val="clear" w:color="auto" w:fill="auto"/>
            <w:vAlign w:val="center"/>
          </w:tcPr>
          <w:p>
            <w:pPr>
              <w:pStyle w:val="89"/>
            </w:pPr>
            <w:r>
              <w:t>NH</w:t>
            </w:r>
            <w:r>
              <w:rPr>
                <w:vertAlign w:val="subscript"/>
              </w:rPr>
              <w:t>3</w:t>
            </w:r>
            <w:r>
              <w:t>-N</w:t>
            </w:r>
          </w:p>
        </w:tc>
        <w:tc>
          <w:tcPr>
            <w:tcW w:w="633" w:type="dxa"/>
            <w:vMerge w:val="continue"/>
            <w:shd w:val="clear" w:color="auto" w:fill="auto"/>
            <w:vAlign w:val="center"/>
          </w:tcPr>
          <w:p>
            <w:pPr>
              <w:pStyle w:val="89"/>
            </w:pPr>
          </w:p>
        </w:tc>
        <w:tc>
          <w:tcPr>
            <w:tcW w:w="1021" w:type="dxa"/>
            <w:vMerge w:val="continue"/>
            <w:shd w:val="clear" w:color="auto" w:fill="auto"/>
            <w:vAlign w:val="center"/>
          </w:tcPr>
          <w:p>
            <w:pPr>
              <w:pStyle w:val="89"/>
            </w:pPr>
          </w:p>
        </w:tc>
        <w:tc>
          <w:tcPr>
            <w:tcW w:w="1091" w:type="dxa"/>
            <w:shd w:val="clear" w:color="auto" w:fill="auto"/>
            <w:vAlign w:val="center"/>
          </w:tcPr>
          <w:p>
            <w:pPr>
              <w:pStyle w:val="89"/>
            </w:pPr>
            <w:r>
              <w:rPr>
                <w:rFonts w:hAnsi="宋体"/>
              </w:rPr>
              <w:t>231.07</w:t>
            </w:r>
          </w:p>
        </w:tc>
        <w:tc>
          <w:tcPr>
            <w:tcW w:w="846" w:type="dxa"/>
            <w:shd w:val="clear" w:color="auto" w:fill="auto"/>
            <w:vAlign w:val="center"/>
          </w:tcPr>
          <w:p>
            <w:pPr>
              <w:pStyle w:val="89"/>
              <w:rPr>
                <w:sz w:val="22"/>
              </w:rPr>
            </w:pPr>
            <w:r>
              <w:rPr>
                <w:rFonts w:hAnsi="宋体"/>
              </w:rPr>
              <w:t>1.77</w:t>
            </w:r>
          </w:p>
        </w:tc>
        <w:tc>
          <w:tcPr>
            <w:tcW w:w="1954" w:type="dxa"/>
            <w:vMerge w:val="continue"/>
            <w:shd w:val="clear" w:color="auto" w:fill="auto"/>
            <w:vAlign w:val="center"/>
          </w:tcPr>
          <w:p>
            <w:pPr>
              <w:pStyle w:val="89"/>
            </w:pPr>
          </w:p>
        </w:tc>
        <w:tc>
          <w:tcPr>
            <w:tcW w:w="945" w:type="dxa"/>
            <w:shd w:val="clear" w:color="auto" w:fill="auto"/>
            <w:vAlign w:val="center"/>
          </w:tcPr>
          <w:p>
            <w:pPr>
              <w:pStyle w:val="89"/>
            </w:pPr>
            <w:r>
              <w:rPr>
                <w:rFonts w:hint="eastAsia"/>
              </w:rPr>
              <w:t>30</w:t>
            </w:r>
          </w:p>
        </w:tc>
        <w:tc>
          <w:tcPr>
            <w:tcW w:w="737" w:type="dxa"/>
            <w:vMerge w:val="continue"/>
            <w:shd w:val="clear" w:color="auto" w:fill="auto"/>
            <w:vAlign w:val="center"/>
          </w:tcPr>
          <w:p>
            <w:pPr>
              <w:pStyle w:val="89"/>
            </w:pPr>
          </w:p>
        </w:tc>
        <w:tc>
          <w:tcPr>
            <w:tcW w:w="1079" w:type="dxa"/>
            <w:vMerge w:val="continue"/>
            <w:shd w:val="clear" w:color="auto" w:fill="auto"/>
            <w:vAlign w:val="center"/>
          </w:tcPr>
          <w:p>
            <w:pPr>
              <w:pStyle w:val="89"/>
            </w:pPr>
          </w:p>
        </w:tc>
        <w:tc>
          <w:tcPr>
            <w:tcW w:w="1091" w:type="dxa"/>
            <w:shd w:val="clear" w:color="auto" w:fill="auto"/>
            <w:vAlign w:val="center"/>
          </w:tcPr>
          <w:p>
            <w:pPr>
              <w:pStyle w:val="89"/>
            </w:pPr>
            <w:r>
              <w:rPr>
                <w:rFonts w:hint="eastAsia"/>
              </w:rPr>
              <w:t>161.75</w:t>
            </w:r>
          </w:p>
        </w:tc>
        <w:tc>
          <w:tcPr>
            <w:tcW w:w="867" w:type="dxa"/>
            <w:shd w:val="clear" w:color="auto" w:fill="auto"/>
            <w:vAlign w:val="center"/>
          </w:tcPr>
          <w:p>
            <w:pPr>
              <w:pStyle w:val="89"/>
            </w:pPr>
            <w:r>
              <w:rPr>
                <w:rFonts w:hint="eastAsia"/>
              </w:rPr>
              <w:t>1.24</w:t>
            </w:r>
          </w:p>
        </w:tc>
        <w:tc>
          <w:tcPr>
            <w:tcW w:w="741" w:type="dxa"/>
            <w:vMerge w:val="continue"/>
            <w:shd w:val="clear" w:color="auto" w:fill="auto"/>
            <w:vAlign w:val="center"/>
          </w:tcPr>
          <w:p>
            <w:pPr>
              <w:pStyle w:val="89"/>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636" w:type="dxa"/>
            <w:vMerge w:val="continue"/>
            <w:shd w:val="clear" w:color="auto" w:fill="auto"/>
            <w:vAlign w:val="center"/>
          </w:tcPr>
          <w:p>
            <w:pPr>
              <w:pStyle w:val="89"/>
            </w:pPr>
          </w:p>
        </w:tc>
        <w:tc>
          <w:tcPr>
            <w:tcW w:w="839" w:type="dxa"/>
            <w:vMerge w:val="continue"/>
            <w:shd w:val="clear" w:color="auto" w:fill="auto"/>
            <w:vAlign w:val="center"/>
          </w:tcPr>
          <w:p>
            <w:pPr>
              <w:pStyle w:val="89"/>
            </w:pPr>
          </w:p>
        </w:tc>
        <w:tc>
          <w:tcPr>
            <w:tcW w:w="661" w:type="dxa"/>
            <w:vMerge w:val="continue"/>
            <w:shd w:val="clear" w:color="auto" w:fill="auto"/>
            <w:vAlign w:val="center"/>
          </w:tcPr>
          <w:p>
            <w:pPr>
              <w:pStyle w:val="89"/>
            </w:pPr>
          </w:p>
        </w:tc>
        <w:tc>
          <w:tcPr>
            <w:tcW w:w="787" w:type="dxa"/>
            <w:shd w:val="clear" w:color="auto" w:fill="auto"/>
            <w:vAlign w:val="center"/>
          </w:tcPr>
          <w:p>
            <w:pPr>
              <w:pStyle w:val="89"/>
            </w:pPr>
            <w:r>
              <w:rPr>
                <w:rFonts w:hint="eastAsia"/>
              </w:rPr>
              <w:t>TP</w:t>
            </w:r>
          </w:p>
        </w:tc>
        <w:tc>
          <w:tcPr>
            <w:tcW w:w="633" w:type="dxa"/>
            <w:vMerge w:val="continue"/>
            <w:shd w:val="clear" w:color="auto" w:fill="auto"/>
            <w:vAlign w:val="center"/>
          </w:tcPr>
          <w:p>
            <w:pPr>
              <w:pStyle w:val="89"/>
            </w:pPr>
          </w:p>
        </w:tc>
        <w:tc>
          <w:tcPr>
            <w:tcW w:w="1021" w:type="dxa"/>
            <w:vMerge w:val="continue"/>
            <w:shd w:val="clear" w:color="auto" w:fill="auto"/>
            <w:vAlign w:val="center"/>
          </w:tcPr>
          <w:p>
            <w:pPr>
              <w:pStyle w:val="89"/>
            </w:pPr>
          </w:p>
        </w:tc>
        <w:tc>
          <w:tcPr>
            <w:tcW w:w="1091" w:type="dxa"/>
            <w:shd w:val="clear" w:color="auto" w:fill="auto"/>
            <w:vAlign w:val="center"/>
          </w:tcPr>
          <w:p>
            <w:pPr>
              <w:pStyle w:val="89"/>
            </w:pPr>
            <w:r>
              <w:t>41.54</w:t>
            </w:r>
          </w:p>
        </w:tc>
        <w:tc>
          <w:tcPr>
            <w:tcW w:w="846" w:type="dxa"/>
            <w:shd w:val="clear" w:color="auto" w:fill="auto"/>
            <w:vAlign w:val="center"/>
          </w:tcPr>
          <w:p>
            <w:pPr>
              <w:pStyle w:val="89"/>
              <w:rPr>
                <w:sz w:val="22"/>
              </w:rPr>
            </w:pPr>
            <w:r>
              <w:rPr>
                <w:rFonts w:hAnsi="宋体"/>
              </w:rPr>
              <w:t>0.32</w:t>
            </w:r>
          </w:p>
        </w:tc>
        <w:tc>
          <w:tcPr>
            <w:tcW w:w="1954" w:type="dxa"/>
            <w:vMerge w:val="continue"/>
            <w:shd w:val="clear" w:color="auto" w:fill="auto"/>
            <w:vAlign w:val="center"/>
          </w:tcPr>
          <w:p>
            <w:pPr>
              <w:pStyle w:val="89"/>
            </w:pPr>
          </w:p>
        </w:tc>
        <w:tc>
          <w:tcPr>
            <w:tcW w:w="945" w:type="dxa"/>
            <w:shd w:val="clear" w:color="auto" w:fill="auto"/>
            <w:vAlign w:val="center"/>
          </w:tcPr>
          <w:p>
            <w:pPr>
              <w:pStyle w:val="89"/>
            </w:pPr>
            <w:r>
              <w:rPr>
                <w:rFonts w:hint="eastAsia"/>
              </w:rPr>
              <w:t>30</w:t>
            </w:r>
          </w:p>
        </w:tc>
        <w:tc>
          <w:tcPr>
            <w:tcW w:w="737" w:type="dxa"/>
            <w:vMerge w:val="continue"/>
            <w:shd w:val="clear" w:color="auto" w:fill="auto"/>
            <w:vAlign w:val="center"/>
          </w:tcPr>
          <w:p>
            <w:pPr>
              <w:pStyle w:val="89"/>
            </w:pPr>
          </w:p>
        </w:tc>
        <w:tc>
          <w:tcPr>
            <w:tcW w:w="1079" w:type="dxa"/>
            <w:vMerge w:val="continue"/>
            <w:shd w:val="clear" w:color="auto" w:fill="auto"/>
            <w:vAlign w:val="center"/>
          </w:tcPr>
          <w:p>
            <w:pPr>
              <w:pStyle w:val="89"/>
            </w:pPr>
          </w:p>
        </w:tc>
        <w:tc>
          <w:tcPr>
            <w:tcW w:w="1091" w:type="dxa"/>
            <w:shd w:val="clear" w:color="auto" w:fill="auto"/>
            <w:vAlign w:val="center"/>
          </w:tcPr>
          <w:p>
            <w:pPr>
              <w:pStyle w:val="89"/>
            </w:pPr>
            <w:r>
              <w:rPr>
                <w:rFonts w:hint="eastAsia"/>
              </w:rPr>
              <w:t>29.08</w:t>
            </w:r>
          </w:p>
        </w:tc>
        <w:tc>
          <w:tcPr>
            <w:tcW w:w="867" w:type="dxa"/>
            <w:shd w:val="clear" w:color="auto" w:fill="auto"/>
            <w:vAlign w:val="center"/>
          </w:tcPr>
          <w:p>
            <w:pPr>
              <w:pStyle w:val="89"/>
            </w:pPr>
            <w:r>
              <w:rPr>
                <w:rFonts w:hint="eastAsia"/>
              </w:rPr>
              <w:t>0.22</w:t>
            </w:r>
          </w:p>
        </w:tc>
        <w:tc>
          <w:tcPr>
            <w:tcW w:w="741" w:type="dxa"/>
            <w:vMerge w:val="continue"/>
            <w:shd w:val="clear" w:color="auto" w:fill="auto"/>
            <w:vAlign w:val="center"/>
          </w:tcPr>
          <w:p>
            <w:pPr>
              <w:pStyle w:val="89"/>
            </w:pPr>
          </w:p>
        </w:tc>
      </w:tr>
    </w:tbl>
    <w:p>
      <w:pPr>
        <w:ind w:firstLine="480"/>
      </w:pPr>
    </w:p>
    <w:p>
      <w:pPr>
        <w:ind w:firstLine="480"/>
      </w:pPr>
    </w:p>
    <w:p>
      <w:pPr>
        <w:ind w:firstLine="480"/>
      </w:pPr>
    </w:p>
    <w:p>
      <w:pPr>
        <w:ind w:firstLine="480"/>
      </w:pPr>
    </w:p>
    <w:p>
      <w:pPr>
        <w:ind w:firstLine="480"/>
      </w:pPr>
    </w:p>
    <w:p>
      <w:pPr>
        <w:pStyle w:val="5"/>
        <w:numPr>
          <w:ilvl w:val="3"/>
          <w:numId w:val="13"/>
        </w:numPr>
        <w:ind w:left="0"/>
      </w:pPr>
      <w:bookmarkStart w:id="100" w:name="_Ref26286690"/>
      <w:r>
        <w:rPr>
          <w:rFonts w:hint="eastAsia"/>
        </w:rPr>
        <w:t>噪声</w:t>
      </w:r>
    </w:p>
    <w:p>
      <w:pPr>
        <w:ind w:firstLine="480"/>
      </w:pPr>
      <w:r>
        <w:rPr>
          <w:rFonts w:hint="eastAsia"/>
        </w:rPr>
        <w:t>项目</w:t>
      </w:r>
      <w:r>
        <w:t>噪声主要来源于猪舍</w:t>
      </w:r>
      <w:r>
        <w:rPr>
          <w:rFonts w:hint="eastAsia"/>
        </w:rPr>
        <w:t>猪叫、换气扇</w:t>
      </w:r>
      <w:r>
        <w:t>，</w:t>
      </w:r>
      <w:r>
        <w:rPr>
          <w:rFonts w:hint="eastAsia"/>
        </w:rPr>
        <w:t>饲料粉碎机，污水</w:t>
      </w:r>
      <w:r>
        <w:t>处理区的</w:t>
      </w:r>
      <w:r>
        <w:rPr>
          <w:rFonts w:hint="eastAsia"/>
        </w:rPr>
        <w:t>水泵、</w:t>
      </w:r>
      <w:r>
        <w:t>固液分离机等机械设备</w:t>
      </w:r>
      <w:r>
        <w:rPr>
          <w:rFonts w:hint="eastAsia"/>
        </w:rPr>
        <w:t>，其</w:t>
      </w:r>
      <w:r>
        <w:t>噪声值为70~90dB，在采取了选用低噪声设备</w:t>
      </w:r>
      <w:r>
        <w:rPr>
          <w:rFonts w:hint="eastAsia"/>
        </w:rPr>
        <w:t>、</w:t>
      </w:r>
      <w:r>
        <w:t>基础减振</w:t>
      </w:r>
      <w:r>
        <w:rPr>
          <w:rFonts w:hint="eastAsia"/>
        </w:rPr>
        <w:t>、</w:t>
      </w:r>
      <w:r>
        <w:t>厂房隔声</w:t>
      </w:r>
      <w:r>
        <w:rPr>
          <w:rFonts w:hint="eastAsia"/>
        </w:rPr>
        <w:t>、</w:t>
      </w:r>
      <w:r>
        <w:t>排风口安装消声器</w:t>
      </w:r>
      <w:r>
        <w:rPr>
          <w:rFonts w:hint="eastAsia"/>
        </w:rPr>
        <w:t>、</w:t>
      </w:r>
      <w:r>
        <w:t>生产设备进行合理布局等必要的降噪措施后，可降低噪声10~20dB（A）。</w:t>
      </w:r>
    </w:p>
    <w:p>
      <w:pPr>
        <w:ind w:firstLine="480"/>
      </w:pPr>
      <w:r>
        <w:rPr>
          <w:rFonts w:hint="eastAsia"/>
        </w:rPr>
        <w:t>项目噪声</w:t>
      </w:r>
      <w:r>
        <w:t>源源强核算结果及相关参数见</w:t>
      </w:r>
      <w:r>
        <w:rPr>
          <w:rFonts w:hint="eastAsia"/>
        </w:rPr>
        <w:t>表3.3-1</w:t>
      </w:r>
      <w:r>
        <w:t>3</w:t>
      </w:r>
      <w:r>
        <w:rPr>
          <w:rFonts w:hint="eastAsia"/>
        </w:rPr>
        <w:t>。</w:t>
      </w:r>
    </w:p>
    <w:p>
      <w:pPr>
        <w:spacing w:line="240" w:lineRule="auto"/>
        <w:ind w:firstLine="0" w:firstLineChars="0"/>
        <w:jc w:val="center"/>
        <w:rPr>
          <w:b/>
          <w:sz w:val="21"/>
          <w:szCs w:val="24"/>
        </w:rPr>
      </w:pPr>
      <w:r>
        <w:rPr>
          <w:b/>
          <w:sz w:val="21"/>
          <w:szCs w:val="24"/>
        </w:rPr>
        <w:t>表</w:t>
      </w:r>
      <w:bookmarkEnd w:id="100"/>
      <w:r>
        <w:rPr>
          <w:b/>
          <w:sz w:val="21"/>
          <w:szCs w:val="24"/>
        </w:rPr>
        <w:t>3.3-13  噪声污染源源强核算结果及相关参数一览表</w:t>
      </w:r>
    </w:p>
    <w:tbl>
      <w:tblPr>
        <w:tblStyle w:val="27"/>
        <w:tblW w:w="139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52"/>
        <w:gridCol w:w="864"/>
        <w:gridCol w:w="724"/>
        <w:gridCol w:w="1142"/>
        <w:gridCol w:w="1290"/>
        <w:gridCol w:w="1468"/>
        <w:gridCol w:w="1535"/>
        <w:gridCol w:w="1552"/>
        <w:gridCol w:w="1114"/>
        <w:gridCol w:w="1769"/>
        <w:gridCol w:w="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93"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工序</w:t>
            </w:r>
          </w:p>
        </w:tc>
        <w:tc>
          <w:tcPr>
            <w:tcW w:w="852"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位置</w:t>
            </w:r>
          </w:p>
        </w:tc>
        <w:tc>
          <w:tcPr>
            <w:tcW w:w="864"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噪声源</w:t>
            </w:r>
          </w:p>
        </w:tc>
        <w:tc>
          <w:tcPr>
            <w:tcW w:w="724"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声源类型</w:t>
            </w:r>
          </w:p>
        </w:tc>
        <w:tc>
          <w:tcPr>
            <w:tcW w:w="1142"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数量</w:t>
            </w:r>
          </w:p>
          <w:p>
            <w:pPr>
              <w:autoSpaceDE w:val="0"/>
              <w:autoSpaceDN w:val="0"/>
              <w:snapToGrid/>
              <w:spacing w:line="240" w:lineRule="auto"/>
              <w:ind w:firstLine="0" w:firstLineChars="0"/>
              <w:jc w:val="center"/>
              <w:textAlignment w:val="bottom"/>
              <w:rPr>
                <w:kern w:val="0"/>
                <w:sz w:val="21"/>
                <w:szCs w:val="20"/>
              </w:rPr>
            </w:pPr>
            <w:r>
              <w:rPr>
                <w:kern w:val="0"/>
                <w:sz w:val="21"/>
                <w:szCs w:val="20"/>
              </w:rPr>
              <w:t>（台/套）</w:t>
            </w:r>
          </w:p>
        </w:tc>
        <w:tc>
          <w:tcPr>
            <w:tcW w:w="2758" w:type="dxa"/>
            <w:gridSpan w:val="2"/>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噪声产生量</w:t>
            </w:r>
          </w:p>
        </w:tc>
        <w:tc>
          <w:tcPr>
            <w:tcW w:w="3087" w:type="dxa"/>
            <w:gridSpan w:val="2"/>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降噪措施</w:t>
            </w:r>
          </w:p>
        </w:tc>
        <w:tc>
          <w:tcPr>
            <w:tcW w:w="2883" w:type="dxa"/>
            <w:gridSpan w:val="2"/>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噪声排放量</w:t>
            </w:r>
          </w:p>
        </w:tc>
        <w:tc>
          <w:tcPr>
            <w:tcW w:w="925"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持续时间（h）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93"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2"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64"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724"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142"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9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核算方法</w:t>
            </w:r>
          </w:p>
        </w:tc>
        <w:tc>
          <w:tcPr>
            <w:tcW w:w="146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声源表达量（dB（A））</w:t>
            </w:r>
          </w:p>
        </w:tc>
        <w:tc>
          <w:tcPr>
            <w:tcW w:w="15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工艺</w:t>
            </w:r>
          </w:p>
        </w:tc>
        <w:tc>
          <w:tcPr>
            <w:tcW w:w="155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降噪效果（dB（A））</w:t>
            </w:r>
          </w:p>
        </w:tc>
        <w:tc>
          <w:tcPr>
            <w:tcW w:w="111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核算方法</w:t>
            </w:r>
          </w:p>
        </w:tc>
        <w:tc>
          <w:tcPr>
            <w:tcW w:w="17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声源表达量（dB（A））</w:t>
            </w:r>
          </w:p>
        </w:tc>
        <w:tc>
          <w:tcPr>
            <w:tcW w:w="92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3"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养殖</w:t>
            </w:r>
          </w:p>
        </w:tc>
        <w:tc>
          <w:tcPr>
            <w:tcW w:w="852"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rFonts w:hint="eastAsia"/>
                <w:kern w:val="0"/>
                <w:sz w:val="21"/>
                <w:szCs w:val="20"/>
              </w:rPr>
              <w:t>猪舍</w:t>
            </w:r>
          </w:p>
        </w:tc>
        <w:tc>
          <w:tcPr>
            <w:tcW w:w="86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猪叫</w:t>
            </w:r>
            <w:r>
              <w:rPr>
                <w:kern w:val="0"/>
                <w:sz w:val="21"/>
                <w:szCs w:val="20"/>
              </w:rPr>
              <w:t>声</w:t>
            </w:r>
          </w:p>
        </w:tc>
        <w:tc>
          <w:tcPr>
            <w:tcW w:w="72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114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129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46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60</w:t>
            </w:r>
            <w:r>
              <w:rPr>
                <w:kern w:val="0"/>
                <w:sz w:val="21"/>
                <w:szCs w:val="20"/>
              </w:rPr>
              <w:t>~80</w:t>
            </w:r>
          </w:p>
        </w:tc>
        <w:tc>
          <w:tcPr>
            <w:tcW w:w="1535"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厂房</w:t>
            </w:r>
            <w:r>
              <w:rPr>
                <w:kern w:val="0"/>
                <w:sz w:val="21"/>
                <w:szCs w:val="20"/>
              </w:rPr>
              <w:t>隔声，避免饥渴及突发噪声</w:t>
            </w:r>
            <w:r>
              <w:rPr>
                <w:rFonts w:hint="eastAsia"/>
                <w:kern w:val="0"/>
                <w:sz w:val="21"/>
                <w:szCs w:val="20"/>
              </w:rPr>
              <w:t>，选用</w:t>
            </w:r>
            <w:r>
              <w:rPr>
                <w:kern w:val="0"/>
                <w:sz w:val="21"/>
                <w:szCs w:val="20"/>
              </w:rPr>
              <w:t>低噪声设备，加减振基础、设置在厂房内、</w:t>
            </w:r>
            <w:r>
              <w:rPr>
                <w:rFonts w:hint="eastAsia"/>
                <w:kern w:val="0"/>
                <w:sz w:val="21"/>
                <w:szCs w:val="20"/>
              </w:rPr>
              <w:t>厂房</w:t>
            </w:r>
            <w:r>
              <w:rPr>
                <w:kern w:val="0"/>
                <w:sz w:val="21"/>
                <w:szCs w:val="20"/>
              </w:rPr>
              <w:t>及窗户封闭</w:t>
            </w:r>
            <w:r>
              <w:rPr>
                <w:rFonts w:hint="eastAsia"/>
                <w:kern w:val="0"/>
                <w:sz w:val="21"/>
                <w:szCs w:val="20"/>
              </w:rPr>
              <w:t>，</w:t>
            </w:r>
            <w:r>
              <w:rPr>
                <w:kern w:val="0"/>
                <w:sz w:val="21"/>
                <w:szCs w:val="20"/>
              </w:rPr>
              <w:t>排风口安装消声器</w:t>
            </w:r>
          </w:p>
        </w:tc>
        <w:tc>
          <w:tcPr>
            <w:tcW w:w="155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1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7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65</w:t>
            </w:r>
          </w:p>
        </w:tc>
        <w:tc>
          <w:tcPr>
            <w:tcW w:w="925" w:type="dxa"/>
            <w:shd w:val="clear" w:color="auto" w:fill="auto"/>
            <w:vAlign w:val="center"/>
          </w:tcPr>
          <w:p>
            <w:pPr>
              <w:tabs>
                <w:tab w:val="left" w:pos="2340"/>
              </w:tabs>
              <w:adjustRightInd/>
              <w:spacing w:line="240" w:lineRule="auto"/>
              <w:ind w:firstLine="0" w:firstLineChars="0"/>
              <w:jc w:val="center"/>
              <w:rPr>
                <w:kern w:val="0"/>
                <w:sz w:val="21"/>
                <w:szCs w:val="20"/>
              </w:rPr>
            </w:pPr>
            <w:r>
              <w:rPr>
                <w:rFonts w:hint="eastAsia"/>
                <w:kern w:val="0"/>
                <w:sz w:val="21"/>
                <w:szCs w:val="20"/>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3"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2"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86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换气扇</w:t>
            </w:r>
          </w:p>
        </w:tc>
        <w:tc>
          <w:tcPr>
            <w:tcW w:w="72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114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w:t>
            </w:r>
          </w:p>
        </w:tc>
        <w:tc>
          <w:tcPr>
            <w:tcW w:w="129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46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75</w:t>
            </w:r>
            <w:r>
              <w:rPr>
                <w:kern w:val="0"/>
                <w:sz w:val="21"/>
                <w:szCs w:val="20"/>
              </w:rPr>
              <w:t>~80</w:t>
            </w:r>
          </w:p>
        </w:tc>
        <w:tc>
          <w:tcPr>
            <w:tcW w:w="1535" w:type="dxa"/>
            <w:vMerge w:val="continue"/>
            <w:shd w:val="clear" w:color="auto" w:fill="auto"/>
            <w:vAlign w:val="center"/>
          </w:tcPr>
          <w:p>
            <w:pPr>
              <w:autoSpaceDE w:val="0"/>
              <w:autoSpaceDN w:val="0"/>
              <w:spacing w:line="240" w:lineRule="auto"/>
              <w:ind w:firstLine="420"/>
              <w:jc w:val="center"/>
              <w:textAlignment w:val="bottom"/>
              <w:rPr>
                <w:kern w:val="0"/>
                <w:sz w:val="21"/>
                <w:szCs w:val="20"/>
              </w:rPr>
            </w:pPr>
          </w:p>
        </w:tc>
        <w:tc>
          <w:tcPr>
            <w:tcW w:w="155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1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7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65</w:t>
            </w:r>
          </w:p>
        </w:tc>
        <w:tc>
          <w:tcPr>
            <w:tcW w:w="925"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kern w:val="0"/>
                <w:sz w:val="21"/>
                <w:szCs w:val="20"/>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3"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饲料加工</w:t>
            </w:r>
          </w:p>
        </w:tc>
        <w:tc>
          <w:tcPr>
            <w:tcW w:w="852"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rFonts w:hint="eastAsia"/>
                <w:kern w:val="0"/>
                <w:sz w:val="21"/>
                <w:szCs w:val="20"/>
              </w:rPr>
              <w:t>饲料</w:t>
            </w:r>
            <w:r>
              <w:rPr>
                <w:kern w:val="0"/>
                <w:sz w:val="21"/>
                <w:szCs w:val="20"/>
              </w:rPr>
              <w:t>加工</w:t>
            </w:r>
            <w:r>
              <w:rPr>
                <w:rFonts w:hint="eastAsia"/>
                <w:kern w:val="0"/>
                <w:sz w:val="21"/>
                <w:szCs w:val="20"/>
              </w:rPr>
              <w:t>/库房</w:t>
            </w:r>
          </w:p>
        </w:tc>
        <w:tc>
          <w:tcPr>
            <w:tcW w:w="86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粉碎机</w:t>
            </w:r>
          </w:p>
        </w:tc>
        <w:tc>
          <w:tcPr>
            <w:tcW w:w="72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频发</w:t>
            </w:r>
          </w:p>
        </w:tc>
        <w:tc>
          <w:tcPr>
            <w:tcW w:w="114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129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类比法</w:t>
            </w:r>
          </w:p>
        </w:tc>
        <w:tc>
          <w:tcPr>
            <w:tcW w:w="146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80~85</w:t>
            </w:r>
          </w:p>
        </w:tc>
        <w:tc>
          <w:tcPr>
            <w:tcW w:w="1535" w:type="dxa"/>
            <w:vMerge w:val="continue"/>
            <w:shd w:val="clear" w:color="auto" w:fill="auto"/>
            <w:vAlign w:val="center"/>
          </w:tcPr>
          <w:p>
            <w:pPr>
              <w:autoSpaceDE w:val="0"/>
              <w:autoSpaceDN w:val="0"/>
              <w:spacing w:line="240" w:lineRule="auto"/>
              <w:ind w:firstLine="420"/>
              <w:jc w:val="center"/>
              <w:textAlignment w:val="bottom"/>
              <w:rPr>
                <w:kern w:val="0"/>
                <w:sz w:val="21"/>
                <w:szCs w:val="20"/>
              </w:rPr>
            </w:pPr>
          </w:p>
        </w:tc>
        <w:tc>
          <w:tcPr>
            <w:tcW w:w="155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11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类比法</w:t>
            </w:r>
          </w:p>
        </w:tc>
        <w:tc>
          <w:tcPr>
            <w:tcW w:w="17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65</w:t>
            </w:r>
          </w:p>
        </w:tc>
        <w:tc>
          <w:tcPr>
            <w:tcW w:w="925" w:type="dxa"/>
            <w:shd w:val="clear" w:color="auto" w:fill="auto"/>
            <w:vAlign w:val="center"/>
          </w:tcPr>
          <w:p>
            <w:pPr>
              <w:tabs>
                <w:tab w:val="left" w:pos="2340"/>
              </w:tabs>
              <w:adjustRightInd/>
              <w:spacing w:line="240" w:lineRule="auto"/>
              <w:ind w:firstLine="0" w:firstLineChars="0"/>
              <w:jc w:val="center"/>
              <w:rPr>
                <w:kern w:val="0"/>
                <w:sz w:val="21"/>
                <w:szCs w:val="20"/>
              </w:rPr>
            </w:pPr>
            <w:r>
              <w:rPr>
                <w:rFonts w:hint="eastAsia"/>
                <w:kern w:val="0"/>
                <w:sz w:val="21"/>
                <w:szCs w:val="20"/>
              </w:rPr>
              <w:t>730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3"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粪污</w:t>
            </w:r>
            <w:r>
              <w:rPr>
                <w:kern w:val="0"/>
                <w:sz w:val="21"/>
                <w:szCs w:val="20"/>
              </w:rPr>
              <w:t>处理</w:t>
            </w:r>
          </w:p>
        </w:tc>
        <w:tc>
          <w:tcPr>
            <w:tcW w:w="852"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污水</w:t>
            </w:r>
            <w:r>
              <w:rPr>
                <w:kern w:val="0"/>
                <w:sz w:val="21"/>
                <w:szCs w:val="20"/>
              </w:rPr>
              <w:t>处理</w:t>
            </w:r>
            <w:r>
              <w:rPr>
                <w:rFonts w:hint="eastAsia"/>
                <w:kern w:val="0"/>
                <w:sz w:val="21"/>
                <w:szCs w:val="20"/>
              </w:rPr>
              <w:t>区</w:t>
            </w:r>
          </w:p>
        </w:tc>
        <w:tc>
          <w:tcPr>
            <w:tcW w:w="86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泵</w:t>
            </w:r>
          </w:p>
        </w:tc>
        <w:tc>
          <w:tcPr>
            <w:tcW w:w="72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1142"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1</w:t>
            </w:r>
          </w:p>
        </w:tc>
        <w:tc>
          <w:tcPr>
            <w:tcW w:w="129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46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w:t>
            </w:r>
            <w:r>
              <w:rPr>
                <w:kern w:val="0"/>
                <w:sz w:val="21"/>
                <w:szCs w:val="20"/>
              </w:rPr>
              <w:t>~85</w:t>
            </w:r>
          </w:p>
        </w:tc>
        <w:tc>
          <w:tcPr>
            <w:tcW w:w="153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55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1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7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3"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2"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6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固液</w:t>
            </w:r>
            <w:r>
              <w:rPr>
                <w:kern w:val="0"/>
                <w:sz w:val="21"/>
                <w:szCs w:val="20"/>
              </w:rPr>
              <w:t>分离机</w:t>
            </w:r>
          </w:p>
        </w:tc>
        <w:tc>
          <w:tcPr>
            <w:tcW w:w="72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频发</w:t>
            </w:r>
          </w:p>
        </w:tc>
        <w:tc>
          <w:tcPr>
            <w:tcW w:w="114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9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46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w:t>
            </w:r>
            <w:r>
              <w:rPr>
                <w:kern w:val="0"/>
                <w:sz w:val="21"/>
                <w:szCs w:val="20"/>
              </w:rPr>
              <w:t>~85</w:t>
            </w:r>
          </w:p>
        </w:tc>
        <w:tc>
          <w:tcPr>
            <w:tcW w:w="153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55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1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类比法</w:t>
            </w:r>
          </w:p>
        </w:tc>
        <w:tc>
          <w:tcPr>
            <w:tcW w:w="17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65</w:t>
            </w:r>
          </w:p>
        </w:tc>
        <w:tc>
          <w:tcPr>
            <w:tcW w:w="925"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8760</w:t>
            </w:r>
          </w:p>
        </w:tc>
      </w:tr>
    </w:tbl>
    <w:p>
      <w:pPr>
        <w:ind w:firstLine="480"/>
      </w:pPr>
    </w:p>
    <w:p>
      <w:pPr>
        <w:ind w:firstLine="480"/>
        <w:sectPr>
          <w:headerReference r:id="rId29" w:type="default"/>
          <w:headerReference r:id="rId30" w:type="even"/>
          <w:pgSz w:w="16838" w:h="11906" w:orient="landscape"/>
          <w:pgMar w:top="1800" w:right="1440" w:bottom="1800" w:left="1440" w:header="992" w:footer="992" w:gutter="0"/>
          <w:pgNumType w:fmt="numberInDash"/>
          <w:cols w:space="425" w:num="1"/>
          <w:docGrid w:type="lines" w:linePitch="326" w:charSpace="0"/>
        </w:sectPr>
      </w:pPr>
    </w:p>
    <w:p>
      <w:pPr>
        <w:pStyle w:val="5"/>
      </w:pPr>
      <w:r>
        <w:rPr>
          <w:rFonts w:hint="eastAsia"/>
        </w:rPr>
        <w:t>固体废物</w:t>
      </w:r>
    </w:p>
    <w:p>
      <w:pPr>
        <w:ind w:firstLine="480"/>
      </w:pPr>
      <w:r>
        <w:rPr>
          <w:rFonts w:hint="eastAsia"/>
        </w:rPr>
        <w:t>本项目固体废物主要来源是猪粪、病死猪及分娩胎衣、废脱硫剂、</w:t>
      </w:r>
      <w:r>
        <w:rPr>
          <w:rFonts w:hint="eastAsia" w:hAnsi="宋体"/>
          <w:szCs w:val="21"/>
        </w:rPr>
        <w:t>医疗</w:t>
      </w:r>
      <w:r>
        <w:rPr>
          <w:rFonts w:hint="eastAsia"/>
        </w:rPr>
        <w:t>废物和员工生活垃圾等</w:t>
      </w:r>
      <w:r>
        <w:t>。</w:t>
      </w:r>
    </w:p>
    <w:p>
      <w:pPr>
        <w:ind w:firstLine="482"/>
        <w:rPr>
          <w:b/>
        </w:rPr>
      </w:pPr>
      <w:r>
        <w:rPr>
          <w:b/>
        </w:rPr>
        <w:t>1</w:t>
      </w:r>
      <w:r>
        <w:rPr>
          <w:rFonts w:hint="eastAsia"/>
          <w:b/>
        </w:rPr>
        <w:t>、病死猪、分娩胎衣废物</w:t>
      </w:r>
    </w:p>
    <w:p>
      <w:pPr>
        <w:ind w:firstLine="480"/>
      </w:pPr>
      <w:r>
        <w:rPr>
          <w:rFonts w:hint="eastAsia"/>
        </w:rPr>
        <w:t>项目在养猪场内独立设置有隔离猪舍。项目运营初期，用于从国内其它场引进原种猪的隔离饲养，正常运营后，用于对病猪进行隔离饲养。为独栋全封闭的形式，不会对场内正常的生产产生不利影响。</w:t>
      </w:r>
    </w:p>
    <w:p>
      <w:pPr>
        <w:ind w:firstLine="480"/>
      </w:pPr>
      <w:r>
        <w:rPr>
          <w:rFonts w:hint="eastAsia"/>
        </w:rPr>
        <w:t>由于养猪场采用科学化管理与养殖，病死猪产生量很小。根据目前规模化养</w:t>
      </w:r>
    </w:p>
    <w:p>
      <w:pPr>
        <w:ind w:firstLine="0" w:firstLineChars="0"/>
      </w:pPr>
      <w:r>
        <w:rPr>
          <w:rFonts w:hint="eastAsia"/>
        </w:rPr>
        <w:t>殖场的管理水平，此类事件概率不高。出现病死猪的几率和数量较低。育肥猪的死亡率为</w:t>
      </w:r>
      <w:r>
        <w:t>1%</w:t>
      </w:r>
      <w:r>
        <w:rPr>
          <w:rFonts w:hint="eastAsia"/>
        </w:rPr>
        <w:t>，本项目年存栏育肥猪</w:t>
      </w:r>
      <w:r>
        <w:t>3200</w:t>
      </w:r>
      <w:r>
        <w:rPr>
          <w:rFonts w:hint="eastAsia"/>
        </w:rPr>
        <w:t>头，育肥猪按</w:t>
      </w:r>
      <w:r>
        <w:t>65kg/</w:t>
      </w:r>
      <w:r>
        <w:rPr>
          <w:rFonts w:hint="eastAsia"/>
        </w:rPr>
        <w:t>头计，则死亡育肥猪</w:t>
      </w:r>
      <w:r>
        <w:t>32</w:t>
      </w:r>
      <w:r>
        <w:rPr>
          <w:rFonts w:hint="eastAsia"/>
        </w:rPr>
        <w:t>头，重</w:t>
      </w:r>
      <w:r>
        <w:t>2.08t/a</w:t>
      </w:r>
      <w:r>
        <w:rPr>
          <w:rFonts w:hint="eastAsia"/>
        </w:rPr>
        <w:t>，保育猪</w:t>
      </w:r>
      <w:r>
        <w:t>死亡率</w:t>
      </w:r>
      <w:r>
        <w:rPr>
          <w:rFonts w:hint="eastAsia"/>
        </w:rPr>
        <w:t>按5</w:t>
      </w:r>
      <w:r>
        <w:t>%计算，死亡保育</w:t>
      </w:r>
      <w:r>
        <w:rPr>
          <w:rFonts w:hint="eastAsia"/>
        </w:rPr>
        <w:t>猪按5</w:t>
      </w:r>
      <w:r>
        <w:t>kg/</w:t>
      </w:r>
      <w:r>
        <w:rPr>
          <w:rFonts w:hint="eastAsia"/>
        </w:rPr>
        <w:t>头</w:t>
      </w:r>
      <w:r>
        <w:t>，项目</w:t>
      </w:r>
      <w:r>
        <w:rPr>
          <w:rFonts w:hint="eastAsia"/>
        </w:rPr>
        <w:t>保育猪</w:t>
      </w:r>
      <w:r>
        <w:t>死亡量60</w:t>
      </w:r>
      <w:r>
        <w:rPr>
          <w:rFonts w:hint="eastAsia"/>
        </w:rPr>
        <w:t>头</w:t>
      </w:r>
      <w:r>
        <w:t>，重</w:t>
      </w:r>
      <w:r>
        <w:rPr>
          <w:rFonts w:hint="eastAsia"/>
        </w:rPr>
        <w:t>0.</w:t>
      </w:r>
      <w:r>
        <w:t>3t/a</w:t>
      </w:r>
      <w:r>
        <w:rPr>
          <w:rFonts w:hint="eastAsia"/>
        </w:rPr>
        <w:t>，母猪</w:t>
      </w:r>
      <w:r>
        <w:t>、公猪</w:t>
      </w:r>
      <w:r>
        <w:rPr>
          <w:rFonts w:hint="eastAsia"/>
        </w:rPr>
        <w:t>死亡率</w:t>
      </w:r>
      <w:r>
        <w:t>按</w:t>
      </w:r>
      <w:r>
        <w:rPr>
          <w:rFonts w:hint="eastAsia"/>
        </w:rPr>
        <w:t>0.5</w:t>
      </w:r>
      <w:r>
        <w:t>%，死亡</w:t>
      </w:r>
      <w:r>
        <w:rPr>
          <w:rFonts w:hint="eastAsia"/>
        </w:rPr>
        <w:t>母猪</w:t>
      </w:r>
      <w:r>
        <w:t>、公猪</w:t>
      </w:r>
      <w:r>
        <w:rPr>
          <w:rFonts w:hint="eastAsia"/>
        </w:rPr>
        <w:t>按120</w:t>
      </w:r>
      <w:r>
        <w:t>kg/</w:t>
      </w:r>
      <w:r>
        <w:rPr>
          <w:rFonts w:hint="eastAsia"/>
        </w:rPr>
        <w:t>头计</w:t>
      </w:r>
      <w:r>
        <w:t>，</w:t>
      </w:r>
      <w:r>
        <w:rPr>
          <w:rFonts w:hint="eastAsia"/>
        </w:rPr>
        <w:t>则公猪</w:t>
      </w:r>
      <w:r>
        <w:t>、母猪死亡量为</w:t>
      </w:r>
      <w:r>
        <w:rPr>
          <w:rFonts w:hint="eastAsia"/>
        </w:rPr>
        <w:t>4头</w:t>
      </w:r>
      <w:r>
        <w:t>，重量</w:t>
      </w:r>
      <w:r>
        <w:rPr>
          <w:rFonts w:hint="eastAsia"/>
        </w:rPr>
        <w:t>0.48</w:t>
      </w:r>
      <w:r>
        <w:t>t/a</w:t>
      </w:r>
      <w:r>
        <w:rPr>
          <w:rFonts w:hint="eastAsia"/>
        </w:rPr>
        <w:t>，病死</w:t>
      </w:r>
      <w:r>
        <w:t>猪</w:t>
      </w:r>
      <w:r>
        <w:rPr>
          <w:rFonts w:hint="eastAsia"/>
        </w:rPr>
        <w:t>总</w:t>
      </w:r>
      <w:r>
        <w:t>重量2.86t/a</w:t>
      </w:r>
      <w:r>
        <w:rPr>
          <w:rFonts w:hint="eastAsia"/>
        </w:rPr>
        <w:t>。</w:t>
      </w:r>
    </w:p>
    <w:p>
      <w:pPr>
        <w:ind w:firstLine="480"/>
      </w:pPr>
      <w:r>
        <w:rPr>
          <w:rFonts w:hint="eastAsia"/>
        </w:rPr>
        <w:t>项目</w:t>
      </w:r>
      <w:r>
        <w:t>各类猪死亡</w:t>
      </w:r>
      <w:r>
        <w:rPr>
          <w:rFonts w:hint="eastAsia"/>
        </w:rPr>
        <w:t>量</w:t>
      </w:r>
      <w:r>
        <w:t>及</w:t>
      </w:r>
      <w:bookmarkStart w:id="313" w:name="_GoBack"/>
      <w:bookmarkEnd w:id="313"/>
      <w:r>
        <w:t>死亡重量</w:t>
      </w:r>
      <w:r>
        <w:rPr>
          <w:rFonts w:hint="eastAsia"/>
        </w:rPr>
        <w:t>计算</w:t>
      </w:r>
      <w:r>
        <w:t>见</w:t>
      </w:r>
      <w:r>
        <w:rPr>
          <w:rFonts w:hint="eastAsia"/>
        </w:rPr>
        <w:t>表3.3-1</w:t>
      </w:r>
      <w:r>
        <w:t>4</w:t>
      </w:r>
      <w:r>
        <w:rPr>
          <w:rFonts w:hint="eastAsia"/>
        </w:rPr>
        <w:t>。</w:t>
      </w:r>
    </w:p>
    <w:p>
      <w:pPr>
        <w:pStyle w:val="85"/>
      </w:pPr>
      <w:bookmarkStart w:id="101" w:name="_Ref37334467"/>
      <w:r>
        <w:t>表</w:t>
      </w:r>
      <w:bookmarkEnd w:id="101"/>
      <w:r>
        <w:t xml:space="preserve">3.3-14  </w:t>
      </w:r>
      <w:r>
        <w:rPr>
          <w:rFonts w:hint="eastAsia"/>
        </w:rPr>
        <w:t>项目各类猪死亡率及病死猪</w:t>
      </w:r>
      <w:r>
        <w:t>重量计算</w:t>
      </w:r>
      <w:r>
        <w:rPr>
          <w:rFonts w:hint="eastAsia"/>
        </w:rPr>
        <w:t>一览表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79"/>
        <w:gridCol w:w="1379"/>
        <w:gridCol w:w="1380"/>
        <w:gridCol w:w="1380"/>
        <w:gridCol w:w="13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9" w:type="dxa"/>
            <w:vAlign w:val="center"/>
          </w:tcPr>
          <w:p>
            <w:pPr>
              <w:pStyle w:val="40"/>
            </w:pPr>
            <w:r>
              <w:rPr>
                <w:rFonts w:hAnsi="宋体"/>
              </w:rPr>
              <w:t>种类</w:t>
            </w:r>
          </w:p>
        </w:tc>
        <w:tc>
          <w:tcPr>
            <w:tcW w:w="1379" w:type="dxa"/>
            <w:vAlign w:val="center"/>
          </w:tcPr>
          <w:p>
            <w:pPr>
              <w:pStyle w:val="40"/>
              <w:rPr>
                <w:rFonts w:hAnsi="宋体"/>
              </w:rPr>
            </w:pPr>
            <w:r>
              <w:rPr>
                <w:rFonts w:hint="eastAsia" w:hAnsi="宋体"/>
              </w:rPr>
              <w:t>存栏量（头）</w:t>
            </w:r>
          </w:p>
        </w:tc>
        <w:tc>
          <w:tcPr>
            <w:tcW w:w="1379" w:type="dxa"/>
            <w:vAlign w:val="center"/>
          </w:tcPr>
          <w:p>
            <w:pPr>
              <w:pStyle w:val="40"/>
            </w:pPr>
            <w:r>
              <w:rPr>
                <w:rFonts w:hAnsi="宋体"/>
              </w:rPr>
              <w:t>平均死亡率</w:t>
            </w:r>
          </w:p>
        </w:tc>
        <w:tc>
          <w:tcPr>
            <w:tcW w:w="1380" w:type="dxa"/>
            <w:vAlign w:val="center"/>
          </w:tcPr>
          <w:p>
            <w:pPr>
              <w:pStyle w:val="40"/>
            </w:pPr>
            <w:r>
              <w:rPr>
                <w:rFonts w:hAnsi="宋体"/>
              </w:rPr>
              <w:t>平均重量</w:t>
            </w:r>
          </w:p>
        </w:tc>
        <w:tc>
          <w:tcPr>
            <w:tcW w:w="1380" w:type="dxa"/>
            <w:vAlign w:val="center"/>
          </w:tcPr>
          <w:p>
            <w:pPr>
              <w:pStyle w:val="40"/>
            </w:pPr>
            <w:r>
              <w:rPr>
                <w:rFonts w:hAnsi="宋体"/>
              </w:rPr>
              <w:t>病死猪产生头数</w:t>
            </w:r>
          </w:p>
        </w:tc>
        <w:tc>
          <w:tcPr>
            <w:tcW w:w="1379" w:type="dxa"/>
            <w:vAlign w:val="center"/>
          </w:tcPr>
          <w:p>
            <w:pPr>
              <w:pStyle w:val="40"/>
            </w:pPr>
            <w:r>
              <w:rPr>
                <w:rFonts w:hAnsi="宋体"/>
              </w:rPr>
              <w:t>病死猪产生重量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9" w:type="dxa"/>
            <w:vAlign w:val="center"/>
          </w:tcPr>
          <w:p>
            <w:pPr>
              <w:pStyle w:val="40"/>
            </w:pPr>
            <w:r>
              <w:rPr>
                <w:rFonts w:hAnsi="宋体"/>
              </w:rPr>
              <w:t>育肥</w:t>
            </w:r>
          </w:p>
        </w:tc>
        <w:tc>
          <w:tcPr>
            <w:tcW w:w="1379" w:type="dxa"/>
            <w:vAlign w:val="center"/>
          </w:tcPr>
          <w:p>
            <w:pPr>
              <w:pStyle w:val="40"/>
            </w:pPr>
            <w:r>
              <w:t>3200</w:t>
            </w:r>
          </w:p>
        </w:tc>
        <w:tc>
          <w:tcPr>
            <w:tcW w:w="1379" w:type="dxa"/>
            <w:vAlign w:val="center"/>
          </w:tcPr>
          <w:p>
            <w:pPr>
              <w:pStyle w:val="40"/>
            </w:pPr>
            <w:r>
              <w:t>1%</w:t>
            </w:r>
          </w:p>
        </w:tc>
        <w:tc>
          <w:tcPr>
            <w:tcW w:w="1380" w:type="dxa"/>
            <w:vAlign w:val="center"/>
          </w:tcPr>
          <w:p>
            <w:pPr>
              <w:pStyle w:val="40"/>
            </w:pPr>
            <w:r>
              <w:t>65kg/</w:t>
            </w:r>
            <w:r>
              <w:rPr>
                <w:rFonts w:hAnsi="宋体"/>
              </w:rPr>
              <w:t>头</w:t>
            </w:r>
          </w:p>
        </w:tc>
        <w:tc>
          <w:tcPr>
            <w:tcW w:w="1380" w:type="dxa"/>
            <w:vAlign w:val="center"/>
          </w:tcPr>
          <w:p>
            <w:pPr>
              <w:pStyle w:val="40"/>
            </w:pPr>
            <w:r>
              <w:t>32</w:t>
            </w:r>
            <w:r>
              <w:rPr>
                <w:rFonts w:hAnsi="宋体"/>
              </w:rPr>
              <w:t>头</w:t>
            </w:r>
          </w:p>
        </w:tc>
        <w:tc>
          <w:tcPr>
            <w:tcW w:w="1379" w:type="dxa"/>
            <w:vAlign w:val="center"/>
          </w:tcPr>
          <w:p>
            <w:pPr>
              <w:pStyle w:val="40"/>
            </w:pPr>
            <w:r>
              <w:t>2.08t/a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9" w:type="dxa"/>
            <w:vAlign w:val="center"/>
          </w:tcPr>
          <w:p>
            <w:pPr>
              <w:pStyle w:val="40"/>
            </w:pPr>
            <w:r>
              <w:rPr>
                <w:rFonts w:hAnsi="宋体"/>
              </w:rPr>
              <w:t>母猪</w:t>
            </w:r>
            <w:r>
              <w:rPr>
                <w:rFonts w:hint="eastAsia" w:hAnsi="宋体"/>
              </w:rPr>
              <w:t>、公猪</w:t>
            </w:r>
          </w:p>
        </w:tc>
        <w:tc>
          <w:tcPr>
            <w:tcW w:w="1379" w:type="dxa"/>
            <w:vAlign w:val="center"/>
          </w:tcPr>
          <w:p>
            <w:pPr>
              <w:pStyle w:val="40"/>
            </w:pPr>
            <w:r>
              <w:rPr>
                <w:rFonts w:hint="eastAsia"/>
              </w:rPr>
              <w:t>608</w:t>
            </w:r>
          </w:p>
        </w:tc>
        <w:tc>
          <w:tcPr>
            <w:tcW w:w="1379" w:type="dxa"/>
            <w:vAlign w:val="center"/>
          </w:tcPr>
          <w:p>
            <w:pPr>
              <w:pStyle w:val="40"/>
            </w:pPr>
            <w:r>
              <w:rPr>
                <w:rFonts w:hint="eastAsia"/>
              </w:rPr>
              <w:t>0.5</w:t>
            </w:r>
            <w:r>
              <w:t>%</w:t>
            </w:r>
          </w:p>
        </w:tc>
        <w:tc>
          <w:tcPr>
            <w:tcW w:w="1380" w:type="dxa"/>
            <w:vAlign w:val="center"/>
          </w:tcPr>
          <w:p>
            <w:pPr>
              <w:pStyle w:val="40"/>
            </w:pPr>
            <w:r>
              <w:t>120kg/</w:t>
            </w:r>
            <w:r>
              <w:rPr>
                <w:rFonts w:hAnsi="宋体"/>
              </w:rPr>
              <w:t>头</w:t>
            </w:r>
          </w:p>
        </w:tc>
        <w:tc>
          <w:tcPr>
            <w:tcW w:w="1380" w:type="dxa"/>
            <w:vAlign w:val="center"/>
          </w:tcPr>
          <w:p>
            <w:pPr>
              <w:pStyle w:val="40"/>
            </w:pPr>
            <w:r>
              <w:rPr>
                <w:rFonts w:hint="eastAsia"/>
              </w:rPr>
              <w:t>4</w:t>
            </w:r>
            <w:r>
              <w:rPr>
                <w:rFonts w:hAnsi="宋体"/>
              </w:rPr>
              <w:t>头</w:t>
            </w:r>
          </w:p>
        </w:tc>
        <w:tc>
          <w:tcPr>
            <w:tcW w:w="1379" w:type="dxa"/>
            <w:vAlign w:val="center"/>
          </w:tcPr>
          <w:p>
            <w:pPr>
              <w:pStyle w:val="40"/>
            </w:pPr>
            <w:r>
              <w:rPr>
                <w:rFonts w:hint="eastAsia"/>
              </w:rPr>
              <w:t>0.48</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9" w:type="dxa"/>
            <w:vAlign w:val="center"/>
          </w:tcPr>
          <w:p>
            <w:pPr>
              <w:pStyle w:val="40"/>
              <w:rPr>
                <w:rFonts w:hAnsi="宋体"/>
              </w:rPr>
            </w:pPr>
            <w:r>
              <w:rPr>
                <w:rFonts w:hint="eastAsia" w:hAnsi="宋体"/>
              </w:rPr>
              <w:t>保育猪</w:t>
            </w:r>
          </w:p>
        </w:tc>
        <w:tc>
          <w:tcPr>
            <w:tcW w:w="1379" w:type="dxa"/>
            <w:vAlign w:val="center"/>
          </w:tcPr>
          <w:p>
            <w:pPr>
              <w:pStyle w:val="40"/>
            </w:pPr>
            <w:r>
              <w:t>1192</w:t>
            </w:r>
          </w:p>
        </w:tc>
        <w:tc>
          <w:tcPr>
            <w:tcW w:w="1379" w:type="dxa"/>
            <w:vAlign w:val="center"/>
          </w:tcPr>
          <w:p>
            <w:pPr>
              <w:pStyle w:val="40"/>
            </w:pPr>
            <w:r>
              <w:t>5</w:t>
            </w:r>
            <w:r>
              <w:rPr>
                <w:rFonts w:hint="eastAsia"/>
              </w:rPr>
              <w:t>%</w:t>
            </w:r>
          </w:p>
        </w:tc>
        <w:tc>
          <w:tcPr>
            <w:tcW w:w="1380" w:type="dxa"/>
            <w:vAlign w:val="center"/>
          </w:tcPr>
          <w:p>
            <w:pPr>
              <w:pStyle w:val="40"/>
            </w:pPr>
            <w:r>
              <w:rPr>
                <w:szCs w:val="21"/>
              </w:rPr>
              <w:t>5kg/头</w:t>
            </w:r>
          </w:p>
        </w:tc>
        <w:tc>
          <w:tcPr>
            <w:tcW w:w="1380" w:type="dxa"/>
            <w:vAlign w:val="center"/>
          </w:tcPr>
          <w:p>
            <w:pPr>
              <w:pStyle w:val="40"/>
            </w:pPr>
            <w:r>
              <w:t>6</w:t>
            </w:r>
            <w:r>
              <w:rPr>
                <w:rFonts w:hint="eastAsia"/>
              </w:rPr>
              <w:t>0</w:t>
            </w:r>
            <w:r>
              <w:rPr>
                <w:rFonts w:hAnsi="宋体"/>
              </w:rPr>
              <w:t>头</w:t>
            </w:r>
          </w:p>
        </w:tc>
        <w:tc>
          <w:tcPr>
            <w:tcW w:w="1379" w:type="dxa"/>
            <w:vAlign w:val="center"/>
          </w:tcPr>
          <w:p>
            <w:pPr>
              <w:pStyle w:val="40"/>
            </w:pPr>
            <w:r>
              <w:rPr>
                <w:rFonts w:hint="eastAsia"/>
              </w:rPr>
              <w:t>0.3</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97" w:type="dxa"/>
            <w:gridSpan w:val="5"/>
            <w:vAlign w:val="center"/>
          </w:tcPr>
          <w:p>
            <w:pPr>
              <w:pStyle w:val="40"/>
            </w:pPr>
            <w:r>
              <w:rPr>
                <w:rFonts w:hAnsi="宋体"/>
              </w:rPr>
              <w:t>合计</w:t>
            </w:r>
          </w:p>
        </w:tc>
        <w:tc>
          <w:tcPr>
            <w:tcW w:w="1379" w:type="dxa"/>
            <w:vAlign w:val="center"/>
          </w:tcPr>
          <w:p>
            <w:pPr>
              <w:pStyle w:val="40"/>
            </w:pPr>
            <w:r>
              <w:t>2.86t/a</w:t>
            </w:r>
          </w:p>
        </w:tc>
      </w:tr>
    </w:tbl>
    <w:p>
      <w:pPr>
        <w:ind w:firstLine="480"/>
      </w:pPr>
      <w:r>
        <w:rPr>
          <w:rFonts w:hint="eastAsia"/>
        </w:rPr>
        <w:t>母猪生育周期为</w:t>
      </w:r>
      <w:r>
        <w:t>2.3</w:t>
      </w:r>
      <w:r>
        <w:rPr>
          <w:rFonts w:hint="eastAsia"/>
        </w:rPr>
        <w:t>胎</w:t>
      </w:r>
      <w:r>
        <w:t>/</w:t>
      </w:r>
      <w:r>
        <w:rPr>
          <w:rFonts w:hint="eastAsia"/>
        </w:rPr>
        <w:t>年，分娩废物按照</w:t>
      </w:r>
      <w:r>
        <w:t>2kg/</w:t>
      </w:r>
      <w:r>
        <w:rPr>
          <w:rFonts w:hint="eastAsia"/>
        </w:rPr>
        <w:t>头·次计，项目成年母猪数为6</w:t>
      </w:r>
      <w:r>
        <w:t>00</w:t>
      </w:r>
      <w:r>
        <w:rPr>
          <w:rFonts w:hint="eastAsia"/>
        </w:rPr>
        <w:t>头，则分娩废物产量2.76</w:t>
      </w:r>
      <w:r>
        <w:t>t/a</w:t>
      </w:r>
      <w:r>
        <w:rPr>
          <w:rFonts w:hint="eastAsia"/>
        </w:rPr>
        <w:t>。</w:t>
      </w:r>
    </w:p>
    <w:p>
      <w:pPr>
        <w:pStyle w:val="79"/>
        <w:ind w:firstLine="480"/>
      </w:pPr>
      <w:r>
        <w:t>本项目场区不设置焚烧炉，项目产生病死猪及分娩废物在场区内安全填埋。填埋井建设规格为直径3m、深度5m，采用混凝土结构，</w:t>
      </w:r>
      <w:r>
        <w:rPr>
          <w:rFonts w:hint="eastAsia"/>
        </w:rPr>
        <w:t>项目在养殖区范围</w:t>
      </w:r>
      <w:r>
        <w:t>内</w:t>
      </w:r>
      <w:r>
        <w:rPr>
          <w:rFonts w:hint="eastAsia"/>
        </w:rPr>
        <w:t>设置2个</w:t>
      </w:r>
      <w:r>
        <w:t>安全填埋井（</w:t>
      </w:r>
      <w:r>
        <w:rPr>
          <w:rFonts w:hint="eastAsia"/>
        </w:rPr>
        <w:t>已建成1个</w:t>
      </w:r>
      <w:r>
        <w:t>，</w:t>
      </w:r>
      <w:r>
        <w:rPr>
          <w:rFonts w:hint="eastAsia"/>
        </w:rPr>
        <w:t>本次</w:t>
      </w:r>
      <w:r>
        <w:t>环评要求增设1</w:t>
      </w:r>
      <w:r>
        <w:rPr>
          <w:rFonts w:hint="eastAsia"/>
        </w:rPr>
        <w:t>个</w:t>
      </w:r>
      <w:r>
        <w:t>）</w:t>
      </w:r>
      <w:r>
        <w:rPr>
          <w:rFonts w:hint="eastAsia"/>
        </w:rPr>
        <w:t>，</w:t>
      </w:r>
      <w:r>
        <w:t>填埋井</w:t>
      </w:r>
      <w:r>
        <w:rPr>
          <w:rFonts w:hint="eastAsia"/>
        </w:rPr>
        <w:t>远离</w:t>
      </w:r>
      <w:r>
        <w:t>生活区，在进行填埋时，每次投入畜禽尸体后，覆盖一层厚度大于10cm的熟石灰。安全填埋井在填埋后，须用粘土填埋压实封口，并永久封存。</w:t>
      </w:r>
    </w:p>
    <w:p>
      <w:pPr>
        <w:ind w:firstLine="482"/>
        <w:rPr>
          <w:b/>
        </w:rPr>
      </w:pPr>
      <w:r>
        <w:rPr>
          <w:rFonts w:hint="eastAsia"/>
          <w:b/>
        </w:rPr>
        <w:t>2、</w:t>
      </w:r>
      <w:r>
        <w:rPr>
          <w:b/>
        </w:rPr>
        <w:t>猪粪</w:t>
      </w:r>
    </w:p>
    <w:p>
      <w:pPr>
        <w:ind w:firstLine="480"/>
      </w:pPr>
      <w:r>
        <w:t>根据《排污许可证申请与核发技术规范 畜禽养殖行业》（HJ1029-2019）表 9 “各类畜禽污染物产生量表”中“生猪▪粪便产生量（1.24kg/d▪头/只）”，本项目养殖存栏量</w:t>
      </w:r>
      <w:r>
        <w:rPr>
          <w:rFonts w:hint="eastAsia"/>
        </w:rPr>
        <w:t>为</w:t>
      </w:r>
      <w:r>
        <w:t>5000头。因此粪便产生量6.2t/d</w:t>
      </w:r>
      <w:bookmarkStart w:id="102" w:name="_Hlk57560827"/>
      <w:r>
        <w:rPr>
          <w:rFonts w:hint="eastAsia"/>
        </w:rPr>
        <w:t>，</w:t>
      </w:r>
      <w:r>
        <w:t>2263t</w:t>
      </w:r>
      <w:bookmarkEnd w:id="102"/>
      <w:r>
        <w:t>/a。</w:t>
      </w:r>
    </w:p>
    <w:p>
      <w:pPr>
        <w:ind w:firstLine="480"/>
        <w:rPr>
          <w:kern w:val="0"/>
          <w:szCs w:val="24"/>
        </w:rPr>
      </w:pPr>
      <w:r>
        <w:rPr>
          <w:kern w:val="0"/>
          <w:szCs w:val="24"/>
        </w:rPr>
        <w:t>项目</w:t>
      </w:r>
      <w:r>
        <w:rPr>
          <w:rFonts w:hint="eastAsia"/>
          <w:kern w:val="0"/>
          <w:szCs w:val="24"/>
        </w:rPr>
        <w:t>采用干清粪工艺，粪尿经固液分离机分离后，含水量较低的固粪送至堆粪棚临时堆存晾晒后袋装出售给有机肥厂</w:t>
      </w:r>
      <w:r>
        <w:rPr>
          <w:kern w:val="0"/>
          <w:szCs w:val="24"/>
        </w:rPr>
        <w:t>作为原料</w:t>
      </w:r>
      <w:r>
        <w:rPr>
          <w:rFonts w:hint="eastAsia"/>
          <w:kern w:val="0"/>
          <w:szCs w:val="24"/>
        </w:rPr>
        <w:t>，残余粪尿进入污水处理设施处理。固液分离率按80%计，进入堆粪棚固粪量</w:t>
      </w:r>
      <w:r>
        <w:rPr>
          <w:kern w:val="0"/>
          <w:szCs w:val="24"/>
        </w:rPr>
        <w:t>4.96</w:t>
      </w:r>
      <w:r>
        <w:rPr>
          <w:rFonts w:hint="eastAsia"/>
          <w:kern w:val="0"/>
          <w:szCs w:val="24"/>
        </w:rPr>
        <w:t>t/d（</w:t>
      </w:r>
      <w:r>
        <w:rPr>
          <w:kern w:val="0"/>
          <w:szCs w:val="24"/>
        </w:rPr>
        <w:t>1810.4</w:t>
      </w:r>
      <w:r>
        <w:rPr>
          <w:rFonts w:hint="eastAsia"/>
          <w:kern w:val="0"/>
          <w:szCs w:val="24"/>
        </w:rPr>
        <w:t>t/a），残余粪尿量约为</w:t>
      </w:r>
      <w:r>
        <w:rPr>
          <w:kern w:val="0"/>
          <w:szCs w:val="24"/>
        </w:rPr>
        <w:t>1.24</w:t>
      </w:r>
      <w:r>
        <w:rPr>
          <w:rFonts w:hint="eastAsia"/>
          <w:kern w:val="0"/>
          <w:szCs w:val="24"/>
        </w:rPr>
        <w:t>t/d（</w:t>
      </w:r>
      <w:r>
        <w:rPr>
          <w:kern w:val="0"/>
          <w:szCs w:val="24"/>
        </w:rPr>
        <w:t>452.6</w:t>
      </w:r>
      <w:r>
        <w:rPr>
          <w:rFonts w:hint="eastAsia"/>
          <w:kern w:val="0"/>
          <w:szCs w:val="24"/>
        </w:rPr>
        <w:t>t/a）。堆粪棚应采取封闭拦挡，并采取防渗措施，满足《畜禽养殖业污染防治技术规范》（</w:t>
      </w:r>
      <w:r>
        <w:rPr>
          <w:kern w:val="0"/>
          <w:szCs w:val="24"/>
        </w:rPr>
        <w:t>HJ/T81-2001</w:t>
      </w:r>
      <w:r>
        <w:rPr>
          <w:rFonts w:hint="eastAsia"/>
          <w:kern w:val="0"/>
          <w:szCs w:val="24"/>
        </w:rPr>
        <w:t>）、《畜禽养殖业污染治理工程技术规划》（</w:t>
      </w:r>
      <w:r>
        <w:rPr>
          <w:kern w:val="0"/>
          <w:szCs w:val="24"/>
        </w:rPr>
        <w:t>HJ497-2009</w:t>
      </w:r>
      <w:r>
        <w:rPr>
          <w:rFonts w:hint="eastAsia"/>
          <w:kern w:val="0"/>
          <w:szCs w:val="24"/>
        </w:rPr>
        <w:t>）中关于堆粪场的相关要求。粪便转移过程中应建立转运移交记录（或台账）；运输过程应采用封闭运输，发现有洒落的情况时，应及时清扫，避免洒落干粪。</w:t>
      </w:r>
    </w:p>
    <w:p>
      <w:pPr>
        <w:ind w:firstLine="482"/>
        <w:rPr>
          <w:b/>
        </w:rPr>
      </w:pPr>
      <w:r>
        <w:rPr>
          <w:b/>
        </w:rPr>
        <w:t>3</w:t>
      </w:r>
      <w:r>
        <w:rPr>
          <w:rFonts w:hint="eastAsia"/>
          <w:b/>
        </w:rPr>
        <w:t>、医疗</w:t>
      </w:r>
      <w:r>
        <w:rPr>
          <w:b/>
        </w:rPr>
        <w:t>废物</w:t>
      </w:r>
    </w:p>
    <w:p>
      <w:pPr>
        <w:ind w:firstLine="480"/>
      </w:pPr>
      <w:r>
        <w:rPr>
          <w:rFonts w:hint="eastAsia"/>
        </w:rPr>
        <w:t>项目在运营过程中，会对猪群定期接种疫苗，日常防疫化验以及对病伤猪进行救治，在此过程中会产生一定量的</w:t>
      </w:r>
      <w:r>
        <w:rPr>
          <w:rFonts w:hint="eastAsia" w:hAnsi="宋体"/>
          <w:szCs w:val="21"/>
        </w:rPr>
        <w:t>医疗</w:t>
      </w:r>
      <w:r>
        <w:rPr>
          <w:rFonts w:hint="eastAsia"/>
        </w:rPr>
        <w:t>废物，该类废物属于危险废物，根据建设单位提供资料显示，每头猪每年产生约</w:t>
      </w:r>
      <w:r>
        <w:t xml:space="preserve">0.02kg </w:t>
      </w:r>
      <w:r>
        <w:rPr>
          <w:rFonts w:hint="eastAsia"/>
        </w:rPr>
        <w:t>的医疗废物。则本项目运营过程中</w:t>
      </w:r>
      <w:r>
        <w:rPr>
          <w:rFonts w:hint="eastAsia" w:hAnsi="宋体"/>
          <w:szCs w:val="21"/>
        </w:rPr>
        <w:t>医疗</w:t>
      </w:r>
      <w:r>
        <w:rPr>
          <w:rFonts w:hint="eastAsia"/>
        </w:rPr>
        <w:t>废物的产生量约为0.27</w:t>
      </w:r>
      <w:r>
        <w:t>t/a</w:t>
      </w:r>
      <w:r>
        <w:rPr>
          <w:rFonts w:hint="eastAsia"/>
        </w:rPr>
        <w:t>，该类废物将按照类别分别置于防渗漏的密闭容器内，经分类收集后暂存于医疗废物暂存间，交由有资质</w:t>
      </w:r>
      <w:r>
        <w:t>单位处置。</w:t>
      </w:r>
    </w:p>
    <w:p>
      <w:pPr>
        <w:pStyle w:val="79"/>
        <w:ind w:firstLine="482"/>
        <w:rPr>
          <w:b/>
        </w:rPr>
      </w:pPr>
      <w:r>
        <w:rPr>
          <w:b/>
        </w:rPr>
        <w:t>4</w:t>
      </w:r>
      <w:r>
        <w:rPr>
          <w:rFonts w:hint="eastAsia"/>
          <w:b/>
        </w:rPr>
        <w:t>、废</w:t>
      </w:r>
      <w:r>
        <w:rPr>
          <w:b/>
        </w:rPr>
        <w:t>脱硫剂</w:t>
      </w:r>
    </w:p>
    <w:p>
      <w:pPr>
        <w:pStyle w:val="79"/>
        <w:ind w:firstLine="480"/>
      </w:pPr>
      <w:r>
        <w:t>据《规模畜禽养殖场污染防治最佳可行技术指南（试行）》（HJ-BAT-10）沼气中甲烷含量为50%～70%，二氧化碳含量为30%~50%，硫化氢含量为0.1%～0.6%。</w:t>
      </w:r>
      <w:r>
        <w:rPr>
          <w:rFonts w:hint="eastAsia"/>
        </w:rPr>
        <w:t>沼气需经脱硫、干燥处理后方可燃烧，本</w:t>
      </w:r>
      <w:r>
        <w:t>项目</w:t>
      </w:r>
      <w:r>
        <w:rPr>
          <w:rFonts w:hint="eastAsia"/>
        </w:rPr>
        <w:t>拟</w:t>
      </w:r>
      <w:r>
        <w:t>采用干法对沼气中的硫化氢进行去除</w:t>
      </w:r>
      <w:r>
        <w:rPr>
          <w:rFonts w:hint="eastAsia"/>
        </w:rPr>
        <w:t>。</w:t>
      </w:r>
    </w:p>
    <w:p>
      <w:pPr>
        <w:pStyle w:val="79"/>
        <w:ind w:firstLine="480"/>
        <w:rPr>
          <w:highlight w:val="yellow"/>
        </w:rPr>
      </w:pPr>
      <w:r>
        <w:rPr>
          <w:rFonts w:hint="eastAsia"/>
        </w:rPr>
        <w:t>厌氧发酵产生的</w:t>
      </w:r>
      <w:r>
        <w:t>沼气通过氧化铁构成的填料层，使硫化氢氧化成单质硫或硫氧化物</w:t>
      </w:r>
      <w:r>
        <w:rPr>
          <w:rFonts w:hint="eastAsia"/>
        </w:rPr>
        <w:t>，从而达到脱硫的目的</w:t>
      </w:r>
      <w:r>
        <w:t>。根据《沼气常温氧化铁脱硫催化剂的研制》（武汉工程大学学报 2010.07）可知，常温下，理论上每100g活性氧化铁一次可吸收脱除57.5g硫化氢气体。</w:t>
      </w:r>
      <w:r>
        <w:rPr>
          <w:rFonts w:hint="eastAsia"/>
        </w:rPr>
        <w:t>根据项目沼气产生量核算项目硫化氢的吸收量为</w:t>
      </w:r>
      <w:r>
        <w:t>1.0</w:t>
      </w:r>
      <w:r>
        <w:rPr>
          <w:rFonts w:hint="eastAsia"/>
        </w:rPr>
        <w:t>kg/a，需消耗活性氧化铁</w:t>
      </w:r>
      <w:r>
        <w:t>1.7</w:t>
      </w:r>
      <w:r>
        <w:rPr>
          <w:rFonts w:hint="eastAsia"/>
        </w:rPr>
        <w:t>kg/a，则废脱硫剂产生量约为</w:t>
      </w:r>
      <w:r>
        <w:t>0.003t</w:t>
      </w:r>
      <w:r>
        <w:rPr>
          <w:rFonts w:hint="eastAsia"/>
        </w:rPr>
        <w:t>/a。</w:t>
      </w:r>
    </w:p>
    <w:p>
      <w:pPr>
        <w:pStyle w:val="79"/>
        <w:ind w:firstLine="480"/>
        <w:rPr>
          <w:highlight w:val="yellow"/>
        </w:rPr>
      </w:pPr>
      <w:r>
        <w:rPr>
          <w:rFonts w:hint="eastAsia"/>
        </w:rPr>
        <w:t>脱硫处理过程会产生少量的废脱硫剂，废脱硫剂主要成分为氧化铁，不在《国家危险废物名录》中，且项目废脱硫剂中不含有危险物质，属于一般工业固废，由生产厂家进行定期更换并回收，不在场内暂存。</w:t>
      </w:r>
    </w:p>
    <w:p>
      <w:pPr>
        <w:pStyle w:val="79"/>
        <w:ind w:firstLine="482"/>
        <w:rPr>
          <w:b/>
        </w:rPr>
      </w:pPr>
      <w:r>
        <w:rPr>
          <w:b/>
        </w:rPr>
        <w:t>5</w:t>
      </w:r>
      <w:r>
        <w:rPr>
          <w:rFonts w:hint="eastAsia"/>
          <w:b/>
        </w:rPr>
        <w:t>、</w:t>
      </w:r>
      <w:r>
        <w:rPr>
          <w:b/>
        </w:rPr>
        <w:t>生活垃圾</w:t>
      </w:r>
    </w:p>
    <w:p>
      <w:pPr>
        <w:pStyle w:val="79"/>
        <w:ind w:firstLine="480"/>
      </w:pPr>
      <w:r>
        <w:t>本项目劳动定</w:t>
      </w:r>
      <w:r>
        <w:rPr>
          <w:rFonts w:hint="eastAsia"/>
        </w:rPr>
        <w:t>50</w:t>
      </w:r>
      <w:r>
        <w:t>人，人均生活垃圾的产生量按照0.5kg/d计算，则生活垃圾的产生量为</w:t>
      </w:r>
      <w:r>
        <w:rPr>
          <w:rFonts w:hint="eastAsia"/>
        </w:rPr>
        <w:t>9.13</w:t>
      </w:r>
      <w:r>
        <w:t>t/a，收集后与附近村庄生活垃圾一起处理。</w:t>
      </w:r>
    </w:p>
    <w:p>
      <w:pPr>
        <w:pStyle w:val="5"/>
        <w:ind w:firstLine="562" w:firstLineChars="200"/>
        <w:sectPr>
          <w:headerReference r:id="rId31" w:type="default"/>
          <w:headerReference r:id="rId32" w:type="even"/>
          <w:pgSz w:w="11906" w:h="16838"/>
          <w:pgMar w:top="1440" w:right="1800" w:bottom="1440" w:left="1800" w:header="992" w:footer="992" w:gutter="0"/>
          <w:pgNumType w:fmt="numberInDash"/>
          <w:cols w:space="425" w:num="1"/>
          <w:docGrid w:type="lines" w:linePitch="326" w:charSpace="0"/>
        </w:sectPr>
      </w:pPr>
    </w:p>
    <w:p>
      <w:pPr>
        <w:spacing w:line="240" w:lineRule="auto"/>
        <w:ind w:firstLine="0" w:firstLineChars="0"/>
        <w:jc w:val="center"/>
        <w:rPr>
          <w:b/>
          <w:sz w:val="21"/>
          <w:szCs w:val="21"/>
        </w:rPr>
      </w:pPr>
      <w:bookmarkStart w:id="103" w:name="_Ref39057968"/>
      <w:r>
        <w:rPr>
          <w:b/>
          <w:sz w:val="21"/>
          <w:szCs w:val="24"/>
        </w:rPr>
        <w:t>表</w:t>
      </w:r>
      <w:bookmarkEnd w:id="103"/>
      <w:r>
        <w:rPr>
          <w:b/>
          <w:sz w:val="21"/>
          <w:szCs w:val="24"/>
        </w:rPr>
        <w:t xml:space="preserve">3.3-15  </w:t>
      </w:r>
      <w:r>
        <w:rPr>
          <w:b/>
          <w:sz w:val="21"/>
          <w:szCs w:val="21"/>
        </w:rPr>
        <w:t>项目固体废物产生源强核算结果及相关参数一览表</w:t>
      </w:r>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535"/>
        <w:gridCol w:w="1752"/>
        <w:gridCol w:w="2028"/>
        <w:gridCol w:w="1111"/>
        <w:gridCol w:w="1003"/>
        <w:gridCol w:w="2245"/>
        <w:gridCol w:w="1003"/>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379" w:type="dxa"/>
            <w:vMerge w:val="restart"/>
            <w:vAlign w:val="center"/>
          </w:tcPr>
          <w:p>
            <w:pPr>
              <w:spacing w:line="240" w:lineRule="auto"/>
              <w:ind w:firstLine="0" w:firstLineChars="0"/>
              <w:jc w:val="center"/>
              <w:rPr>
                <w:sz w:val="21"/>
                <w:szCs w:val="21"/>
              </w:rPr>
            </w:pPr>
            <w:r>
              <w:rPr>
                <w:sz w:val="21"/>
                <w:szCs w:val="21"/>
              </w:rPr>
              <w:t>工序</w:t>
            </w:r>
          </w:p>
        </w:tc>
        <w:tc>
          <w:tcPr>
            <w:tcW w:w="1535" w:type="dxa"/>
            <w:vMerge w:val="restart"/>
            <w:vAlign w:val="center"/>
          </w:tcPr>
          <w:p>
            <w:pPr>
              <w:spacing w:line="240" w:lineRule="auto"/>
              <w:ind w:firstLine="0" w:firstLineChars="0"/>
              <w:jc w:val="center"/>
              <w:rPr>
                <w:sz w:val="21"/>
                <w:szCs w:val="21"/>
              </w:rPr>
            </w:pPr>
            <w:r>
              <w:rPr>
                <w:sz w:val="21"/>
                <w:szCs w:val="21"/>
              </w:rPr>
              <w:t>装置</w:t>
            </w:r>
          </w:p>
        </w:tc>
        <w:tc>
          <w:tcPr>
            <w:tcW w:w="1752" w:type="dxa"/>
            <w:vMerge w:val="restart"/>
            <w:vAlign w:val="center"/>
          </w:tcPr>
          <w:p>
            <w:pPr>
              <w:spacing w:line="240" w:lineRule="auto"/>
              <w:ind w:firstLine="0" w:firstLineChars="0"/>
              <w:jc w:val="center"/>
              <w:rPr>
                <w:sz w:val="21"/>
                <w:szCs w:val="21"/>
              </w:rPr>
            </w:pPr>
            <w:r>
              <w:rPr>
                <w:sz w:val="21"/>
                <w:szCs w:val="21"/>
              </w:rPr>
              <w:t>固废名称</w:t>
            </w:r>
          </w:p>
        </w:tc>
        <w:tc>
          <w:tcPr>
            <w:tcW w:w="2028" w:type="dxa"/>
            <w:vMerge w:val="restart"/>
            <w:vAlign w:val="center"/>
          </w:tcPr>
          <w:p>
            <w:pPr>
              <w:spacing w:line="240" w:lineRule="auto"/>
              <w:ind w:firstLine="0" w:firstLineChars="0"/>
              <w:jc w:val="center"/>
              <w:rPr>
                <w:sz w:val="21"/>
                <w:szCs w:val="21"/>
              </w:rPr>
            </w:pPr>
            <w:r>
              <w:rPr>
                <w:sz w:val="21"/>
                <w:szCs w:val="21"/>
              </w:rPr>
              <w:t>固废属性</w:t>
            </w:r>
          </w:p>
        </w:tc>
        <w:tc>
          <w:tcPr>
            <w:tcW w:w="2114" w:type="dxa"/>
            <w:gridSpan w:val="2"/>
            <w:vAlign w:val="center"/>
          </w:tcPr>
          <w:p>
            <w:pPr>
              <w:spacing w:line="240" w:lineRule="auto"/>
              <w:ind w:firstLine="0" w:firstLineChars="0"/>
              <w:jc w:val="center"/>
              <w:rPr>
                <w:sz w:val="21"/>
                <w:szCs w:val="21"/>
              </w:rPr>
            </w:pPr>
            <w:r>
              <w:rPr>
                <w:sz w:val="21"/>
                <w:szCs w:val="21"/>
              </w:rPr>
              <w:t>产生量</w:t>
            </w:r>
          </w:p>
        </w:tc>
        <w:tc>
          <w:tcPr>
            <w:tcW w:w="3248" w:type="dxa"/>
            <w:gridSpan w:val="2"/>
            <w:vAlign w:val="center"/>
          </w:tcPr>
          <w:p>
            <w:pPr>
              <w:spacing w:line="240" w:lineRule="auto"/>
              <w:ind w:firstLine="0" w:firstLineChars="0"/>
              <w:jc w:val="center"/>
              <w:rPr>
                <w:sz w:val="21"/>
                <w:szCs w:val="21"/>
              </w:rPr>
            </w:pPr>
            <w:r>
              <w:rPr>
                <w:sz w:val="21"/>
                <w:szCs w:val="21"/>
              </w:rPr>
              <w:t>处置措施</w:t>
            </w:r>
          </w:p>
        </w:tc>
        <w:tc>
          <w:tcPr>
            <w:tcW w:w="1872" w:type="dxa"/>
            <w:vMerge w:val="restart"/>
            <w:vAlign w:val="center"/>
          </w:tcPr>
          <w:p>
            <w:pPr>
              <w:spacing w:line="240" w:lineRule="auto"/>
              <w:ind w:firstLine="0" w:firstLineChars="0"/>
              <w:jc w:val="center"/>
              <w:rPr>
                <w:sz w:val="21"/>
                <w:szCs w:val="21"/>
              </w:rPr>
            </w:pPr>
            <w:r>
              <w:rPr>
                <w:sz w:val="21"/>
                <w:szCs w:val="21"/>
              </w:rPr>
              <w:t>最终去向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379" w:type="dxa"/>
            <w:vMerge w:val="continue"/>
            <w:vAlign w:val="center"/>
          </w:tcPr>
          <w:p>
            <w:pPr>
              <w:spacing w:line="240" w:lineRule="auto"/>
              <w:ind w:firstLine="0" w:firstLineChars="0"/>
              <w:jc w:val="center"/>
              <w:rPr>
                <w:sz w:val="21"/>
                <w:szCs w:val="21"/>
              </w:rPr>
            </w:pPr>
          </w:p>
        </w:tc>
        <w:tc>
          <w:tcPr>
            <w:tcW w:w="1535" w:type="dxa"/>
            <w:vMerge w:val="continue"/>
            <w:vAlign w:val="center"/>
          </w:tcPr>
          <w:p>
            <w:pPr>
              <w:spacing w:line="240" w:lineRule="auto"/>
              <w:ind w:firstLine="0" w:firstLineChars="0"/>
              <w:jc w:val="center"/>
              <w:rPr>
                <w:sz w:val="21"/>
                <w:szCs w:val="21"/>
              </w:rPr>
            </w:pPr>
          </w:p>
        </w:tc>
        <w:tc>
          <w:tcPr>
            <w:tcW w:w="1752" w:type="dxa"/>
            <w:vMerge w:val="continue"/>
            <w:vAlign w:val="center"/>
          </w:tcPr>
          <w:p>
            <w:pPr>
              <w:spacing w:line="240" w:lineRule="auto"/>
              <w:ind w:firstLine="0" w:firstLineChars="0"/>
              <w:jc w:val="center"/>
              <w:rPr>
                <w:sz w:val="21"/>
                <w:szCs w:val="21"/>
              </w:rPr>
            </w:pPr>
          </w:p>
        </w:tc>
        <w:tc>
          <w:tcPr>
            <w:tcW w:w="2028" w:type="dxa"/>
            <w:vMerge w:val="continue"/>
            <w:vAlign w:val="center"/>
          </w:tcPr>
          <w:p>
            <w:pPr>
              <w:spacing w:line="240" w:lineRule="auto"/>
              <w:ind w:firstLine="0" w:firstLineChars="0"/>
              <w:jc w:val="center"/>
              <w:rPr>
                <w:sz w:val="21"/>
                <w:szCs w:val="21"/>
              </w:rPr>
            </w:pPr>
          </w:p>
        </w:tc>
        <w:tc>
          <w:tcPr>
            <w:tcW w:w="1111" w:type="dxa"/>
            <w:vAlign w:val="center"/>
          </w:tcPr>
          <w:p>
            <w:pPr>
              <w:spacing w:line="240" w:lineRule="auto"/>
              <w:ind w:firstLine="0" w:firstLineChars="0"/>
              <w:jc w:val="center"/>
              <w:rPr>
                <w:sz w:val="21"/>
                <w:szCs w:val="21"/>
              </w:rPr>
            </w:pPr>
            <w:r>
              <w:rPr>
                <w:sz w:val="21"/>
                <w:szCs w:val="21"/>
              </w:rPr>
              <w:t>核算方法</w:t>
            </w:r>
          </w:p>
        </w:tc>
        <w:tc>
          <w:tcPr>
            <w:tcW w:w="1003" w:type="dxa"/>
            <w:vAlign w:val="center"/>
          </w:tcPr>
          <w:p>
            <w:pPr>
              <w:spacing w:line="240" w:lineRule="auto"/>
              <w:ind w:firstLine="0" w:firstLineChars="0"/>
              <w:jc w:val="center"/>
              <w:rPr>
                <w:sz w:val="21"/>
                <w:szCs w:val="21"/>
              </w:rPr>
            </w:pPr>
            <w:r>
              <w:rPr>
                <w:sz w:val="21"/>
                <w:szCs w:val="21"/>
              </w:rPr>
              <w:t>产生量（t/a）</w:t>
            </w:r>
          </w:p>
        </w:tc>
        <w:tc>
          <w:tcPr>
            <w:tcW w:w="2245" w:type="dxa"/>
            <w:vAlign w:val="center"/>
          </w:tcPr>
          <w:p>
            <w:pPr>
              <w:spacing w:line="240" w:lineRule="auto"/>
              <w:ind w:firstLine="0" w:firstLineChars="0"/>
              <w:jc w:val="center"/>
              <w:rPr>
                <w:sz w:val="21"/>
                <w:szCs w:val="21"/>
              </w:rPr>
            </w:pPr>
            <w:r>
              <w:rPr>
                <w:sz w:val="21"/>
                <w:szCs w:val="21"/>
              </w:rPr>
              <w:t>工艺</w:t>
            </w:r>
          </w:p>
        </w:tc>
        <w:tc>
          <w:tcPr>
            <w:tcW w:w="1003" w:type="dxa"/>
            <w:vAlign w:val="center"/>
          </w:tcPr>
          <w:p>
            <w:pPr>
              <w:spacing w:line="240" w:lineRule="auto"/>
              <w:ind w:firstLine="0" w:firstLineChars="0"/>
              <w:jc w:val="center"/>
              <w:rPr>
                <w:sz w:val="21"/>
                <w:szCs w:val="21"/>
              </w:rPr>
            </w:pPr>
            <w:r>
              <w:rPr>
                <w:sz w:val="21"/>
                <w:szCs w:val="21"/>
              </w:rPr>
              <w:t>处置量</w:t>
            </w:r>
          </w:p>
          <w:p>
            <w:pPr>
              <w:spacing w:line="240" w:lineRule="auto"/>
              <w:ind w:firstLine="0" w:firstLineChars="0"/>
              <w:jc w:val="center"/>
              <w:rPr>
                <w:sz w:val="21"/>
                <w:szCs w:val="21"/>
              </w:rPr>
            </w:pPr>
            <w:r>
              <w:rPr>
                <w:sz w:val="21"/>
                <w:szCs w:val="21"/>
              </w:rPr>
              <w:t>（t/a）</w:t>
            </w:r>
          </w:p>
        </w:tc>
        <w:tc>
          <w:tcPr>
            <w:tcW w:w="1872" w:type="dxa"/>
            <w:vMerge w:val="continue"/>
            <w:vAlign w:val="center"/>
          </w:tcPr>
          <w:p>
            <w:pPr>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9" w:type="dxa"/>
            <w:vMerge w:val="restart"/>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养殖</w:t>
            </w:r>
          </w:p>
        </w:tc>
        <w:tc>
          <w:tcPr>
            <w:tcW w:w="1535" w:type="dxa"/>
            <w:vMerge w:val="restart"/>
            <w:vAlign w:val="center"/>
          </w:tcPr>
          <w:p>
            <w:pPr>
              <w:spacing w:line="240" w:lineRule="auto"/>
              <w:ind w:firstLine="0" w:firstLineChars="0"/>
              <w:jc w:val="center"/>
              <w:rPr>
                <w:sz w:val="21"/>
                <w:szCs w:val="21"/>
              </w:rPr>
            </w:pPr>
            <w:r>
              <w:rPr>
                <w:rFonts w:hint="eastAsia"/>
                <w:sz w:val="21"/>
                <w:szCs w:val="21"/>
              </w:rPr>
              <w:t>猪舍</w:t>
            </w:r>
          </w:p>
        </w:tc>
        <w:tc>
          <w:tcPr>
            <w:tcW w:w="1752" w:type="dxa"/>
            <w:vAlign w:val="center"/>
          </w:tcPr>
          <w:p>
            <w:pPr>
              <w:spacing w:line="240" w:lineRule="auto"/>
              <w:ind w:firstLine="0" w:firstLineChars="0"/>
              <w:jc w:val="center"/>
              <w:rPr>
                <w:sz w:val="21"/>
                <w:szCs w:val="21"/>
              </w:rPr>
            </w:pPr>
            <w:r>
              <w:rPr>
                <w:rFonts w:hint="eastAsia"/>
                <w:sz w:val="21"/>
                <w:szCs w:val="21"/>
              </w:rPr>
              <w:t>病死猪</w:t>
            </w:r>
          </w:p>
        </w:tc>
        <w:tc>
          <w:tcPr>
            <w:tcW w:w="202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一般</w:t>
            </w:r>
            <w:r>
              <w:rPr>
                <w:kern w:val="0"/>
                <w:sz w:val="21"/>
                <w:szCs w:val="20"/>
              </w:rPr>
              <w:t>固废</w:t>
            </w:r>
          </w:p>
        </w:tc>
        <w:tc>
          <w:tcPr>
            <w:tcW w:w="1111" w:type="dxa"/>
            <w:vAlign w:val="center"/>
          </w:tcPr>
          <w:p>
            <w:pPr>
              <w:spacing w:line="240" w:lineRule="auto"/>
              <w:ind w:firstLine="0" w:firstLineChars="0"/>
              <w:jc w:val="center"/>
              <w:rPr>
                <w:sz w:val="21"/>
                <w:szCs w:val="21"/>
              </w:rPr>
            </w:pPr>
            <w:r>
              <w:rPr>
                <w:rFonts w:hint="eastAsia"/>
                <w:sz w:val="21"/>
                <w:szCs w:val="21"/>
              </w:rPr>
              <w:t>类比法</w:t>
            </w:r>
          </w:p>
        </w:tc>
        <w:tc>
          <w:tcPr>
            <w:tcW w:w="1003" w:type="dxa"/>
            <w:vAlign w:val="center"/>
          </w:tcPr>
          <w:p>
            <w:pPr>
              <w:spacing w:line="240" w:lineRule="auto"/>
              <w:ind w:firstLine="0" w:firstLineChars="0"/>
              <w:jc w:val="center"/>
              <w:rPr>
                <w:sz w:val="21"/>
                <w:szCs w:val="21"/>
              </w:rPr>
            </w:pPr>
            <w:r>
              <w:rPr>
                <w:sz w:val="21"/>
                <w:szCs w:val="21"/>
              </w:rPr>
              <w:t>2.86</w:t>
            </w:r>
          </w:p>
        </w:tc>
        <w:tc>
          <w:tcPr>
            <w:tcW w:w="2245" w:type="dxa"/>
            <w:vMerge w:val="restart"/>
            <w:vAlign w:val="center"/>
          </w:tcPr>
          <w:p>
            <w:pPr>
              <w:spacing w:line="240" w:lineRule="auto"/>
              <w:ind w:firstLine="0" w:firstLineChars="0"/>
              <w:jc w:val="center"/>
              <w:rPr>
                <w:sz w:val="21"/>
                <w:szCs w:val="21"/>
              </w:rPr>
            </w:pPr>
            <w:r>
              <w:rPr>
                <w:rFonts w:hint="eastAsia"/>
                <w:sz w:val="21"/>
                <w:szCs w:val="21"/>
              </w:rPr>
              <w:t>设置</w:t>
            </w:r>
            <w:r>
              <w:rPr>
                <w:sz w:val="21"/>
                <w:szCs w:val="21"/>
              </w:rPr>
              <w:t>安全填埋井，</w:t>
            </w:r>
            <w:r>
              <w:rPr>
                <w:rFonts w:hint="eastAsia"/>
                <w:sz w:val="21"/>
                <w:szCs w:val="21"/>
              </w:rPr>
              <w:t>在</w:t>
            </w:r>
            <w:r>
              <w:rPr>
                <w:sz w:val="21"/>
                <w:szCs w:val="21"/>
              </w:rPr>
              <w:t>场内安全填埋</w:t>
            </w:r>
          </w:p>
        </w:tc>
        <w:tc>
          <w:tcPr>
            <w:tcW w:w="1003" w:type="dxa"/>
            <w:vAlign w:val="center"/>
          </w:tcPr>
          <w:p>
            <w:pPr>
              <w:spacing w:line="240" w:lineRule="auto"/>
              <w:ind w:firstLine="0" w:firstLineChars="0"/>
              <w:jc w:val="center"/>
              <w:rPr>
                <w:sz w:val="21"/>
                <w:szCs w:val="21"/>
              </w:rPr>
            </w:pPr>
            <w:r>
              <w:rPr>
                <w:sz w:val="21"/>
                <w:szCs w:val="21"/>
              </w:rPr>
              <w:t>2.86</w:t>
            </w:r>
          </w:p>
        </w:tc>
        <w:tc>
          <w:tcPr>
            <w:tcW w:w="1872" w:type="dxa"/>
            <w:vMerge w:val="restart"/>
            <w:vAlign w:val="center"/>
          </w:tcPr>
          <w:p>
            <w:pPr>
              <w:spacing w:line="240" w:lineRule="auto"/>
              <w:ind w:firstLine="0" w:firstLineChars="0"/>
              <w:jc w:val="center"/>
              <w:rPr>
                <w:sz w:val="21"/>
                <w:szCs w:val="21"/>
              </w:rPr>
            </w:pPr>
            <w:r>
              <w:rPr>
                <w:rFonts w:hint="eastAsia"/>
                <w:sz w:val="21"/>
                <w:szCs w:val="21"/>
              </w:rPr>
              <w:t>安全</w:t>
            </w:r>
            <w:r>
              <w:rPr>
                <w:sz w:val="21"/>
                <w:szCs w:val="21"/>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9" w:type="dxa"/>
            <w:vMerge w:val="continue"/>
            <w:vAlign w:val="center"/>
          </w:tcPr>
          <w:p>
            <w:pPr>
              <w:autoSpaceDE w:val="0"/>
              <w:autoSpaceDN w:val="0"/>
              <w:snapToGrid/>
              <w:spacing w:line="240" w:lineRule="auto"/>
              <w:ind w:firstLine="0" w:firstLineChars="0"/>
              <w:jc w:val="center"/>
              <w:textAlignment w:val="bottom"/>
              <w:rPr>
                <w:sz w:val="21"/>
                <w:szCs w:val="20"/>
                <w:highlight w:val="yellow"/>
              </w:rPr>
            </w:pPr>
          </w:p>
        </w:tc>
        <w:tc>
          <w:tcPr>
            <w:tcW w:w="1535" w:type="dxa"/>
            <w:vMerge w:val="continue"/>
            <w:vAlign w:val="center"/>
          </w:tcPr>
          <w:p>
            <w:pPr>
              <w:spacing w:line="240" w:lineRule="auto"/>
              <w:ind w:firstLine="0" w:firstLineChars="0"/>
              <w:jc w:val="center"/>
              <w:rPr>
                <w:sz w:val="21"/>
                <w:szCs w:val="21"/>
                <w:highlight w:val="yellow"/>
              </w:rPr>
            </w:pPr>
          </w:p>
        </w:tc>
        <w:tc>
          <w:tcPr>
            <w:tcW w:w="1752" w:type="dxa"/>
            <w:vAlign w:val="center"/>
          </w:tcPr>
          <w:p>
            <w:pPr>
              <w:spacing w:line="240" w:lineRule="auto"/>
              <w:ind w:firstLine="0" w:firstLineChars="0"/>
              <w:jc w:val="center"/>
              <w:rPr>
                <w:sz w:val="21"/>
                <w:szCs w:val="21"/>
              </w:rPr>
            </w:pPr>
            <w:r>
              <w:rPr>
                <w:sz w:val="21"/>
                <w:szCs w:val="21"/>
              </w:rPr>
              <w:t>分娩胎衣废物</w:t>
            </w:r>
          </w:p>
        </w:tc>
        <w:tc>
          <w:tcPr>
            <w:tcW w:w="202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一般固废</w:t>
            </w:r>
          </w:p>
        </w:tc>
        <w:tc>
          <w:tcPr>
            <w:tcW w:w="1111" w:type="dxa"/>
            <w:vAlign w:val="center"/>
          </w:tcPr>
          <w:p>
            <w:pPr>
              <w:pStyle w:val="89"/>
            </w:pPr>
            <w:r>
              <w:rPr>
                <w:rFonts w:hint="eastAsia"/>
              </w:rPr>
              <w:t>类比法</w:t>
            </w:r>
          </w:p>
        </w:tc>
        <w:tc>
          <w:tcPr>
            <w:tcW w:w="1003" w:type="dxa"/>
            <w:vAlign w:val="center"/>
          </w:tcPr>
          <w:p>
            <w:pPr>
              <w:spacing w:line="240" w:lineRule="auto"/>
              <w:ind w:firstLine="0" w:firstLineChars="0"/>
              <w:jc w:val="center"/>
              <w:rPr>
                <w:sz w:val="21"/>
                <w:szCs w:val="21"/>
              </w:rPr>
            </w:pPr>
            <w:r>
              <w:rPr>
                <w:sz w:val="21"/>
                <w:szCs w:val="21"/>
              </w:rPr>
              <w:t>2.76</w:t>
            </w:r>
          </w:p>
        </w:tc>
        <w:tc>
          <w:tcPr>
            <w:tcW w:w="2245" w:type="dxa"/>
            <w:vMerge w:val="continue"/>
            <w:vAlign w:val="center"/>
          </w:tcPr>
          <w:p>
            <w:pPr>
              <w:spacing w:line="240" w:lineRule="auto"/>
              <w:ind w:firstLine="0" w:firstLineChars="0"/>
              <w:jc w:val="center"/>
              <w:rPr>
                <w:sz w:val="21"/>
                <w:szCs w:val="21"/>
              </w:rPr>
            </w:pPr>
          </w:p>
        </w:tc>
        <w:tc>
          <w:tcPr>
            <w:tcW w:w="1003" w:type="dxa"/>
            <w:vAlign w:val="center"/>
          </w:tcPr>
          <w:p>
            <w:pPr>
              <w:spacing w:line="240" w:lineRule="auto"/>
              <w:ind w:firstLine="0" w:firstLineChars="0"/>
              <w:jc w:val="center"/>
              <w:rPr>
                <w:sz w:val="21"/>
                <w:szCs w:val="21"/>
              </w:rPr>
            </w:pPr>
            <w:r>
              <w:rPr>
                <w:rFonts w:hint="eastAsia"/>
                <w:sz w:val="21"/>
                <w:szCs w:val="21"/>
              </w:rPr>
              <w:t>2.76</w:t>
            </w:r>
          </w:p>
        </w:tc>
        <w:tc>
          <w:tcPr>
            <w:tcW w:w="1872" w:type="dxa"/>
            <w:vMerge w:val="continue"/>
            <w:vAlign w:val="center"/>
          </w:tcPr>
          <w:p>
            <w:pPr>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9" w:type="dxa"/>
            <w:vMerge w:val="continue"/>
            <w:vAlign w:val="center"/>
          </w:tcPr>
          <w:p>
            <w:pPr>
              <w:autoSpaceDE w:val="0"/>
              <w:autoSpaceDN w:val="0"/>
              <w:snapToGrid/>
              <w:spacing w:line="240" w:lineRule="auto"/>
              <w:ind w:firstLine="0" w:firstLineChars="0"/>
              <w:jc w:val="center"/>
              <w:textAlignment w:val="bottom"/>
              <w:rPr>
                <w:sz w:val="21"/>
                <w:szCs w:val="20"/>
                <w:highlight w:val="yellow"/>
              </w:rPr>
            </w:pPr>
          </w:p>
        </w:tc>
        <w:tc>
          <w:tcPr>
            <w:tcW w:w="1535" w:type="dxa"/>
            <w:vMerge w:val="continue"/>
            <w:vAlign w:val="center"/>
          </w:tcPr>
          <w:p>
            <w:pPr>
              <w:spacing w:line="240" w:lineRule="auto"/>
              <w:ind w:firstLine="0" w:firstLineChars="0"/>
              <w:jc w:val="center"/>
              <w:rPr>
                <w:sz w:val="21"/>
                <w:szCs w:val="21"/>
                <w:highlight w:val="yellow"/>
              </w:rPr>
            </w:pPr>
          </w:p>
        </w:tc>
        <w:tc>
          <w:tcPr>
            <w:tcW w:w="1752" w:type="dxa"/>
            <w:vAlign w:val="center"/>
          </w:tcPr>
          <w:p>
            <w:pPr>
              <w:spacing w:line="240" w:lineRule="auto"/>
              <w:ind w:firstLine="0" w:firstLineChars="0"/>
              <w:jc w:val="center"/>
              <w:rPr>
                <w:sz w:val="21"/>
                <w:szCs w:val="21"/>
              </w:rPr>
            </w:pPr>
            <w:r>
              <w:rPr>
                <w:rFonts w:hint="eastAsia"/>
                <w:sz w:val="21"/>
                <w:szCs w:val="21"/>
              </w:rPr>
              <w:t>猪粪</w:t>
            </w:r>
          </w:p>
        </w:tc>
        <w:tc>
          <w:tcPr>
            <w:tcW w:w="202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一般</w:t>
            </w:r>
            <w:r>
              <w:rPr>
                <w:kern w:val="0"/>
                <w:sz w:val="21"/>
                <w:szCs w:val="20"/>
              </w:rPr>
              <w:t>固废</w:t>
            </w:r>
          </w:p>
        </w:tc>
        <w:tc>
          <w:tcPr>
            <w:tcW w:w="1111" w:type="dxa"/>
            <w:vAlign w:val="center"/>
          </w:tcPr>
          <w:p>
            <w:pPr>
              <w:pStyle w:val="89"/>
            </w:pPr>
            <w:r>
              <w:rPr>
                <w:rFonts w:hint="eastAsia"/>
              </w:rPr>
              <w:t>类比法</w:t>
            </w:r>
          </w:p>
        </w:tc>
        <w:tc>
          <w:tcPr>
            <w:tcW w:w="1003" w:type="dxa"/>
            <w:vAlign w:val="center"/>
          </w:tcPr>
          <w:p>
            <w:pPr>
              <w:spacing w:line="240" w:lineRule="auto"/>
              <w:ind w:firstLine="0" w:firstLineChars="0"/>
              <w:jc w:val="center"/>
              <w:rPr>
                <w:sz w:val="21"/>
                <w:szCs w:val="21"/>
              </w:rPr>
            </w:pPr>
            <w:r>
              <w:rPr>
                <w:sz w:val="21"/>
                <w:szCs w:val="21"/>
              </w:rPr>
              <w:t>2263</w:t>
            </w:r>
          </w:p>
        </w:tc>
        <w:tc>
          <w:tcPr>
            <w:tcW w:w="2245" w:type="dxa"/>
            <w:vAlign w:val="center"/>
          </w:tcPr>
          <w:p>
            <w:pPr>
              <w:spacing w:line="240" w:lineRule="auto"/>
              <w:ind w:firstLine="0" w:firstLineChars="0"/>
              <w:jc w:val="center"/>
              <w:rPr>
                <w:sz w:val="21"/>
                <w:szCs w:val="21"/>
                <w:highlight w:val="yellow"/>
              </w:rPr>
            </w:pPr>
            <w:r>
              <w:rPr>
                <w:rFonts w:hint="eastAsia"/>
                <w:sz w:val="21"/>
                <w:szCs w:val="21"/>
              </w:rPr>
              <w:t>采用</w:t>
            </w:r>
            <w:r>
              <w:rPr>
                <w:sz w:val="21"/>
                <w:szCs w:val="21"/>
              </w:rPr>
              <w:t>干清粪工艺，分离</w:t>
            </w:r>
            <w:r>
              <w:rPr>
                <w:rFonts w:hint="eastAsia"/>
                <w:sz w:val="21"/>
                <w:szCs w:val="21"/>
              </w:rPr>
              <w:t>率</w:t>
            </w:r>
            <w:r>
              <w:rPr>
                <w:sz w:val="21"/>
                <w:szCs w:val="21"/>
              </w:rPr>
              <w:t>80%</w:t>
            </w:r>
            <w:r>
              <w:rPr>
                <w:rFonts w:hint="eastAsia"/>
                <w:sz w:val="21"/>
                <w:szCs w:val="21"/>
              </w:rPr>
              <w:t>袋装</w:t>
            </w:r>
            <w:r>
              <w:rPr>
                <w:sz w:val="21"/>
                <w:szCs w:val="21"/>
              </w:rPr>
              <w:t>外售给有机肥</w:t>
            </w:r>
            <w:r>
              <w:rPr>
                <w:rFonts w:hint="eastAsia"/>
                <w:sz w:val="21"/>
                <w:szCs w:val="21"/>
              </w:rPr>
              <w:t>厂</w:t>
            </w:r>
            <w:r>
              <w:rPr>
                <w:sz w:val="21"/>
                <w:szCs w:val="21"/>
              </w:rPr>
              <w:t>作为原料，20%进入</w:t>
            </w:r>
            <w:r>
              <w:rPr>
                <w:rFonts w:hint="eastAsia"/>
                <w:sz w:val="21"/>
                <w:szCs w:val="21"/>
              </w:rPr>
              <w:t>厌氧</w:t>
            </w:r>
            <w:r>
              <w:rPr>
                <w:sz w:val="21"/>
                <w:szCs w:val="21"/>
              </w:rPr>
              <w:t>发酵池</w:t>
            </w:r>
          </w:p>
        </w:tc>
        <w:tc>
          <w:tcPr>
            <w:tcW w:w="1003" w:type="dxa"/>
            <w:vAlign w:val="center"/>
          </w:tcPr>
          <w:p>
            <w:pPr>
              <w:spacing w:line="240" w:lineRule="auto"/>
              <w:ind w:firstLine="0" w:firstLineChars="0"/>
              <w:jc w:val="center"/>
              <w:rPr>
                <w:sz w:val="21"/>
                <w:szCs w:val="21"/>
              </w:rPr>
            </w:pPr>
            <w:r>
              <w:rPr>
                <w:sz w:val="21"/>
                <w:szCs w:val="21"/>
              </w:rPr>
              <w:t>2263</w:t>
            </w:r>
          </w:p>
        </w:tc>
        <w:tc>
          <w:tcPr>
            <w:tcW w:w="1872" w:type="dxa"/>
            <w:vAlign w:val="center"/>
          </w:tcPr>
          <w:p>
            <w:pPr>
              <w:spacing w:line="240" w:lineRule="auto"/>
              <w:ind w:firstLine="0" w:firstLineChars="0"/>
              <w:rPr>
                <w:sz w:val="21"/>
                <w:szCs w:val="21"/>
              </w:rPr>
            </w:pPr>
            <w:r>
              <w:rPr>
                <w:rFonts w:hint="eastAsia"/>
                <w:sz w:val="21"/>
                <w:szCs w:val="21"/>
              </w:rPr>
              <w:t>固粪外售有机肥</w:t>
            </w:r>
            <w:r>
              <w:rPr>
                <w:sz w:val="21"/>
                <w:szCs w:val="21"/>
              </w:rPr>
              <w:t>加工厂</w:t>
            </w:r>
            <w:r>
              <w:rPr>
                <w:rFonts w:hint="eastAsia"/>
                <w:sz w:val="21"/>
                <w:szCs w:val="21"/>
              </w:rPr>
              <w:t>作为</w:t>
            </w:r>
            <w:r>
              <w:rPr>
                <w:sz w:val="21"/>
                <w:szCs w:val="21"/>
              </w:rPr>
              <w:t>原料、</w:t>
            </w:r>
          </w:p>
          <w:p>
            <w:pPr>
              <w:spacing w:line="240" w:lineRule="auto"/>
              <w:ind w:firstLine="0" w:firstLineChars="0"/>
              <w:rPr>
                <w:sz w:val="21"/>
                <w:szCs w:val="21"/>
                <w:highlight w:val="yellow"/>
              </w:rPr>
            </w:pPr>
            <w:r>
              <w:rPr>
                <w:rFonts w:hint="eastAsia"/>
                <w:sz w:val="21"/>
                <w:szCs w:val="21"/>
              </w:rPr>
              <w:t>其余</w:t>
            </w:r>
            <w:r>
              <w:rPr>
                <w:sz w:val="21"/>
                <w:szCs w:val="21"/>
              </w:rPr>
              <w:t>粪尿进入厌氧发酵池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9"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沼气</w:t>
            </w:r>
            <w:r>
              <w:rPr>
                <w:kern w:val="0"/>
                <w:sz w:val="21"/>
                <w:szCs w:val="20"/>
              </w:rPr>
              <w:t>脱硫</w:t>
            </w:r>
          </w:p>
        </w:tc>
        <w:tc>
          <w:tcPr>
            <w:tcW w:w="1535" w:type="dxa"/>
            <w:vAlign w:val="center"/>
          </w:tcPr>
          <w:p>
            <w:pPr>
              <w:spacing w:line="240" w:lineRule="auto"/>
              <w:ind w:firstLine="0" w:firstLineChars="0"/>
              <w:jc w:val="center"/>
              <w:rPr>
                <w:sz w:val="21"/>
                <w:szCs w:val="21"/>
              </w:rPr>
            </w:pPr>
            <w:r>
              <w:rPr>
                <w:rFonts w:hint="eastAsia"/>
                <w:sz w:val="21"/>
                <w:szCs w:val="21"/>
              </w:rPr>
              <w:t>脱硫</w:t>
            </w:r>
            <w:r>
              <w:rPr>
                <w:sz w:val="21"/>
                <w:szCs w:val="21"/>
              </w:rPr>
              <w:t>装置</w:t>
            </w:r>
          </w:p>
        </w:tc>
        <w:tc>
          <w:tcPr>
            <w:tcW w:w="175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废脱硫剂</w:t>
            </w:r>
          </w:p>
        </w:tc>
        <w:tc>
          <w:tcPr>
            <w:tcW w:w="202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一般固废</w:t>
            </w:r>
          </w:p>
        </w:tc>
        <w:tc>
          <w:tcPr>
            <w:tcW w:w="1111" w:type="dxa"/>
            <w:vAlign w:val="center"/>
          </w:tcPr>
          <w:p>
            <w:pPr>
              <w:spacing w:line="240" w:lineRule="auto"/>
              <w:ind w:firstLine="0" w:firstLineChars="0"/>
              <w:jc w:val="center"/>
              <w:rPr>
                <w:sz w:val="21"/>
                <w:szCs w:val="21"/>
              </w:rPr>
            </w:pPr>
            <w:r>
              <w:rPr>
                <w:rFonts w:hint="eastAsia"/>
                <w:sz w:val="21"/>
                <w:szCs w:val="21"/>
              </w:rPr>
              <w:t>类比法</w:t>
            </w:r>
          </w:p>
        </w:tc>
        <w:tc>
          <w:tcPr>
            <w:tcW w:w="1003" w:type="dxa"/>
            <w:vAlign w:val="center"/>
          </w:tcPr>
          <w:p>
            <w:pPr>
              <w:spacing w:line="240" w:lineRule="auto"/>
              <w:ind w:firstLine="0" w:firstLineChars="0"/>
              <w:jc w:val="center"/>
              <w:rPr>
                <w:sz w:val="21"/>
                <w:szCs w:val="21"/>
              </w:rPr>
            </w:pPr>
            <w:r>
              <w:rPr>
                <w:rFonts w:hint="eastAsia"/>
                <w:sz w:val="21"/>
                <w:szCs w:val="21"/>
              </w:rPr>
              <w:t>0.</w:t>
            </w:r>
            <w:r>
              <w:rPr>
                <w:sz w:val="21"/>
                <w:szCs w:val="21"/>
              </w:rPr>
              <w:t>003</w:t>
            </w:r>
          </w:p>
        </w:tc>
        <w:tc>
          <w:tcPr>
            <w:tcW w:w="2245" w:type="dxa"/>
            <w:vAlign w:val="center"/>
          </w:tcPr>
          <w:p>
            <w:pPr>
              <w:spacing w:line="240" w:lineRule="auto"/>
              <w:ind w:firstLine="0" w:firstLineChars="0"/>
              <w:jc w:val="center"/>
              <w:rPr>
                <w:sz w:val="21"/>
                <w:szCs w:val="21"/>
              </w:rPr>
            </w:pPr>
            <w:r>
              <w:rPr>
                <w:rFonts w:hint="eastAsia"/>
                <w:sz w:val="21"/>
                <w:szCs w:val="21"/>
              </w:rPr>
              <w:t>厂家</w:t>
            </w:r>
            <w:r>
              <w:rPr>
                <w:sz w:val="21"/>
                <w:szCs w:val="21"/>
              </w:rPr>
              <w:t>回收处置</w:t>
            </w:r>
          </w:p>
        </w:tc>
        <w:tc>
          <w:tcPr>
            <w:tcW w:w="1003" w:type="dxa"/>
            <w:vAlign w:val="center"/>
          </w:tcPr>
          <w:p>
            <w:pPr>
              <w:spacing w:line="240" w:lineRule="auto"/>
              <w:ind w:firstLine="0" w:firstLineChars="0"/>
              <w:jc w:val="center"/>
              <w:rPr>
                <w:sz w:val="21"/>
                <w:szCs w:val="21"/>
              </w:rPr>
            </w:pPr>
            <w:r>
              <w:rPr>
                <w:rFonts w:hint="eastAsia"/>
                <w:sz w:val="21"/>
                <w:szCs w:val="21"/>
              </w:rPr>
              <w:t>0.003</w:t>
            </w:r>
          </w:p>
        </w:tc>
        <w:tc>
          <w:tcPr>
            <w:tcW w:w="1872" w:type="dxa"/>
            <w:vAlign w:val="center"/>
          </w:tcPr>
          <w:p>
            <w:pPr>
              <w:spacing w:line="240" w:lineRule="auto"/>
              <w:ind w:firstLine="0" w:firstLineChars="0"/>
              <w:jc w:val="center"/>
              <w:rPr>
                <w:sz w:val="21"/>
                <w:szCs w:val="21"/>
              </w:rPr>
            </w:pPr>
            <w:r>
              <w:rPr>
                <w:rFonts w:hint="eastAsia"/>
                <w:sz w:val="21"/>
                <w:szCs w:val="21"/>
              </w:rPr>
              <w:t>厂家</w:t>
            </w:r>
            <w:r>
              <w:rPr>
                <w:sz w:val="21"/>
                <w:szCs w:val="21"/>
              </w:rPr>
              <w:t>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9" w:type="dxa"/>
            <w:vAlign w:val="center"/>
          </w:tcPr>
          <w:p>
            <w:pPr>
              <w:autoSpaceDE w:val="0"/>
              <w:autoSpaceDN w:val="0"/>
              <w:snapToGrid/>
              <w:spacing w:line="240" w:lineRule="auto"/>
              <w:ind w:firstLine="0" w:firstLineChars="0"/>
              <w:textAlignment w:val="bottom"/>
              <w:rPr>
                <w:kern w:val="0"/>
                <w:sz w:val="21"/>
                <w:szCs w:val="20"/>
              </w:rPr>
            </w:pPr>
            <w:r>
              <w:rPr>
                <w:rFonts w:hint="eastAsia"/>
                <w:kern w:val="0"/>
                <w:sz w:val="21"/>
                <w:szCs w:val="20"/>
              </w:rPr>
              <w:t>接种疫苗，日常防疫化验以及对病伤猪进行救治</w:t>
            </w:r>
          </w:p>
        </w:tc>
        <w:tc>
          <w:tcPr>
            <w:tcW w:w="1535" w:type="dxa"/>
            <w:vAlign w:val="center"/>
          </w:tcPr>
          <w:p>
            <w:pPr>
              <w:spacing w:line="240" w:lineRule="auto"/>
              <w:ind w:firstLine="0" w:firstLineChars="0"/>
              <w:jc w:val="center"/>
              <w:rPr>
                <w:sz w:val="21"/>
                <w:szCs w:val="21"/>
              </w:rPr>
            </w:pPr>
            <w:r>
              <w:rPr>
                <w:rFonts w:hint="eastAsia"/>
                <w:sz w:val="21"/>
                <w:szCs w:val="21"/>
              </w:rPr>
              <w:t>猪舍</w:t>
            </w:r>
          </w:p>
        </w:tc>
        <w:tc>
          <w:tcPr>
            <w:tcW w:w="1752"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医疗废物</w:t>
            </w:r>
          </w:p>
        </w:tc>
        <w:tc>
          <w:tcPr>
            <w:tcW w:w="202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危险</w:t>
            </w:r>
            <w:r>
              <w:rPr>
                <w:kern w:val="0"/>
                <w:sz w:val="21"/>
                <w:szCs w:val="20"/>
              </w:rPr>
              <w:t>废物</w:t>
            </w:r>
          </w:p>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HW03</w:t>
            </w:r>
            <w:r>
              <w:rPr>
                <w:kern w:val="0"/>
                <w:sz w:val="21"/>
                <w:szCs w:val="20"/>
              </w:rPr>
              <w:t>-900-00</w:t>
            </w:r>
            <w:r>
              <w:rPr>
                <w:rFonts w:hint="eastAsia"/>
                <w:kern w:val="0"/>
                <w:sz w:val="21"/>
                <w:szCs w:val="20"/>
              </w:rPr>
              <w:t>2</w:t>
            </w:r>
            <w:r>
              <w:rPr>
                <w:kern w:val="0"/>
                <w:sz w:val="21"/>
                <w:szCs w:val="20"/>
              </w:rPr>
              <w:t>-0</w:t>
            </w:r>
            <w:r>
              <w:rPr>
                <w:rFonts w:hint="eastAsia"/>
                <w:kern w:val="0"/>
                <w:sz w:val="21"/>
                <w:szCs w:val="20"/>
              </w:rPr>
              <w:t>3</w:t>
            </w:r>
          </w:p>
        </w:tc>
        <w:tc>
          <w:tcPr>
            <w:tcW w:w="1111" w:type="dxa"/>
            <w:vAlign w:val="center"/>
          </w:tcPr>
          <w:p>
            <w:pPr>
              <w:spacing w:line="240" w:lineRule="auto"/>
              <w:ind w:firstLine="0" w:firstLineChars="0"/>
              <w:jc w:val="center"/>
              <w:rPr>
                <w:sz w:val="21"/>
                <w:szCs w:val="21"/>
              </w:rPr>
            </w:pPr>
            <w:r>
              <w:rPr>
                <w:rFonts w:hint="eastAsia"/>
                <w:sz w:val="21"/>
                <w:szCs w:val="21"/>
              </w:rPr>
              <w:t>类比法</w:t>
            </w:r>
          </w:p>
        </w:tc>
        <w:tc>
          <w:tcPr>
            <w:tcW w:w="1003" w:type="dxa"/>
            <w:vAlign w:val="center"/>
          </w:tcPr>
          <w:p>
            <w:pPr>
              <w:spacing w:line="240" w:lineRule="auto"/>
              <w:ind w:firstLine="0" w:firstLineChars="0"/>
              <w:jc w:val="center"/>
              <w:rPr>
                <w:sz w:val="21"/>
                <w:szCs w:val="21"/>
              </w:rPr>
            </w:pPr>
            <w:r>
              <w:rPr>
                <w:rFonts w:hint="eastAsia"/>
                <w:sz w:val="21"/>
                <w:szCs w:val="21"/>
              </w:rPr>
              <w:t>0.27</w:t>
            </w:r>
          </w:p>
        </w:tc>
        <w:tc>
          <w:tcPr>
            <w:tcW w:w="2245" w:type="dxa"/>
            <w:vAlign w:val="center"/>
          </w:tcPr>
          <w:p>
            <w:pPr>
              <w:spacing w:line="240" w:lineRule="auto"/>
              <w:ind w:firstLine="0" w:firstLineChars="0"/>
              <w:jc w:val="center"/>
              <w:rPr>
                <w:sz w:val="21"/>
                <w:szCs w:val="21"/>
              </w:rPr>
            </w:pPr>
            <w:r>
              <w:rPr>
                <w:sz w:val="21"/>
                <w:szCs w:val="21"/>
              </w:rPr>
              <w:t>暂存于危废暂存间，交由有危废资质单位处置</w:t>
            </w:r>
          </w:p>
        </w:tc>
        <w:tc>
          <w:tcPr>
            <w:tcW w:w="1003" w:type="dxa"/>
            <w:vAlign w:val="center"/>
          </w:tcPr>
          <w:p>
            <w:pPr>
              <w:spacing w:line="240" w:lineRule="auto"/>
              <w:ind w:firstLine="0" w:firstLineChars="0"/>
              <w:jc w:val="center"/>
              <w:rPr>
                <w:sz w:val="21"/>
                <w:szCs w:val="21"/>
              </w:rPr>
            </w:pPr>
            <w:r>
              <w:rPr>
                <w:rFonts w:hint="eastAsia"/>
                <w:sz w:val="21"/>
                <w:szCs w:val="21"/>
              </w:rPr>
              <w:t>0.27</w:t>
            </w:r>
          </w:p>
        </w:tc>
        <w:tc>
          <w:tcPr>
            <w:tcW w:w="1872" w:type="dxa"/>
            <w:vAlign w:val="center"/>
          </w:tcPr>
          <w:p>
            <w:pPr>
              <w:spacing w:line="240" w:lineRule="auto"/>
              <w:ind w:firstLine="0" w:firstLineChars="0"/>
              <w:jc w:val="center"/>
              <w:rPr>
                <w:sz w:val="21"/>
                <w:szCs w:val="21"/>
              </w:rPr>
            </w:pPr>
            <w:r>
              <w:rPr>
                <w:sz w:val="21"/>
                <w:szCs w:val="21"/>
              </w:rPr>
              <w:t>交由有危废资质单位处置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79"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生活、办公</w:t>
            </w:r>
          </w:p>
        </w:tc>
        <w:tc>
          <w:tcPr>
            <w:tcW w:w="1535" w:type="dxa"/>
            <w:vAlign w:val="center"/>
          </w:tcPr>
          <w:p>
            <w:pPr>
              <w:spacing w:line="240" w:lineRule="auto"/>
              <w:ind w:firstLine="0" w:firstLineChars="0"/>
              <w:jc w:val="center"/>
              <w:rPr>
                <w:sz w:val="21"/>
                <w:szCs w:val="21"/>
              </w:rPr>
            </w:pPr>
            <w:r>
              <w:rPr>
                <w:sz w:val="21"/>
                <w:szCs w:val="21"/>
              </w:rPr>
              <w:t>员工生活</w:t>
            </w:r>
          </w:p>
        </w:tc>
        <w:tc>
          <w:tcPr>
            <w:tcW w:w="1752" w:type="dxa"/>
            <w:vAlign w:val="center"/>
          </w:tcPr>
          <w:p>
            <w:pPr>
              <w:autoSpaceDE w:val="0"/>
              <w:autoSpaceDN w:val="0"/>
              <w:snapToGrid/>
              <w:spacing w:line="240" w:lineRule="auto"/>
              <w:ind w:firstLine="0" w:firstLineChars="0"/>
              <w:jc w:val="center"/>
              <w:textAlignment w:val="bottom"/>
              <w:rPr>
                <w:sz w:val="21"/>
                <w:szCs w:val="20"/>
              </w:rPr>
            </w:pPr>
            <w:r>
              <w:rPr>
                <w:sz w:val="21"/>
                <w:szCs w:val="20"/>
              </w:rPr>
              <w:t>生活垃圾</w:t>
            </w:r>
          </w:p>
        </w:tc>
        <w:tc>
          <w:tcPr>
            <w:tcW w:w="2028" w:type="dxa"/>
            <w:vAlign w:val="center"/>
          </w:tcPr>
          <w:p>
            <w:pPr>
              <w:spacing w:line="240" w:lineRule="auto"/>
              <w:ind w:firstLine="0" w:firstLineChars="0"/>
              <w:jc w:val="center"/>
              <w:rPr>
                <w:sz w:val="21"/>
                <w:szCs w:val="21"/>
              </w:rPr>
            </w:pPr>
            <w:r>
              <w:rPr>
                <w:sz w:val="21"/>
                <w:szCs w:val="21"/>
              </w:rPr>
              <w:t>一般</w:t>
            </w:r>
            <w:r>
              <w:rPr>
                <w:rFonts w:hint="eastAsia"/>
                <w:sz w:val="21"/>
                <w:szCs w:val="21"/>
              </w:rPr>
              <w:t>固废</w:t>
            </w:r>
          </w:p>
        </w:tc>
        <w:tc>
          <w:tcPr>
            <w:tcW w:w="1111" w:type="dxa"/>
            <w:vAlign w:val="center"/>
          </w:tcPr>
          <w:p>
            <w:pPr>
              <w:spacing w:line="240" w:lineRule="auto"/>
              <w:ind w:firstLine="0" w:firstLineChars="0"/>
              <w:jc w:val="center"/>
              <w:rPr>
                <w:sz w:val="21"/>
                <w:szCs w:val="21"/>
              </w:rPr>
            </w:pPr>
            <w:r>
              <w:rPr>
                <w:sz w:val="21"/>
                <w:szCs w:val="21"/>
              </w:rPr>
              <w:t>类比法</w:t>
            </w:r>
          </w:p>
        </w:tc>
        <w:tc>
          <w:tcPr>
            <w:tcW w:w="1003" w:type="dxa"/>
            <w:vAlign w:val="center"/>
          </w:tcPr>
          <w:p>
            <w:pPr>
              <w:spacing w:line="240" w:lineRule="auto"/>
              <w:ind w:firstLine="0" w:firstLineChars="0"/>
              <w:jc w:val="center"/>
              <w:rPr>
                <w:sz w:val="21"/>
                <w:szCs w:val="21"/>
              </w:rPr>
            </w:pPr>
            <w:r>
              <w:rPr>
                <w:rFonts w:hint="eastAsia"/>
                <w:sz w:val="21"/>
                <w:szCs w:val="21"/>
              </w:rPr>
              <w:t>9.13</w:t>
            </w:r>
          </w:p>
        </w:tc>
        <w:tc>
          <w:tcPr>
            <w:tcW w:w="2245" w:type="dxa"/>
            <w:vAlign w:val="center"/>
          </w:tcPr>
          <w:p>
            <w:pPr>
              <w:spacing w:line="240" w:lineRule="auto"/>
              <w:ind w:firstLine="0" w:firstLineChars="0"/>
              <w:jc w:val="center"/>
              <w:rPr>
                <w:sz w:val="21"/>
                <w:szCs w:val="21"/>
              </w:rPr>
            </w:pPr>
            <w:r>
              <w:rPr>
                <w:kern w:val="0"/>
                <w:sz w:val="21"/>
                <w:szCs w:val="20"/>
              </w:rPr>
              <w:t>垃圾桶统一收集，由环卫部门统一清运</w:t>
            </w:r>
          </w:p>
        </w:tc>
        <w:tc>
          <w:tcPr>
            <w:tcW w:w="1003" w:type="dxa"/>
            <w:vAlign w:val="center"/>
          </w:tcPr>
          <w:p>
            <w:pPr>
              <w:spacing w:line="240" w:lineRule="auto"/>
              <w:ind w:firstLine="0" w:firstLineChars="0"/>
              <w:jc w:val="center"/>
              <w:rPr>
                <w:sz w:val="21"/>
                <w:szCs w:val="21"/>
              </w:rPr>
            </w:pPr>
            <w:r>
              <w:rPr>
                <w:rFonts w:hint="eastAsia"/>
                <w:sz w:val="21"/>
                <w:szCs w:val="21"/>
              </w:rPr>
              <w:t>9.13</w:t>
            </w:r>
          </w:p>
        </w:tc>
        <w:tc>
          <w:tcPr>
            <w:tcW w:w="1872" w:type="dxa"/>
            <w:vAlign w:val="center"/>
          </w:tcPr>
          <w:p>
            <w:pPr>
              <w:spacing w:line="240" w:lineRule="auto"/>
              <w:ind w:firstLine="0" w:firstLineChars="0"/>
              <w:jc w:val="center"/>
              <w:rPr>
                <w:sz w:val="21"/>
                <w:szCs w:val="21"/>
              </w:rPr>
            </w:pPr>
            <w:r>
              <w:rPr>
                <w:kern w:val="0"/>
                <w:sz w:val="21"/>
                <w:szCs w:val="20"/>
              </w:rPr>
              <w:t>垃圾桶统一收集，由环卫部门统一清运</w:t>
            </w:r>
          </w:p>
        </w:tc>
      </w:tr>
    </w:tbl>
    <w:p>
      <w:pPr>
        <w:ind w:firstLine="199" w:firstLineChars="83"/>
      </w:pPr>
    </w:p>
    <w:p>
      <w:pPr>
        <w:ind w:firstLine="199" w:firstLineChars="83"/>
      </w:pPr>
    </w:p>
    <w:p>
      <w:pPr>
        <w:ind w:firstLine="199" w:firstLineChars="83"/>
      </w:pPr>
    </w:p>
    <w:p>
      <w:pPr>
        <w:ind w:firstLine="199" w:firstLineChars="83"/>
      </w:pPr>
    </w:p>
    <w:p>
      <w:pPr>
        <w:ind w:firstLine="199" w:firstLineChars="83"/>
        <w:sectPr>
          <w:headerReference r:id="rId33" w:type="default"/>
          <w:headerReference r:id="rId34" w:type="even"/>
          <w:pgSz w:w="16838" w:h="11906" w:orient="landscape"/>
          <w:pgMar w:top="1800" w:right="1440" w:bottom="1800" w:left="1440" w:header="992" w:footer="992" w:gutter="0"/>
          <w:cols w:space="425" w:num="1"/>
          <w:docGrid w:type="lines" w:linePitch="326" w:charSpace="0"/>
        </w:sectPr>
      </w:pPr>
    </w:p>
    <w:p>
      <w:pPr>
        <w:pStyle w:val="4"/>
      </w:pPr>
      <w:r>
        <w:rPr>
          <w:rFonts w:hint="eastAsia"/>
        </w:rPr>
        <w:t>非正常工况</w:t>
      </w:r>
      <w:r>
        <w:t>分析</w:t>
      </w:r>
    </w:p>
    <w:p>
      <w:pPr>
        <w:pStyle w:val="79"/>
        <w:ind w:firstLine="480"/>
      </w:pPr>
      <w:r>
        <w:rPr>
          <w:rFonts w:hint="eastAsia"/>
        </w:rPr>
        <w:t>项目非正常工况主要为环保设施的非正常运行，对于本项目而言，主要体现为废水处理设施的非正常运行情况。本项目非正常排放有以下</w:t>
      </w:r>
      <w:r>
        <w:t>2</w:t>
      </w:r>
      <w:r>
        <w:rPr>
          <w:rFonts w:hint="eastAsia"/>
        </w:rPr>
        <w:t>种可能：</w:t>
      </w:r>
    </w:p>
    <w:p>
      <w:pPr>
        <w:pStyle w:val="79"/>
        <w:ind w:firstLine="480"/>
      </w:pPr>
      <w:r>
        <w:rPr>
          <w:rFonts w:hint="eastAsia"/>
        </w:rPr>
        <w:t>（</w:t>
      </w:r>
      <w:r>
        <w:t>1</w:t>
      </w:r>
      <w:r>
        <w:rPr>
          <w:rFonts w:hint="eastAsia"/>
        </w:rPr>
        <w:t>）养殖废水处理</w:t>
      </w:r>
    </w:p>
    <w:p>
      <w:pPr>
        <w:pStyle w:val="79"/>
        <w:ind w:firstLine="480"/>
      </w:pPr>
      <w:r>
        <w:rPr>
          <w:rFonts w:hint="eastAsia"/>
        </w:rPr>
        <w:t>废水经本项目污水处理系统“集</w:t>
      </w:r>
      <w:r>
        <w:t>粪池</w:t>
      </w:r>
      <w:r>
        <w:rPr>
          <w:rFonts w:hint="eastAsia"/>
        </w:rPr>
        <w:t>+固液</w:t>
      </w:r>
      <w:r>
        <w:t>分离</w:t>
      </w:r>
      <w:r>
        <w:rPr>
          <w:rFonts w:hint="eastAsia"/>
        </w:rPr>
        <w:t>+厌氧</w:t>
      </w:r>
      <w:r>
        <w:t>发酵池处理</w:t>
      </w:r>
      <w:r>
        <w:rPr>
          <w:rFonts w:hint="eastAsia"/>
        </w:rPr>
        <w:t>”</w:t>
      </w:r>
      <w:r>
        <w:t>处理后</w:t>
      </w:r>
      <w:r>
        <w:rPr>
          <w:rFonts w:hint="eastAsia"/>
        </w:rPr>
        <w:t>，用于魔芋、林果等种植农田施肥，项目废水全部自行消纳，不排入地表水体，正常工况下不会影响到附近河流的水质。项目在</w:t>
      </w:r>
      <w:r>
        <w:t>每个圈舍所在区域设置</w:t>
      </w:r>
      <w:r>
        <w:rPr>
          <w:rFonts w:hint="eastAsia"/>
        </w:rPr>
        <w:t>污水</w:t>
      </w:r>
      <w:r>
        <w:t>暂存池</w:t>
      </w:r>
      <w:r>
        <w:rPr>
          <w:rFonts w:hint="eastAsia"/>
        </w:rPr>
        <w:t>，用来储存圈舍</w:t>
      </w:r>
      <w:r>
        <w:t>产生的废水，收集后排入污水处理系统，可作为非正常</w:t>
      </w:r>
      <w:r>
        <w:rPr>
          <w:rFonts w:hint="eastAsia"/>
        </w:rPr>
        <w:t>工况</w:t>
      </w:r>
      <w:r>
        <w:t>下污水处理系统</w:t>
      </w:r>
      <w:r>
        <w:rPr>
          <w:rFonts w:hint="eastAsia"/>
        </w:rPr>
        <w:t>故障时的废水，保证污水处理系统发生故障时不出现外排。因此不考虑设置废水外排的非正常工况情景。</w:t>
      </w:r>
    </w:p>
    <w:p>
      <w:pPr>
        <w:pStyle w:val="79"/>
        <w:ind w:firstLine="480"/>
      </w:pPr>
      <w:r>
        <w:rPr>
          <w:rFonts w:hint="eastAsia"/>
        </w:rPr>
        <w:t>（</w:t>
      </w:r>
      <w:r>
        <w:t>2</w:t>
      </w:r>
      <w:r>
        <w:rPr>
          <w:rFonts w:hint="eastAsia"/>
        </w:rPr>
        <w:t>）恶臭气体</w:t>
      </w:r>
    </w:p>
    <w:p>
      <w:pPr>
        <w:pStyle w:val="79"/>
        <w:ind w:firstLine="480"/>
      </w:pPr>
      <w:r>
        <w:rPr>
          <w:rFonts w:hint="eastAsia"/>
        </w:rPr>
        <w:t>项目猪舍可能发生粪污清理设备故障、换气系统故障等情景，非正常工况下可以采取人工清理粪污、及时更换风机等措施，废气非正常排放可以得到有效控制，因此不考虑设置猪舍废气非正常工况排放情景。</w:t>
      </w:r>
    </w:p>
    <w:p>
      <w:pPr>
        <w:pStyle w:val="4"/>
      </w:pPr>
      <w:r>
        <w:rPr>
          <w:rFonts w:hint="eastAsia"/>
        </w:rPr>
        <w:t>项目</w:t>
      </w:r>
      <w:r>
        <w:t>污染物排放</w:t>
      </w:r>
      <w:r>
        <w:rPr>
          <w:rFonts w:hint="eastAsia" w:asciiTheme="minorEastAsia" w:hAnsiTheme="minorEastAsia" w:eastAsiaTheme="minorEastAsia"/>
        </w:rPr>
        <w:t>汇总</w:t>
      </w:r>
    </w:p>
    <w:p>
      <w:pPr>
        <w:ind w:firstLine="199" w:firstLineChars="83"/>
      </w:pPr>
      <w:r>
        <w:rPr>
          <w:rFonts w:hint="eastAsia"/>
        </w:rPr>
        <w:t>本项目污染物</w:t>
      </w:r>
      <w:r>
        <w:t>排放汇总</w:t>
      </w:r>
      <w:r>
        <w:rPr>
          <w:rFonts w:hint="eastAsia"/>
        </w:rPr>
        <w:t>情况</w:t>
      </w:r>
      <w:r>
        <w:t>见</w:t>
      </w:r>
      <w:r>
        <w:rPr>
          <w:rFonts w:hint="eastAsia"/>
        </w:rPr>
        <w:t>表3.3-1</w:t>
      </w:r>
      <w:r>
        <w:t>6</w:t>
      </w:r>
      <w:r>
        <w:rPr>
          <w:rFonts w:hint="eastAsia"/>
        </w:rPr>
        <w:t>。</w:t>
      </w:r>
    </w:p>
    <w:p>
      <w:pPr>
        <w:pStyle w:val="85"/>
        <w:sectPr>
          <w:headerReference r:id="rId35" w:type="default"/>
          <w:headerReference r:id="rId36" w:type="even"/>
          <w:pgSz w:w="11906" w:h="16838"/>
          <w:pgMar w:top="1440" w:right="1800" w:bottom="1440" w:left="1800" w:header="992" w:footer="992" w:gutter="0"/>
          <w:pgNumType w:fmt="numberInDash"/>
          <w:cols w:space="425" w:num="1"/>
          <w:docGrid w:type="lines" w:linePitch="326" w:charSpace="0"/>
        </w:sectPr>
      </w:pPr>
      <w:bookmarkStart w:id="104" w:name="_Ref37937281"/>
    </w:p>
    <w:p>
      <w:pPr>
        <w:pStyle w:val="85"/>
      </w:pPr>
      <w:r>
        <w:rPr>
          <w:rFonts w:hint="eastAsia"/>
        </w:rPr>
        <w:t>表</w:t>
      </w:r>
      <w:r>
        <w:fldChar w:fldCharType="begin"/>
      </w:r>
      <w:r>
        <w:rPr>
          <w:rFonts w:hint="eastAsia"/>
        </w:rPr>
        <w:instrText xml:space="preserve">STYLEREF 2 \s</w:instrText>
      </w:r>
      <w:r>
        <w:fldChar w:fldCharType="separate"/>
      </w:r>
      <w:r>
        <w:t>3.3</w:t>
      </w:r>
      <w:r>
        <w:fldChar w:fldCharType="end"/>
      </w:r>
      <w:r>
        <w:noBreakHyphen/>
      </w:r>
      <w:bookmarkEnd w:id="104"/>
      <w:r>
        <w:rPr>
          <w:rFonts w:hint="eastAsia"/>
        </w:rPr>
        <w:t>1</w:t>
      </w:r>
      <w:r>
        <w:t>6</w:t>
      </w:r>
      <w:r>
        <w:rPr>
          <w:rFonts w:hint="eastAsia"/>
        </w:rPr>
        <w:t xml:space="preserve">  项目污染物排放汇总表</w:t>
      </w:r>
    </w:p>
    <w:tbl>
      <w:tblPr>
        <w:tblStyle w:val="27"/>
        <w:tblW w:w="139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400"/>
        <w:gridCol w:w="1362"/>
        <w:gridCol w:w="3187"/>
        <w:gridCol w:w="4599"/>
        <w:gridCol w:w="26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11" w:type="dxa"/>
            <w:vAlign w:val="center"/>
          </w:tcPr>
          <w:p>
            <w:pPr>
              <w:pStyle w:val="89"/>
              <w:ind w:left="115" w:right="170"/>
            </w:pPr>
            <w:r>
              <w:rPr>
                <w:rFonts w:hint="eastAsia"/>
              </w:rPr>
              <w:t>类型</w:t>
            </w:r>
          </w:p>
        </w:tc>
        <w:tc>
          <w:tcPr>
            <w:tcW w:w="2762" w:type="dxa"/>
            <w:gridSpan w:val="2"/>
            <w:vAlign w:val="center"/>
          </w:tcPr>
          <w:p>
            <w:pPr>
              <w:pStyle w:val="89"/>
              <w:ind w:left="115" w:right="170"/>
            </w:pPr>
            <w:r>
              <w:rPr>
                <w:rFonts w:hint="eastAsia"/>
              </w:rPr>
              <w:t>污染物</w:t>
            </w:r>
            <w:r>
              <w:t>名称</w:t>
            </w:r>
          </w:p>
        </w:tc>
        <w:tc>
          <w:tcPr>
            <w:tcW w:w="3187" w:type="dxa"/>
            <w:vAlign w:val="center"/>
          </w:tcPr>
          <w:p>
            <w:pPr>
              <w:pStyle w:val="89"/>
              <w:ind w:left="115" w:right="170"/>
            </w:pPr>
            <w:r>
              <w:rPr>
                <w:rFonts w:hint="eastAsia"/>
              </w:rPr>
              <w:t>产生</w:t>
            </w:r>
            <w:r>
              <w:t>浓度及产生量</w:t>
            </w:r>
          </w:p>
        </w:tc>
        <w:tc>
          <w:tcPr>
            <w:tcW w:w="4599" w:type="dxa"/>
            <w:vAlign w:val="center"/>
          </w:tcPr>
          <w:p>
            <w:pPr>
              <w:pStyle w:val="89"/>
              <w:ind w:left="115" w:right="170"/>
            </w:pPr>
            <w:r>
              <w:rPr>
                <w:rFonts w:hint="eastAsia"/>
              </w:rPr>
              <w:t>治理</w:t>
            </w:r>
            <w:r>
              <w:t>措施</w:t>
            </w:r>
          </w:p>
        </w:tc>
        <w:tc>
          <w:tcPr>
            <w:tcW w:w="2669" w:type="dxa"/>
            <w:vAlign w:val="center"/>
          </w:tcPr>
          <w:p>
            <w:pPr>
              <w:pStyle w:val="89"/>
              <w:ind w:left="115" w:right="170"/>
            </w:pPr>
            <w:r>
              <w:rPr>
                <w:rFonts w:hint="eastAsia"/>
              </w:rPr>
              <w:t>排放</w:t>
            </w:r>
            <w:r>
              <w:t>浓度及排放量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restart"/>
            <w:vAlign w:val="center"/>
          </w:tcPr>
          <w:p>
            <w:pPr>
              <w:pStyle w:val="89"/>
              <w:ind w:left="115" w:right="170"/>
            </w:pPr>
            <w:r>
              <w:rPr>
                <w:rFonts w:hint="eastAsia"/>
              </w:rPr>
              <w:t>废气</w:t>
            </w:r>
          </w:p>
        </w:tc>
        <w:tc>
          <w:tcPr>
            <w:tcW w:w="1400" w:type="dxa"/>
            <w:vMerge w:val="restart"/>
            <w:vAlign w:val="center"/>
          </w:tcPr>
          <w:p>
            <w:pPr>
              <w:pStyle w:val="89"/>
              <w:ind w:left="115" w:right="170"/>
            </w:pPr>
            <w:r>
              <w:rPr>
                <w:rFonts w:hint="eastAsia"/>
              </w:rPr>
              <w:t>猪</w:t>
            </w:r>
            <w:r>
              <w:t>舍</w:t>
            </w:r>
          </w:p>
        </w:tc>
        <w:tc>
          <w:tcPr>
            <w:tcW w:w="1362" w:type="dxa"/>
            <w:vAlign w:val="center"/>
          </w:tcPr>
          <w:p>
            <w:pPr>
              <w:pStyle w:val="84"/>
              <w:ind w:left="115" w:right="170"/>
              <w:rPr>
                <w:rFonts w:hAnsi="Times New Roman"/>
              </w:rPr>
            </w:pPr>
            <w:r>
              <w:rPr>
                <w:rFonts w:hint="eastAsia" w:hAnsi="Times New Roman"/>
              </w:rPr>
              <w:t>NH</w:t>
            </w:r>
            <w:r>
              <w:rPr>
                <w:rFonts w:hint="eastAsia" w:hAnsi="Times New Roman"/>
                <w:vertAlign w:val="subscript"/>
              </w:rPr>
              <w:t>3</w:t>
            </w:r>
          </w:p>
        </w:tc>
        <w:tc>
          <w:tcPr>
            <w:tcW w:w="3187" w:type="dxa"/>
            <w:vAlign w:val="center"/>
          </w:tcPr>
          <w:p>
            <w:pPr>
              <w:pStyle w:val="89"/>
              <w:ind w:left="115" w:right="170"/>
            </w:pPr>
            <w:r>
              <w:t>0.393t/a</w:t>
            </w:r>
          </w:p>
        </w:tc>
        <w:tc>
          <w:tcPr>
            <w:tcW w:w="4599" w:type="dxa"/>
            <w:vMerge w:val="restart"/>
            <w:vAlign w:val="center"/>
          </w:tcPr>
          <w:p>
            <w:pPr>
              <w:pStyle w:val="89"/>
              <w:ind w:left="115" w:right="170"/>
            </w:pPr>
            <w:r>
              <w:rPr>
                <w:rFonts w:hint="eastAsia"/>
              </w:rPr>
              <w:t>优化控制养殖密度，饲料中添加抑制剂，干清粪工艺，喷洒除臭剂，加强通风</w:t>
            </w:r>
          </w:p>
        </w:tc>
        <w:tc>
          <w:tcPr>
            <w:tcW w:w="2669" w:type="dxa"/>
            <w:vAlign w:val="center"/>
          </w:tcPr>
          <w:p>
            <w:pPr>
              <w:pStyle w:val="89"/>
              <w:ind w:left="115" w:right="170"/>
            </w:pPr>
            <w:r>
              <w:t xml:space="preserve">0.039t/a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continue"/>
            <w:vAlign w:val="center"/>
          </w:tcPr>
          <w:p>
            <w:pPr>
              <w:pStyle w:val="89"/>
              <w:ind w:left="115" w:right="170"/>
            </w:pPr>
          </w:p>
        </w:tc>
        <w:tc>
          <w:tcPr>
            <w:tcW w:w="1362" w:type="dxa"/>
            <w:vAlign w:val="center"/>
          </w:tcPr>
          <w:p>
            <w:pPr>
              <w:pStyle w:val="84"/>
              <w:ind w:left="115" w:right="170"/>
              <w:rPr>
                <w:rFonts w:hAnsi="Times New Roman"/>
              </w:rPr>
            </w:pPr>
            <w:r>
              <w:rPr>
                <w:rFonts w:hint="eastAsia" w:hAnsi="Times New Roman"/>
              </w:rPr>
              <w:t>H</w:t>
            </w:r>
            <w:r>
              <w:rPr>
                <w:rFonts w:hint="eastAsia" w:hAnsi="Times New Roman"/>
                <w:vertAlign w:val="subscript"/>
              </w:rPr>
              <w:t>2</w:t>
            </w:r>
            <w:r>
              <w:rPr>
                <w:rFonts w:hint="eastAsia" w:hAnsi="Times New Roman"/>
              </w:rPr>
              <w:t>S</w:t>
            </w:r>
          </w:p>
        </w:tc>
        <w:tc>
          <w:tcPr>
            <w:tcW w:w="3187" w:type="dxa"/>
            <w:vAlign w:val="center"/>
          </w:tcPr>
          <w:p>
            <w:pPr>
              <w:pStyle w:val="89"/>
              <w:ind w:left="115" w:right="170"/>
            </w:pPr>
            <w:r>
              <w:t>0.064t/a</w:t>
            </w:r>
          </w:p>
        </w:tc>
        <w:tc>
          <w:tcPr>
            <w:tcW w:w="4599" w:type="dxa"/>
            <w:vMerge w:val="continue"/>
            <w:vAlign w:val="center"/>
          </w:tcPr>
          <w:p>
            <w:pPr>
              <w:pStyle w:val="89"/>
              <w:ind w:left="115" w:right="170"/>
            </w:pPr>
          </w:p>
        </w:tc>
        <w:tc>
          <w:tcPr>
            <w:tcW w:w="2669" w:type="dxa"/>
            <w:vAlign w:val="center"/>
          </w:tcPr>
          <w:p>
            <w:pPr>
              <w:pStyle w:val="89"/>
              <w:ind w:left="115" w:right="170"/>
            </w:pPr>
            <w:r>
              <w:rPr>
                <w:rFonts w:hAnsi="宋体"/>
              </w:rPr>
              <w:t>0.006</w:t>
            </w:r>
            <w:r>
              <w:t xml:space="preserve">t/a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restart"/>
            <w:vAlign w:val="center"/>
          </w:tcPr>
          <w:p>
            <w:pPr>
              <w:pStyle w:val="89"/>
            </w:pPr>
            <w:r>
              <w:rPr>
                <w:rFonts w:hint="eastAsia"/>
              </w:rPr>
              <w:t>堆粪棚</w:t>
            </w:r>
          </w:p>
        </w:tc>
        <w:tc>
          <w:tcPr>
            <w:tcW w:w="1362" w:type="dxa"/>
            <w:vAlign w:val="center"/>
          </w:tcPr>
          <w:p>
            <w:pPr>
              <w:pStyle w:val="84"/>
              <w:ind w:left="115" w:right="170"/>
              <w:rPr>
                <w:rFonts w:hAnsi="Times New Roman"/>
              </w:rPr>
            </w:pPr>
            <w:r>
              <w:rPr>
                <w:rFonts w:hint="eastAsia" w:hAnsi="Times New Roman"/>
              </w:rPr>
              <w:t>NH</w:t>
            </w:r>
            <w:r>
              <w:rPr>
                <w:rFonts w:hint="eastAsia" w:hAnsi="Times New Roman"/>
                <w:vertAlign w:val="subscript"/>
              </w:rPr>
              <w:t>3</w:t>
            </w:r>
          </w:p>
        </w:tc>
        <w:tc>
          <w:tcPr>
            <w:tcW w:w="3187" w:type="dxa"/>
            <w:vAlign w:val="center"/>
          </w:tcPr>
          <w:p>
            <w:pPr>
              <w:autoSpaceDE w:val="0"/>
              <w:autoSpaceDN w:val="0"/>
              <w:spacing w:line="280" w:lineRule="exact"/>
              <w:ind w:firstLine="0" w:firstLineChars="0"/>
              <w:jc w:val="center"/>
              <w:rPr>
                <w:kern w:val="0"/>
                <w:sz w:val="21"/>
                <w:szCs w:val="21"/>
              </w:rPr>
            </w:pPr>
            <w:r>
              <w:rPr>
                <w:kern w:val="0"/>
                <w:sz w:val="21"/>
                <w:szCs w:val="21"/>
              </w:rPr>
              <w:t>0.569</w:t>
            </w:r>
            <w:r>
              <w:rPr>
                <w:rFonts w:hint="eastAsia"/>
                <w:kern w:val="0"/>
                <w:sz w:val="21"/>
                <w:szCs w:val="21"/>
              </w:rPr>
              <w:t>t</w:t>
            </w:r>
            <w:r>
              <w:rPr>
                <w:kern w:val="0"/>
                <w:sz w:val="21"/>
                <w:szCs w:val="21"/>
              </w:rPr>
              <w:t>/</w:t>
            </w:r>
            <w:r>
              <w:rPr>
                <w:rFonts w:hint="eastAsia"/>
                <w:kern w:val="0"/>
                <w:sz w:val="21"/>
                <w:szCs w:val="21"/>
              </w:rPr>
              <w:t>a</w:t>
            </w:r>
          </w:p>
        </w:tc>
        <w:tc>
          <w:tcPr>
            <w:tcW w:w="4599" w:type="dxa"/>
            <w:vMerge w:val="restart"/>
            <w:vAlign w:val="center"/>
          </w:tcPr>
          <w:p>
            <w:pPr>
              <w:pStyle w:val="89"/>
              <w:ind w:right="170"/>
              <w:rPr>
                <w:highlight w:val="yellow"/>
              </w:rPr>
            </w:pPr>
            <w:r>
              <w:rPr>
                <w:rFonts w:hint="eastAsia"/>
                <w:szCs w:val="21"/>
              </w:rPr>
              <w:t>干</w:t>
            </w:r>
            <w:r>
              <w:rPr>
                <w:szCs w:val="21"/>
              </w:rPr>
              <w:t>清粪</w:t>
            </w:r>
            <w:r>
              <w:rPr>
                <w:rFonts w:hint="eastAsia"/>
                <w:szCs w:val="21"/>
              </w:rPr>
              <w:t>，</w:t>
            </w:r>
            <w:r>
              <w:rPr>
                <w:szCs w:val="21"/>
              </w:rPr>
              <w:t>设置</w:t>
            </w:r>
            <w:r>
              <w:rPr>
                <w:rFonts w:hint="eastAsia"/>
                <w:szCs w:val="21"/>
              </w:rPr>
              <w:t>堆粪棚</w:t>
            </w:r>
            <w:r>
              <w:rPr>
                <w:szCs w:val="21"/>
              </w:rPr>
              <w:t>，</w:t>
            </w:r>
            <w:r>
              <w:rPr>
                <w:rFonts w:hint="eastAsia"/>
                <w:szCs w:val="21"/>
              </w:rPr>
              <w:t>喷洒植物性除臭剂，</w:t>
            </w:r>
            <w:r>
              <w:rPr>
                <w:szCs w:val="21"/>
              </w:rPr>
              <w:t>及时清运</w:t>
            </w:r>
          </w:p>
        </w:tc>
        <w:tc>
          <w:tcPr>
            <w:tcW w:w="2669" w:type="dxa"/>
            <w:vAlign w:val="center"/>
          </w:tcPr>
          <w:p>
            <w:pPr>
              <w:autoSpaceDE w:val="0"/>
              <w:autoSpaceDN w:val="0"/>
              <w:spacing w:line="280" w:lineRule="exact"/>
              <w:ind w:firstLine="0" w:firstLineChars="0"/>
              <w:jc w:val="center"/>
              <w:rPr>
                <w:kern w:val="0"/>
                <w:sz w:val="21"/>
                <w:szCs w:val="21"/>
              </w:rPr>
            </w:pPr>
            <w:r>
              <w:rPr>
                <w:kern w:val="0"/>
                <w:sz w:val="21"/>
                <w:szCs w:val="21"/>
              </w:rPr>
              <w:t>0.085</w:t>
            </w:r>
            <w:r>
              <w:rPr>
                <w:rFonts w:hint="eastAsia"/>
                <w:kern w:val="0"/>
                <w:sz w:val="21"/>
                <w:szCs w:val="21"/>
              </w:rPr>
              <w:t>t</w:t>
            </w:r>
            <w:r>
              <w:rPr>
                <w:kern w:val="0"/>
                <w:sz w:val="21"/>
                <w:szCs w:val="21"/>
              </w:rPr>
              <w:t>/</w:t>
            </w:r>
            <w:r>
              <w:rPr>
                <w:rFonts w:hint="eastAsia"/>
                <w:kern w:val="0"/>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continue"/>
            <w:vAlign w:val="center"/>
          </w:tcPr>
          <w:p>
            <w:pPr>
              <w:pStyle w:val="89"/>
              <w:ind w:left="115" w:right="170"/>
            </w:pPr>
          </w:p>
        </w:tc>
        <w:tc>
          <w:tcPr>
            <w:tcW w:w="1362" w:type="dxa"/>
            <w:vAlign w:val="center"/>
          </w:tcPr>
          <w:p>
            <w:pPr>
              <w:pStyle w:val="84"/>
              <w:ind w:left="115" w:right="170"/>
              <w:rPr>
                <w:rFonts w:hAnsi="Times New Roman"/>
              </w:rPr>
            </w:pPr>
            <w:r>
              <w:rPr>
                <w:rFonts w:hint="eastAsia" w:hAnsi="Times New Roman"/>
              </w:rPr>
              <w:t>H</w:t>
            </w:r>
            <w:r>
              <w:rPr>
                <w:rFonts w:hint="eastAsia" w:hAnsi="Times New Roman"/>
                <w:vertAlign w:val="subscript"/>
              </w:rPr>
              <w:t>2</w:t>
            </w:r>
            <w:r>
              <w:rPr>
                <w:rFonts w:hint="eastAsia" w:hAnsi="Times New Roman"/>
              </w:rPr>
              <w:t>S</w:t>
            </w:r>
          </w:p>
        </w:tc>
        <w:tc>
          <w:tcPr>
            <w:tcW w:w="3187" w:type="dxa"/>
            <w:vAlign w:val="center"/>
          </w:tcPr>
          <w:p>
            <w:pPr>
              <w:autoSpaceDE w:val="0"/>
              <w:autoSpaceDN w:val="0"/>
              <w:spacing w:line="280" w:lineRule="exact"/>
              <w:ind w:firstLine="0" w:firstLineChars="0"/>
              <w:jc w:val="center"/>
              <w:rPr>
                <w:kern w:val="0"/>
                <w:sz w:val="21"/>
                <w:szCs w:val="21"/>
              </w:rPr>
            </w:pPr>
            <w:r>
              <w:rPr>
                <w:kern w:val="0"/>
                <w:sz w:val="21"/>
                <w:szCs w:val="21"/>
              </w:rPr>
              <w:t>0.033</w:t>
            </w:r>
            <w:r>
              <w:rPr>
                <w:rFonts w:hint="eastAsia"/>
                <w:kern w:val="0"/>
                <w:sz w:val="21"/>
                <w:szCs w:val="21"/>
              </w:rPr>
              <w:t>t</w:t>
            </w:r>
            <w:r>
              <w:rPr>
                <w:kern w:val="0"/>
                <w:sz w:val="21"/>
                <w:szCs w:val="21"/>
              </w:rPr>
              <w:t>/</w:t>
            </w:r>
            <w:r>
              <w:rPr>
                <w:rFonts w:hint="eastAsia"/>
                <w:kern w:val="0"/>
                <w:sz w:val="21"/>
                <w:szCs w:val="21"/>
              </w:rPr>
              <w:t>a</w:t>
            </w:r>
          </w:p>
        </w:tc>
        <w:tc>
          <w:tcPr>
            <w:tcW w:w="4599" w:type="dxa"/>
            <w:vMerge w:val="continue"/>
            <w:vAlign w:val="center"/>
          </w:tcPr>
          <w:p>
            <w:pPr>
              <w:pStyle w:val="89"/>
              <w:ind w:left="115" w:right="170"/>
              <w:rPr>
                <w:highlight w:val="yellow"/>
              </w:rPr>
            </w:pPr>
          </w:p>
        </w:tc>
        <w:tc>
          <w:tcPr>
            <w:tcW w:w="2669" w:type="dxa"/>
            <w:vAlign w:val="center"/>
          </w:tcPr>
          <w:p>
            <w:pPr>
              <w:autoSpaceDE w:val="0"/>
              <w:autoSpaceDN w:val="0"/>
              <w:spacing w:line="280" w:lineRule="exact"/>
              <w:ind w:firstLine="0" w:firstLineChars="0"/>
              <w:jc w:val="center"/>
              <w:rPr>
                <w:kern w:val="0"/>
                <w:sz w:val="21"/>
                <w:szCs w:val="21"/>
              </w:rPr>
            </w:pPr>
            <w:r>
              <w:rPr>
                <w:rFonts w:hint="eastAsia"/>
                <w:kern w:val="0"/>
                <w:sz w:val="21"/>
                <w:szCs w:val="21"/>
              </w:rPr>
              <w:t>0</w:t>
            </w:r>
            <w:r>
              <w:rPr>
                <w:kern w:val="0"/>
                <w:sz w:val="21"/>
                <w:szCs w:val="21"/>
              </w:rPr>
              <w:t>.005</w:t>
            </w:r>
            <w:r>
              <w:rPr>
                <w:rFonts w:hint="eastAsia"/>
                <w:kern w:val="0"/>
                <w:sz w:val="21"/>
                <w:szCs w:val="21"/>
              </w:rPr>
              <w:t>t</w:t>
            </w:r>
            <w:r>
              <w:rPr>
                <w:kern w:val="0"/>
                <w:sz w:val="21"/>
                <w:szCs w:val="21"/>
              </w:rPr>
              <w:t>/</w:t>
            </w:r>
            <w:r>
              <w:rPr>
                <w:rFonts w:hint="eastAsia"/>
                <w:kern w:val="0"/>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restart"/>
            <w:vAlign w:val="center"/>
          </w:tcPr>
          <w:p>
            <w:pPr>
              <w:pStyle w:val="89"/>
            </w:pPr>
            <w:r>
              <w:rPr>
                <w:rFonts w:hint="eastAsia"/>
              </w:rPr>
              <w:t>污水</w:t>
            </w:r>
            <w:r>
              <w:t>处理区</w:t>
            </w:r>
          </w:p>
        </w:tc>
        <w:tc>
          <w:tcPr>
            <w:tcW w:w="1362" w:type="dxa"/>
            <w:vAlign w:val="center"/>
          </w:tcPr>
          <w:p>
            <w:pPr>
              <w:pStyle w:val="84"/>
              <w:ind w:left="115" w:right="170"/>
              <w:rPr>
                <w:rFonts w:hAnsi="Times New Roman"/>
              </w:rPr>
            </w:pPr>
            <w:r>
              <w:rPr>
                <w:rFonts w:hint="eastAsia" w:hAnsi="Times New Roman"/>
              </w:rPr>
              <w:t>NH</w:t>
            </w:r>
            <w:r>
              <w:rPr>
                <w:rFonts w:hint="eastAsia" w:hAnsi="Times New Roman"/>
                <w:vertAlign w:val="subscript"/>
              </w:rPr>
              <w:t>3</w:t>
            </w:r>
          </w:p>
        </w:tc>
        <w:tc>
          <w:tcPr>
            <w:tcW w:w="3187" w:type="dxa"/>
            <w:vAlign w:val="center"/>
          </w:tcPr>
          <w:p>
            <w:pPr>
              <w:autoSpaceDE w:val="0"/>
              <w:autoSpaceDN w:val="0"/>
              <w:spacing w:line="280" w:lineRule="exact"/>
              <w:ind w:firstLine="0" w:firstLineChars="0"/>
              <w:jc w:val="center"/>
              <w:rPr>
                <w:kern w:val="0"/>
                <w:sz w:val="21"/>
                <w:szCs w:val="21"/>
              </w:rPr>
            </w:pPr>
            <w:r>
              <w:rPr>
                <w:kern w:val="0"/>
                <w:sz w:val="21"/>
                <w:szCs w:val="21"/>
              </w:rPr>
              <w:t>0.020</w:t>
            </w:r>
            <w:r>
              <w:rPr>
                <w:rFonts w:hint="eastAsia"/>
                <w:kern w:val="0"/>
                <w:sz w:val="21"/>
                <w:szCs w:val="21"/>
              </w:rPr>
              <w:t>t</w:t>
            </w:r>
            <w:r>
              <w:rPr>
                <w:kern w:val="0"/>
                <w:sz w:val="21"/>
                <w:szCs w:val="21"/>
              </w:rPr>
              <w:t>/</w:t>
            </w:r>
            <w:r>
              <w:rPr>
                <w:rFonts w:hint="eastAsia"/>
                <w:kern w:val="0"/>
                <w:sz w:val="21"/>
                <w:szCs w:val="21"/>
              </w:rPr>
              <w:t>a</w:t>
            </w:r>
          </w:p>
        </w:tc>
        <w:tc>
          <w:tcPr>
            <w:tcW w:w="4599" w:type="dxa"/>
            <w:vMerge w:val="restart"/>
            <w:vAlign w:val="center"/>
          </w:tcPr>
          <w:p>
            <w:pPr>
              <w:pStyle w:val="89"/>
              <w:ind w:left="115" w:right="170"/>
              <w:rPr>
                <w:highlight w:val="yellow"/>
              </w:rPr>
            </w:pPr>
            <w:r>
              <w:rPr>
                <w:rFonts w:hint="eastAsia"/>
              </w:rPr>
              <w:t>加盖密闭，喷洒除臭剂</w:t>
            </w:r>
          </w:p>
        </w:tc>
        <w:tc>
          <w:tcPr>
            <w:tcW w:w="2669" w:type="dxa"/>
            <w:vAlign w:val="center"/>
          </w:tcPr>
          <w:p>
            <w:pPr>
              <w:autoSpaceDE w:val="0"/>
              <w:autoSpaceDN w:val="0"/>
              <w:spacing w:line="280" w:lineRule="exact"/>
              <w:ind w:firstLine="0" w:firstLineChars="0"/>
              <w:jc w:val="center"/>
              <w:rPr>
                <w:kern w:val="0"/>
                <w:sz w:val="21"/>
                <w:szCs w:val="21"/>
              </w:rPr>
            </w:pPr>
            <w:r>
              <w:rPr>
                <w:kern w:val="0"/>
                <w:sz w:val="21"/>
                <w:szCs w:val="21"/>
              </w:rPr>
              <w:t>0.003</w:t>
            </w:r>
            <w:r>
              <w:rPr>
                <w:rFonts w:hint="eastAsia"/>
                <w:kern w:val="0"/>
                <w:sz w:val="21"/>
                <w:szCs w:val="21"/>
              </w:rPr>
              <w:t>t</w:t>
            </w:r>
            <w:r>
              <w:rPr>
                <w:kern w:val="0"/>
                <w:sz w:val="21"/>
                <w:szCs w:val="21"/>
              </w:rPr>
              <w:t>/</w:t>
            </w:r>
            <w:r>
              <w:rPr>
                <w:rFonts w:hint="eastAsia"/>
                <w:kern w:val="0"/>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continue"/>
            <w:vAlign w:val="center"/>
          </w:tcPr>
          <w:p>
            <w:pPr>
              <w:pStyle w:val="89"/>
              <w:ind w:left="115" w:right="170"/>
            </w:pPr>
          </w:p>
        </w:tc>
        <w:tc>
          <w:tcPr>
            <w:tcW w:w="1362" w:type="dxa"/>
            <w:vAlign w:val="center"/>
          </w:tcPr>
          <w:p>
            <w:pPr>
              <w:pStyle w:val="84"/>
              <w:ind w:left="115" w:right="170"/>
              <w:rPr>
                <w:rFonts w:hAnsi="Times New Roman"/>
              </w:rPr>
            </w:pPr>
            <w:r>
              <w:rPr>
                <w:rFonts w:hint="eastAsia" w:hAnsi="Times New Roman"/>
              </w:rPr>
              <w:t>H</w:t>
            </w:r>
            <w:r>
              <w:rPr>
                <w:rFonts w:hint="eastAsia" w:hAnsi="Times New Roman"/>
                <w:vertAlign w:val="subscript"/>
              </w:rPr>
              <w:t>2</w:t>
            </w:r>
            <w:r>
              <w:rPr>
                <w:rFonts w:hint="eastAsia" w:hAnsi="Times New Roman"/>
              </w:rPr>
              <w:t>S</w:t>
            </w:r>
          </w:p>
        </w:tc>
        <w:tc>
          <w:tcPr>
            <w:tcW w:w="3187" w:type="dxa"/>
            <w:vAlign w:val="center"/>
          </w:tcPr>
          <w:p>
            <w:pPr>
              <w:autoSpaceDE w:val="0"/>
              <w:autoSpaceDN w:val="0"/>
              <w:spacing w:line="280" w:lineRule="exact"/>
              <w:ind w:firstLine="0" w:firstLineChars="0"/>
              <w:jc w:val="center"/>
              <w:rPr>
                <w:kern w:val="0"/>
                <w:sz w:val="21"/>
                <w:szCs w:val="21"/>
              </w:rPr>
            </w:pPr>
            <w:r>
              <w:rPr>
                <w:kern w:val="0"/>
                <w:sz w:val="21"/>
                <w:szCs w:val="21"/>
              </w:rPr>
              <w:t>0.0007</w:t>
            </w:r>
            <w:r>
              <w:rPr>
                <w:rFonts w:hint="eastAsia"/>
                <w:kern w:val="0"/>
                <w:sz w:val="21"/>
                <w:szCs w:val="21"/>
              </w:rPr>
              <w:t>t</w:t>
            </w:r>
            <w:r>
              <w:rPr>
                <w:kern w:val="0"/>
                <w:sz w:val="21"/>
                <w:szCs w:val="21"/>
              </w:rPr>
              <w:t>/</w:t>
            </w:r>
            <w:r>
              <w:rPr>
                <w:rFonts w:hint="eastAsia"/>
                <w:kern w:val="0"/>
                <w:sz w:val="21"/>
                <w:szCs w:val="21"/>
              </w:rPr>
              <w:t>a</w:t>
            </w:r>
          </w:p>
        </w:tc>
        <w:tc>
          <w:tcPr>
            <w:tcW w:w="4599" w:type="dxa"/>
            <w:vMerge w:val="continue"/>
            <w:vAlign w:val="center"/>
          </w:tcPr>
          <w:p>
            <w:pPr>
              <w:pStyle w:val="89"/>
              <w:ind w:left="115" w:right="170"/>
              <w:rPr>
                <w:highlight w:val="yellow"/>
              </w:rPr>
            </w:pPr>
          </w:p>
        </w:tc>
        <w:tc>
          <w:tcPr>
            <w:tcW w:w="2669" w:type="dxa"/>
            <w:vAlign w:val="center"/>
          </w:tcPr>
          <w:p>
            <w:pPr>
              <w:autoSpaceDE w:val="0"/>
              <w:autoSpaceDN w:val="0"/>
              <w:spacing w:line="280" w:lineRule="exact"/>
              <w:ind w:firstLine="0" w:firstLineChars="0"/>
              <w:jc w:val="center"/>
              <w:rPr>
                <w:kern w:val="0"/>
                <w:sz w:val="21"/>
                <w:szCs w:val="21"/>
              </w:rPr>
            </w:pPr>
            <w:r>
              <w:rPr>
                <w:rFonts w:hint="eastAsia"/>
                <w:kern w:val="0"/>
                <w:sz w:val="21"/>
                <w:szCs w:val="21"/>
              </w:rPr>
              <w:t>0</w:t>
            </w:r>
            <w:r>
              <w:rPr>
                <w:kern w:val="0"/>
                <w:sz w:val="21"/>
                <w:szCs w:val="21"/>
              </w:rPr>
              <w:t>.00001</w:t>
            </w:r>
            <w:r>
              <w:rPr>
                <w:rFonts w:hint="eastAsia"/>
                <w:kern w:val="0"/>
                <w:sz w:val="21"/>
                <w:szCs w:val="21"/>
              </w:rPr>
              <w:t>t</w:t>
            </w:r>
            <w:r>
              <w:rPr>
                <w:kern w:val="0"/>
                <w:sz w:val="21"/>
                <w:szCs w:val="21"/>
              </w:rPr>
              <w:t>/</w:t>
            </w:r>
            <w:r>
              <w:rPr>
                <w:rFonts w:hint="eastAsia"/>
                <w:kern w:val="0"/>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restart"/>
            <w:vAlign w:val="center"/>
          </w:tcPr>
          <w:p>
            <w:pPr>
              <w:pStyle w:val="89"/>
            </w:pPr>
            <w:r>
              <w:rPr>
                <w:rFonts w:hint="eastAsia"/>
              </w:rPr>
              <w:t>沼气火炬</w:t>
            </w:r>
            <w:r>
              <w:t>燃烧</w:t>
            </w:r>
          </w:p>
        </w:tc>
        <w:tc>
          <w:tcPr>
            <w:tcW w:w="1362" w:type="dxa"/>
            <w:vAlign w:val="center"/>
          </w:tcPr>
          <w:p>
            <w:pPr>
              <w:pStyle w:val="89"/>
            </w:pPr>
            <w:r>
              <w:rPr>
                <w:rFonts w:hint="eastAsia"/>
              </w:rPr>
              <w:t>颗粒物</w:t>
            </w:r>
          </w:p>
        </w:tc>
        <w:tc>
          <w:tcPr>
            <w:tcW w:w="3187"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0.001t/a</w:t>
            </w:r>
          </w:p>
        </w:tc>
        <w:tc>
          <w:tcPr>
            <w:tcW w:w="4599" w:type="dxa"/>
            <w:vMerge w:val="restart"/>
            <w:vAlign w:val="center"/>
          </w:tcPr>
          <w:p>
            <w:pPr>
              <w:pStyle w:val="89"/>
              <w:ind w:right="170"/>
              <w:rPr>
                <w:highlight w:val="yellow"/>
              </w:rPr>
            </w:pPr>
            <w:r>
              <w:rPr>
                <w:rFonts w:hint="eastAsia"/>
              </w:rPr>
              <w:t>火炬</w:t>
            </w:r>
            <w:r>
              <w:t>燃烧，不低于</w:t>
            </w:r>
            <w:r>
              <w:rPr>
                <w:rFonts w:hint="eastAsia"/>
              </w:rPr>
              <w:t>8</w:t>
            </w:r>
            <w:r>
              <w:t>m高排气筒</w:t>
            </w:r>
            <w:r>
              <w:rPr>
                <w:rFonts w:hint="eastAsia"/>
              </w:rPr>
              <w:t>排放</w:t>
            </w:r>
          </w:p>
        </w:tc>
        <w:tc>
          <w:tcPr>
            <w:tcW w:w="2669"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continue"/>
            <w:vAlign w:val="center"/>
          </w:tcPr>
          <w:p>
            <w:pPr>
              <w:pStyle w:val="89"/>
              <w:rPr>
                <w:highlight w:val="yellow"/>
              </w:rPr>
            </w:pPr>
          </w:p>
        </w:tc>
        <w:tc>
          <w:tcPr>
            <w:tcW w:w="1362" w:type="dxa"/>
            <w:vAlign w:val="center"/>
          </w:tcPr>
          <w:p>
            <w:pPr>
              <w:pStyle w:val="89"/>
            </w:pPr>
            <w:r>
              <w:rPr>
                <w:rFonts w:hint="eastAsia"/>
              </w:rPr>
              <w:t>SO</w:t>
            </w:r>
            <w:r>
              <w:rPr>
                <w:rFonts w:hint="eastAsia"/>
                <w:vertAlign w:val="subscript"/>
              </w:rPr>
              <w:t>2</w:t>
            </w:r>
          </w:p>
        </w:tc>
        <w:tc>
          <w:tcPr>
            <w:tcW w:w="3187"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0.0002t/a</w:t>
            </w:r>
          </w:p>
        </w:tc>
        <w:tc>
          <w:tcPr>
            <w:tcW w:w="4599" w:type="dxa"/>
            <w:vMerge w:val="continue"/>
            <w:vAlign w:val="center"/>
          </w:tcPr>
          <w:p>
            <w:pPr>
              <w:pStyle w:val="89"/>
              <w:ind w:left="115" w:right="170"/>
              <w:rPr>
                <w:highlight w:val="yellow"/>
              </w:rPr>
            </w:pPr>
          </w:p>
        </w:tc>
        <w:tc>
          <w:tcPr>
            <w:tcW w:w="2669"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0.0002t/a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Merge w:val="continue"/>
            <w:vAlign w:val="center"/>
          </w:tcPr>
          <w:p>
            <w:pPr>
              <w:pStyle w:val="89"/>
              <w:rPr>
                <w:highlight w:val="yellow"/>
              </w:rPr>
            </w:pPr>
          </w:p>
        </w:tc>
        <w:tc>
          <w:tcPr>
            <w:tcW w:w="1362" w:type="dxa"/>
            <w:vAlign w:val="center"/>
          </w:tcPr>
          <w:p>
            <w:pPr>
              <w:pStyle w:val="89"/>
            </w:pPr>
            <w:r>
              <w:rPr>
                <w:rFonts w:hint="eastAsia"/>
              </w:rPr>
              <w:t>NOx</w:t>
            </w:r>
          </w:p>
        </w:tc>
        <w:tc>
          <w:tcPr>
            <w:tcW w:w="3187"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0.009t/a</w:t>
            </w:r>
          </w:p>
        </w:tc>
        <w:tc>
          <w:tcPr>
            <w:tcW w:w="4599" w:type="dxa"/>
            <w:vMerge w:val="continue"/>
            <w:vAlign w:val="center"/>
          </w:tcPr>
          <w:p>
            <w:pPr>
              <w:pStyle w:val="89"/>
              <w:ind w:left="115" w:right="170"/>
              <w:rPr>
                <w:highlight w:val="yellow"/>
              </w:rPr>
            </w:pPr>
          </w:p>
        </w:tc>
        <w:tc>
          <w:tcPr>
            <w:tcW w:w="2669" w:type="dxa"/>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0.009t/a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1400" w:type="dxa"/>
            <w:vAlign w:val="center"/>
          </w:tcPr>
          <w:p>
            <w:pPr>
              <w:pStyle w:val="89"/>
              <w:ind w:left="115" w:right="170"/>
            </w:pPr>
            <w:r>
              <w:rPr>
                <w:rFonts w:hint="eastAsia"/>
              </w:rPr>
              <w:t>食堂</w:t>
            </w:r>
          </w:p>
        </w:tc>
        <w:tc>
          <w:tcPr>
            <w:tcW w:w="1362" w:type="dxa"/>
            <w:vAlign w:val="center"/>
          </w:tcPr>
          <w:p>
            <w:pPr>
              <w:pStyle w:val="89"/>
            </w:pPr>
            <w:r>
              <w:rPr>
                <w:rFonts w:hint="eastAsia"/>
              </w:rPr>
              <w:t>油烟</w:t>
            </w:r>
          </w:p>
        </w:tc>
        <w:tc>
          <w:tcPr>
            <w:tcW w:w="3187" w:type="dxa"/>
            <w:vAlign w:val="center"/>
          </w:tcPr>
          <w:p>
            <w:pPr>
              <w:pStyle w:val="89"/>
              <w:ind w:left="115" w:right="170"/>
            </w:pPr>
            <w:r>
              <w:rPr>
                <w:rFonts w:hint="eastAsia"/>
              </w:rPr>
              <w:t>6.2</w:t>
            </w:r>
            <w:r>
              <w:t>kg/a</w:t>
            </w:r>
          </w:p>
        </w:tc>
        <w:tc>
          <w:tcPr>
            <w:tcW w:w="4599" w:type="dxa"/>
            <w:vAlign w:val="center"/>
          </w:tcPr>
          <w:p>
            <w:pPr>
              <w:pStyle w:val="89"/>
              <w:ind w:left="115" w:right="170"/>
            </w:pPr>
            <w:r>
              <w:rPr>
                <w:rFonts w:hint="eastAsia"/>
              </w:rPr>
              <w:t>油烟净化器</w:t>
            </w:r>
          </w:p>
        </w:tc>
        <w:tc>
          <w:tcPr>
            <w:tcW w:w="2669" w:type="dxa"/>
            <w:vAlign w:val="center"/>
          </w:tcPr>
          <w:p>
            <w:pPr>
              <w:pStyle w:val="89"/>
              <w:ind w:left="115" w:right="170"/>
            </w:pPr>
            <w:r>
              <w:rPr>
                <w:rFonts w:hint="eastAsia"/>
              </w:rPr>
              <w:t>1.13mg/m</w:t>
            </w:r>
            <w:r>
              <w:rPr>
                <w:rFonts w:hint="eastAsia"/>
                <w:vertAlign w:val="superscript"/>
              </w:rPr>
              <w:t>3</w:t>
            </w:r>
            <w:r>
              <w:rPr>
                <w:rFonts w:hint="eastAsia"/>
              </w:rPr>
              <w:t>，</w:t>
            </w:r>
            <w:r>
              <w:t>2.48kg/a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restart"/>
            <w:vAlign w:val="center"/>
          </w:tcPr>
          <w:p>
            <w:pPr>
              <w:pStyle w:val="89"/>
              <w:ind w:left="115" w:right="170"/>
            </w:pPr>
            <w:r>
              <w:rPr>
                <w:rFonts w:hint="eastAsia"/>
              </w:rPr>
              <w:t>废水</w:t>
            </w:r>
          </w:p>
        </w:tc>
        <w:tc>
          <w:tcPr>
            <w:tcW w:w="2762" w:type="dxa"/>
            <w:gridSpan w:val="2"/>
            <w:vAlign w:val="center"/>
          </w:tcPr>
          <w:p>
            <w:pPr>
              <w:pStyle w:val="89"/>
              <w:ind w:left="115" w:right="170"/>
            </w:pPr>
            <w:r>
              <w:rPr>
                <w:rFonts w:hint="eastAsia"/>
              </w:rPr>
              <w:t>养殖</w:t>
            </w:r>
            <w:r>
              <w:t>废水水</w:t>
            </w:r>
            <w:r>
              <w:rPr>
                <w:rFonts w:hint="eastAsia"/>
              </w:rPr>
              <w:t>量</w:t>
            </w:r>
          </w:p>
        </w:tc>
        <w:tc>
          <w:tcPr>
            <w:tcW w:w="3187" w:type="dxa"/>
            <w:vAlign w:val="center"/>
          </w:tcPr>
          <w:p>
            <w:pPr>
              <w:pStyle w:val="89"/>
              <w:ind w:left="115" w:right="170"/>
            </w:pPr>
            <w:r>
              <w:t>6602.2m</w:t>
            </w:r>
            <w:r>
              <w:rPr>
                <w:vertAlign w:val="superscript"/>
              </w:rPr>
              <w:t>3</w:t>
            </w:r>
            <w:r>
              <w:t>/a</w:t>
            </w:r>
          </w:p>
        </w:tc>
        <w:tc>
          <w:tcPr>
            <w:tcW w:w="4599" w:type="dxa"/>
            <w:vMerge w:val="restart"/>
            <w:vAlign w:val="center"/>
          </w:tcPr>
          <w:p>
            <w:pPr>
              <w:pStyle w:val="89"/>
              <w:ind w:left="115" w:right="170"/>
            </w:pPr>
            <w:r>
              <w:rPr>
                <w:rFonts w:hint="eastAsia"/>
              </w:rPr>
              <w:t>经“集粪池+固液</w:t>
            </w:r>
            <w:r>
              <w:t>分离</w:t>
            </w:r>
            <w:r>
              <w:rPr>
                <w:rFonts w:hint="eastAsia"/>
              </w:rPr>
              <w:t>+厌氧</w:t>
            </w:r>
            <w:r>
              <w:t>发酵池</w:t>
            </w:r>
            <w:r>
              <w:rPr>
                <w:rFonts w:hint="eastAsia"/>
              </w:rPr>
              <w:t>”处理</w:t>
            </w:r>
            <w:r>
              <w:t>后</w:t>
            </w:r>
            <w:r>
              <w:rPr>
                <w:rFonts w:hint="eastAsia"/>
              </w:rPr>
              <w:t>用于</w:t>
            </w:r>
            <w:r>
              <w:t>农田</w:t>
            </w:r>
            <w:r>
              <w:rPr>
                <w:rFonts w:hint="eastAsia"/>
              </w:rPr>
              <w:t>施肥</w:t>
            </w:r>
          </w:p>
        </w:tc>
        <w:tc>
          <w:tcPr>
            <w:tcW w:w="2669" w:type="dxa"/>
            <w:vAlign w:val="center"/>
          </w:tcPr>
          <w:p>
            <w:pPr>
              <w:pStyle w:val="89"/>
              <w:ind w:left="115" w:right="17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2762" w:type="dxa"/>
            <w:gridSpan w:val="2"/>
            <w:vAlign w:val="center"/>
          </w:tcPr>
          <w:p>
            <w:pPr>
              <w:pStyle w:val="89"/>
              <w:ind w:left="115" w:right="170"/>
            </w:pPr>
            <w:r>
              <w:rPr>
                <w:rFonts w:hint="eastAsia"/>
              </w:rPr>
              <w:t>生活</w:t>
            </w:r>
            <w:r>
              <w:t>污水</w:t>
            </w:r>
          </w:p>
        </w:tc>
        <w:tc>
          <w:tcPr>
            <w:tcW w:w="3187" w:type="dxa"/>
            <w:vAlign w:val="center"/>
          </w:tcPr>
          <w:p>
            <w:pPr>
              <w:pStyle w:val="89"/>
              <w:ind w:left="115" w:right="170"/>
            </w:pPr>
            <w:r>
              <w:rPr>
                <w:rFonts w:hint="eastAsia"/>
              </w:rPr>
              <w:t>1062.15</w:t>
            </w:r>
            <w:r>
              <w:t>m</w:t>
            </w:r>
            <w:r>
              <w:rPr>
                <w:vertAlign w:val="superscript"/>
              </w:rPr>
              <w:t>3</w:t>
            </w:r>
            <w:r>
              <w:t>/a</w:t>
            </w:r>
          </w:p>
        </w:tc>
        <w:tc>
          <w:tcPr>
            <w:tcW w:w="4599" w:type="dxa"/>
            <w:vMerge w:val="continue"/>
            <w:vAlign w:val="center"/>
          </w:tcPr>
          <w:p>
            <w:pPr>
              <w:pStyle w:val="89"/>
              <w:ind w:left="115" w:right="170"/>
            </w:pPr>
          </w:p>
        </w:tc>
        <w:tc>
          <w:tcPr>
            <w:tcW w:w="2669" w:type="dxa"/>
            <w:vAlign w:val="center"/>
          </w:tcPr>
          <w:p>
            <w:pPr>
              <w:pStyle w:val="89"/>
              <w:ind w:left="115" w:right="17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restart"/>
            <w:vAlign w:val="center"/>
          </w:tcPr>
          <w:p>
            <w:pPr>
              <w:pStyle w:val="89"/>
              <w:ind w:left="115" w:right="170"/>
            </w:pPr>
            <w:r>
              <w:rPr>
                <w:rFonts w:hint="eastAsia"/>
              </w:rPr>
              <w:t>固废</w:t>
            </w:r>
          </w:p>
        </w:tc>
        <w:tc>
          <w:tcPr>
            <w:tcW w:w="2762" w:type="dxa"/>
            <w:gridSpan w:val="2"/>
            <w:vAlign w:val="center"/>
          </w:tcPr>
          <w:p>
            <w:pPr>
              <w:pStyle w:val="89"/>
              <w:ind w:left="115" w:right="170"/>
            </w:pPr>
            <w:r>
              <w:rPr>
                <w:rFonts w:hint="eastAsia"/>
              </w:rPr>
              <w:t>病死</w:t>
            </w:r>
            <w:r>
              <w:t>猪</w:t>
            </w:r>
          </w:p>
        </w:tc>
        <w:tc>
          <w:tcPr>
            <w:tcW w:w="3187" w:type="dxa"/>
            <w:vAlign w:val="center"/>
          </w:tcPr>
          <w:p>
            <w:pPr>
              <w:pStyle w:val="89"/>
              <w:ind w:left="115" w:right="170"/>
            </w:pPr>
            <w:r>
              <w:t>2.86t/a</w:t>
            </w:r>
          </w:p>
        </w:tc>
        <w:tc>
          <w:tcPr>
            <w:tcW w:w="4599" w:type="dxa"/>
            <w:vMerge w:val="restart"/>
            <w:vAlign w:val="center"/>
          </w:tcPr>
          <w:p>
            <w:pPr>
              <w:pStyle w:val="89"/>
              <w:ind w:left="115" w:right="170"/>
            </w:pPr>
            <w:r>
              <w:rPr>
                <w:rFonts w:hint="eastAsia"/>
              </w:rPr>
              <w:t>设置</w:t>
            </w:r>
            <w:r>
              <w:t>安全填埋井，</w:t>
            </w:r>
            <w:r>
              <w:rPr>
                <w:rFonts w:hint="eastAsia"/>
              </w:rPr>
              <w:t>在</w:t>
            </w:r>
            <w:r>
              <w:t>场内安全填埋</w:t>
            </w:r>
          </w:p>
        </w:tc>
        <w:tc>
          <w:tcPr>
            <w:tcW w:w="2669" w:type="dxa"/>
            <w:vAlign w:val="center"/>
          </w:tcPr>
          <w:p>
            <w:pPr>
              <w:pStyle w:val="89"/>
              <w:ind w:left="115" w:right="17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2762" w:type="dxa"/>
            <w:gridSpan w:val="2"/>
            <w:vAlign w:val="center"/>
          </w:tcPr>
          <w:p>
            <w:pPr>
              <w:pStyle w:val="89"/>
              <w:ind w:left="115" w:right="170"/>
            </w:pPr>
            <w:r>
              <w:rPr>
                <w:rFonts w:hint="eastAsia"/>
              </w:rPr>
              <w:t>分娩</w:t>
            </w:r>
            <w:r>
              <w:t>胎衣废物</w:t>
            </w:r>
          </w:p>
        </w:tc>
        <w:tc>
          <w:tcPr>
            <w:tcW w:w="3187" w:type="dxa"/>
            <w:vAlign w:val="center"/>
          </w:tcPr>
          <w:p>
            <w:pPr>
              <w:pStyle w:val="89"/>
              <w:ind w:left="115" w:right="170"/>
            </w:pPr>
            <w:r>
              <w:t>2.76t/a</w:t>
            </w:r>
          </w:p>
        </w:tc>
        <w:tc>
          <w:tcPr>
            <w:tcW w:w="4599" w:type="dxa"/>
            <w:vMerge w:val="continue"/>
            <w:vAlign w:val="center"/>
          </w:tcPr>
          <w:p>
            <w:pPr>
              <w:pStyle w:val="89"/>
              <w:ind w:left="115" w:right="170"/>
            </w:pPr>
          </w:p>
        </w:tc>
        <w:tc>
          <w:tcPr>
            <w:tcW w:w="2669" w:type="dxa"/>
            <w:vAlign w:val="center"/>
          </w:tcPr>
          <w:p>
            <w:pPr>
              <w:pStyle w:val="89"/>
              <w:ind w:left="115" w:right="17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2762" w:type="dxa"/>
            <w:gridSpan w:val="2"/>
            <w:vAlign w:val="center"/>
          </w:tcPr>
          <w:p>
            <w:pPr>
              <w:pStyle w:val="89"/>
              <w:ind w:left="115" w:right="170"/>
            </w:pPr>
            <w:r>
              <w:rPr>
                <w:rFonts w:hint="eastAsia"/>
              </w:rPr>
              <w:t>猪粪</w:t>
            </w:r>
          </w:p>
        </w:tc>
        <w:tc>
          <w:tcPr>
            <w:tcW w:w="3187" w:type="dxa"/>
            <w:vAlign w:val="center"/>
          </w:tcPr>
          <w:p>
            <w:pPr>
              <w:pStyle w:val="89"/>
              <w:ind w:left="115" w:right="170"/>
            </w:pPr>
            <w:r>
              <w:t>2263t/a</w:t>
            </w:r>
          </w:p>
        </w:tc>
        <w:tc>
          <w:tcPr>
            <w:tcW w:w="4599" w:type="dxa"/>
            <w:vAlign w:val="center"/>
          </w:tcPr>
          <w:p>
            <w:pPr>
              <w:pStyle w:val="89"/>
              <w:ind w:left="115" w:right="170"/>
            </w:pPr>
            <w:r>
              <w:rPr>
                <w:rFonts w:hint="eastAsia"/>
              </w:rPr>
              <w:t>采用</w:t>
            </w:r>
            <w:r>
              <w:t>干清粪工艺，分离</w:t>
            </w:r>
            <w:r>
              <w:rPr>
                <w:rFonts w:hint="eastAsia"/>
              </w:rPr>
              <w:t>率</w:t>
            </w:r>
            <w:r>
              <w:t>80%</w:t>
            </w:r>
            <w:r>
              <w:rPr>
                <w:rFonts w:hint="eastAsia"/>
              </w:rPr>
              <w:t>外售给有机肥厂作为原料</w:t>
            </w:r>
            <w:r>
              <w:t>，20%进入沼气池厌氧反应</w:t>
            </w:r>
          </w:p>
        </w:tc>
        <w:tc>
          <w:tcPr>
            <w:tcW w:w="2669" w:type="dxa"/>
            <w:vAlign w:val="center"/>
          </w:tcPr>
          <w:p>
            <w:pPr>
              <w:pStyle w:val="89"/>
              <w:ind w:left="115" w:right="17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2762" w:type="dxa"/>
            <w:gridSpan w:val="2"/>
            <w:vAlign w:val="center"/>
          </w:tcPr>
          <w:p>
            <w:pPr>
              <w:pStyle w:val="89"/>
              <w:ind w:left="115" w:right="170"/>
            </w:pPr>
            <w:r>
              <w:rPr>
                <w:rFonts w:hint="eastAsia"/>
              </w:rPr>
              <w:t>废</w:t>
            </w:r>
            <w:r>
              <w:t>脱硫剂</w:t>
            </w:r>
          </w:p>
        </w:tc>
        <w:tc>
          <w:tcPr>
            <w:tcW w:w="3187" w:type="dxa"/>
            <w:vAlign w:val="center"/>
          </w:tcPr>
          <w:p>
            <w:pPr>
              <w:pStyle w:val="89"/>
              <w:ind w:left="115" w:right="170"/>
            </w:pPr>
            <w:r>
              <w:t>0.003t/a</w:t>
            </w:r>
          </w:p>
        </w:tc>
        <w:tc>
          <w:tcPr>
            <w:tcW w:w="4599" w:type="dxa"/>
            <w:vAlign w:val="center"/>
          </w:tcPr>
          <w:p>
            <w:pPr>
              <w:pStyle w:val="89"/>
              <w:ind w:left="115" w:right="170"/>
            </w:pPr>
            <w:r>
              <w:rPr>
                <w:rFonts w:hint="eastAsia"/>
              </w:rPr>
              <w:t>厂家</w:t>
            </w:r>
            <w:r>
              <w:t>回收处置</w:t>
            </w:r>
          </w:p>
        </w:tc>
        <w:tc>
          <w:tcPr>
            <w:tcW w:w="2669" w:type="dxa"/>
            <w:vAlign w:val="center"/>
          </w:tcPr>
          <w:p>
            <w:pPr>
              <w:pStyle w:val="89"/>
              <w:ind w:left="115" w:right="17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2762" w:type="dxa"/>
            <w:gridSpan w:val="2"/>
            <w:vAlign w:val="center"/>
          </w:tcPr>
          <w:p>
            <w:pPr>
              <w:pStyle w:val="89"/>
              <w:ind w:left="115" w:right="170"/>
            </w:pPr>
            <w:r>
              <w:rPr>
                <w:rFonts w:hint="eastAsia"/>
              </w:rPr>
              <w:t>医疗</w:t>
            </w:r>
            <w:r>
              <w:t>废物</w:t>
            </w:r>
          </w:p>
        </w:tc>
        <w:tc>
          <w:tcPr>
            <w:tcW w:w="3187" w:type="dxa"/>
            <w:vAlign w:val="center"/>
          </w:tcPr>
          <w:p>
            <w:pPr>
              <w:pStyle w:val="89"/>
              <w:ind w:left="115" w:right="170"/>
            </w:pPr>
            <w:r>
              <w:rPr>
                <w:rFonts w:hint="eastAsia"/>
                <w:szCs w:val="21"/>
              </w:rPr>
              <w:t>0.27</w:t>
            </w:r>
            <w:r>
              <w:t>t/a</w:t>
            </w:r>
          </w:p>
        </w:tc>
        <w:tc>
          <w:tcPr>
            <w:tcW w:w="4599" w:type="dxa"/>
            <w:vAlign w:val="center"/>
          </w:tcPr>
          <w:p>
            <w:pPr>
              <w:pStyle w:val="89"/>
              <w:ind w:left="115" w:right="170"/>
            </w:pPr>
            <w:r>
              <w:t>暂存于危废暂存间，交由有危废资质单位处置</w:t>
            </w:r>
          </w:p>
        </w:tc>
        <w:tc>
          <w:tcPr>
            <w:tcW w:w="2669" w:type="dxa"/>
            <w:vAlign w:val="center"/>
          </w:tcPr>
          <w:p>
            <w:pPr>
              <w:pStyle w:val="89"/>
              <w:ind w:left="115" w:right="17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89"/>
              <w:ind w:left="115" w:right="170"/>
            </w:pPr>
          </w:p>
        </w:tc>
        <w:tc>
          <w:tcPr>
            <w:tcW w:w="2762" w:type="dxa"/>
            <w:gridSpan w:val="2"/>
            <w:vAlign w:val="center"/>
          </w:tcPr>
          <w:p>
            <w:pPr>
              <w:pStyle w:val="89"/>
              <w:ind w:left="115" w:right="170"/>
            </w:pPr>
            <w:r>
              <w:rPr>
                <w:rFonts w:hint="eastAsia"/>
              </w:rPr>
              <w:t>生活</w:t>
            </w:r>
            <w:r>
              <w:t>垃圾</w:t>
            </w:r>
          </w:p>
        </w:tc>
        <w:tc>
          <w:tcPr>
            <w:tcW w:w="3187" w:type="dxa"/>
            <w:vAlign w:val="center"/>
          </w:tcPr>
          <w:p>
            <w:pPr>
              <w:pStyle w:val="89"/>
              <w:ind w:left="115" w:right="170"/>
            </w:pPr>
            <w:r>
              <w:t>9.13t/a</w:t>
            </w:r>
          </w:p>
        </w:tc>
        <w:tc>
          <w:tcPr>
            <w:tcW w:w="4599" w:type="dxa"/>
            <w:vAlign w:val="center"/>
          </w:tcPr>
          <w:p>
            <w:pPr>
              <w:pStyle w:val="89"/>
              <w:ind w:left="115" w:right="170"/>
            </w:pPr>
            <w:r>
              <w:t>垃圾桶统一收集，由环卫部门统一清运</w:t>
            </w:r>
          </w:p>
        </w:tc>
        <w:tc>
          <w:tcPr>
            <w:tcW w:w="2669" w:type="dxa"/>
            <w:vAlign w:val="center"/>
          </w:tcPr>
          <w:p>
            <w:pPr>
              <w:pStyle w:val="89"/>
              <w:ind w:left="115" w:right="170"/>
            </w:pPr>
            <w:r>
              <w:rPr>
                <w:rFonts w:hint="eastAsia"/>
              </w:rPr>
              <w:t>0</w:t>
            </w:r>
          </w:p>
        </w:tc>
      </w:tr>
    </w:tbl>
    <w:p>
      <w:pPr>
        <w:ind w:firstLine="199" w:firstLineChars="83"/>
      </w:pPr>
    </w:p>
    <w:p>
      <w:pPr>
        <w:ind w:firstLine="0" w:firstLineChars="0"/>
      </w:pPr>
    </w:p>
    <w:p>
      <w:pPr>
        <w:ind w:firstLine="199" w:firstLineChars="83"/>
        <w:sectPr>
          <w:headerReference r:id="rId37" w:type="default"/>
          <w:headerReference r:id="rId38" w:type="even"/>
          <w:pgSz w:w="16838" w:h="11906" w:orient="landscape"/>
          <w:pgMar w:top="1800" w:right="1440" w:bottom="1800" w:left="1440" w:header="992" w:footer="992" w:gutter="0"/>
          <w:pgNumType w:fmt="numberInDash"/>
          <w:cols w:space="425" w:num="1"/>
          <w:docGrid w:type="lines" w:linePitch="326" w:charSpace="0"/>
        </w:sectPr>
      </w:pPr>
    </w:p>
    <w:p>
      <w:pPr>
        <w:pStyle w:val="2"/>
      </w:pPr>
      <w:bookmarkStart w:id="105" w:name="_Toc108422231"/>
      <w:bookmarkStart w:id="106" w:name="_Toc488102163"/>
      <w:r>
        <w:rPr>
          <w:rFonts w:hint="eastAsia"/>
        </w:rPr>
        <w:t>环境现状调查与评价</w:t>
      </w:r>
      <w:bookmarkEnd w:id="105"/>
      <w:bookmarkEnd w:id="106"/>
    </w:p>
    <w:p>
      <w:pPr>
        <w:pStyle w:val="3"/>
      </w:pPr>
      <w:bookmarkStart w:id="107" w:name="_Toc488102164"/>
      <w:bookmarkStart w:id="108" w:name="_Toc108422232"/>
      <w:r>
        <w:rPr>
          <w:rFonts w:hint="eastAsia"/>
        </w:rPr>
        <w:t>自然环境现状调查</w:t>
      </w:r>
      <w:bookmarkEnd w:id="107"/>
      <w:bookmarkEnd w:id="108"/>
    </w:p>
    <w:p>
      <w:pPr>
        <w:pStyle w:val="4"/>
      </w:pPr>
      <w:r>
        <w:rPr>
          <w:rFonts w:hint="eastAsia"/>
        </w:rPr>
        <w:t>地理位置</w:t>
      </w:r>
    </w:p>
    <w:p>
      <w:pPr>
        <w:pStyle w:val="79"/>
        <w:ind w:firstLine="480"/>
      </w:pPr>
      <w:r>
        <w:t>旬阳市位于陕西省东南部、安康市东部，地处东经103°58′～109°48′、北纬32°29′～33°13′之间，总面积3554</w:t>
      </w:r>
      <w:r>
        <w:rPr>
          <w:rFonts w:hint="eastAsia"/>
        </w:rPr>
        <w:t>km</w:t>
      </w:r>
      <w:r>
        <w:rPr>
          <w:rFonts w:hint="eastAsia"/>
          <w:vertAlign w:val="superscript"/>
        </w:rPr>
        <w:t>2</w:t>
      </w:r>
      <w:r>
        <w:t>，居安康市10县</w:t>
      </w:r>
      <w:r>
        <w:rPr>
          <w:rFonts w:hint="eastAsia"/>
        </w:rPr>
        <w:t>（</w:t>
      </w:r>
      <w:r>
        <w:t>区</w:t>
      </w:r>
      <w:r>
        <w:rPr>
          <w:rFonts w:hint="eastAsia"/>
        </w:rPr>
        <w:t>）</w:t>
      </w:r>
      <w:r>
        <w:t>第3位。东以仙河中下游与大南河</w:t>
      </w:r>
      <w:r>
        <w:rPr>
          <w:rFonts w:hint="eastAsia"/>
        </w:rPr>
        <w:t>（</w:t>
      </w:r>
      <w:r>
        <w:t>郧西县境</w:t>
      </w:r>
      <w:r>
        <w:rPr>
          <w:rFonts w:hint="eastAsia"/>
        </w:rPr>
        <w:t>）</w:t>
      </w:r>
      <w:r>
        <w:t>分水岭及吕河上游与冷水河</w:t>
      </w:r>
      <w:r>
        <w:rPr>
          <w:rFonts w:hint="eastAsia"/>
        </w:rPr>
        <w:t>（</w:t>
      </w:r>
      <w:r>
        <w:t>白河县境</w:t>
      </w:r>
      <w:r>
        <w:rPr>
          <w:rFonts w:hint="eastAsia"/>
        </w:rPr>
        <w:t>）</w:t>
      </w:r>
      <w:r>
        <w:t>分水岭为界，由北向南，依次同湖北省郧西县、陕西省白河县毗邻</w:t>
      </w:r>
      <w:r>
        <w:rPr>
          <w:rFonts w:hint="eastAsia"/>
        </w:rPr>
        <w:t>；</w:t>
      </w:r>
      <w:r>
        <w:t>南以韩家山——铜钱关一线及大神河与汝河、冠河</w:t>
      </w:r>
      <w:r>
        <w:rPr>
          <w:rFonts w:hint="eastAsia"/>
        </w:rPr>
        <w:t>（</w:t>
      </w:r>
      <w:r>
        <w:t>平利县境</w:t>
      </w:r>
      <w:r>
        <w:rPr>
          <w:rFonts w:hint="eastAsia"/>
        </w:rPr>
        <w:t>）</w:t>
      </w:r>
      <w:r>
        <w:t>分水岭为界，由东向西，依次同湖北省竹山县、竹溪县及陕西省平利县接壤</w:t>
      </w:r>
      <w:r>
        <w:rPr>
          <w:rFonts w:hint="eastAsia"/>
        </w:rPr>
        <w:t>；</w:t>
      </w:r>
      <w:r>
        <w:t>西以王莽山——包家山一线为界，同陕西省汉滨区相邻</w:t>
      </w:r>
      <w:r>
        <w:rPr>
          <w:rFonts w:hint="eastAsia"/>
        </w:rPr>
        <w:t>；</w:t>
      </w:r>
      <w:r>
        <w:t>北由西向东，以下茅坪、洛驾河沟口及蜀河与仙河上游</w:t>
      </w:r>
      <w:r>
        <w:rPr>
          <w:rFonts w:hint="eastAsia"/>
        </w:rPr>
        <w:t>（</w:t>
      </w:r>
      <w:r>
        <w:t>郧西县境</w:t>
      </w:r>
      <w:r>
        <w:rPr>
          <w:rFonts w:hint="eastAsia"/>
        </w:rPr>
        <w:t>）</w:t>
      </w:r>
      <w:r>
        <w:t>分水岭为界，分别同陕西省镇安县、湖北省郧西县相接。距省会西安市217</w:t>
      </w:r>
      <w:r>
        <w:rPr>
          <w:rFonts w:hint="eastAsia"/>
        </w:rPr>
        <w:t>km</w:t>
      </w:r>
      <w:r>
        <w:t>。</w:t>
      </w:r>
    </w:p>
    <w:p>
      <w:pPr>
        <w:ind w:firstLine="480"/>
      </w:pPr>
      <w:r>
        <w:rPr>
          <w:rFonts w:hint="eastAsia"/>
        </w:rPr>
        <w:t>本</w:t>
      </w:r>
      <w:r>
        <w:t>项目位于旬阳市</w:t>
      </w:r>
      <w:r>
        <w:rPr>
          <w:rFonts w:hint="eastAsia"/>
        </w:rPr>
        <w:t>关口</w:t>
      </w:r>
      <w:r>
        <w:t>镇</w:t>
      </w:r>
      <w:r>
        <w:rPr>
          <w:rFonts w:hint="eastAsia"/>
        </w:rPr>
        <w:t>关坪</w:t>
      </w:r>
      <w:r>
        <w:t>村，</w:t>
      </w:r>
      <w:r>
        <w:rPr>
          <w:rFonts w:hint="eastAsia"/>
        </w:rPr>
        <w:t>场址中心</w:t>
      </w:r>
      <w:r>
        <w:t>地理坐标</w:t>
      </w:r>
      <w:r>
        <w:rPr>
          <w:rFonts w:hint="eastAsia"/>
        </w:rPr>
        <w:t>为</w:t>
      </w:r>
      <w:r>
        <w:t>经</w:t>
      </w:r>
      <w:r>
        <w:rPr>
          <w:rFonts w:hint="eastAsia"/>
        </w:rPr>
        <w:t>度</w:t>
      </w:r>
      <w:r>
        <w:t>109°36'51.45"</w:t>
      </w:r>
      <w:r>
        <w:rPr>
          <w:rFonts w:hint="eastAsia"/>
        </w:rPr>
        <w:t>，</w:t>
      </w:r>
      <w:r>
        <w:t>纬</w:t>
      </w:r>
      <w:r>
        <w:rPr>
          <w:rFonts w:hint="eastAsia"/>
        </w:rPr>
        <w:t>度</w:t>
      </w:r>
      <w:r>
        <w:t>32°56'18.8</w:t>
      </w:r>
      <w:r>
        <w:rPr>
          <w:rFonts w:hint="eastAsia"/>
        </w:rPr>
        <w:t>6</w:t>
      </w:r>
      <w:r>
        <w:t>"。具体地理位置见图3.1-1</w:t>
      </w:r>
    </w:p>
    <w:p>
      <w:pPr>
        <w:pStyle w:val="4"/>
      </w:pPr>
      <w:r>
        <w:rPr>
          <w:rFonts w:hint="eastAsia"/>
        </w:rPr>
        <w:t>地形地貌</w:t>
      </w:r>
    </w:p>
    <w:p>
      <w:pPr>
        <w:ind w:firstLine="480"/>
      </w:pPr>
      <w:r>
        <w:t>旬阳市位处秦巴山地，汉江河谷自西向东横贯中部，将县境天然分割为南北两大自然区。地势南北高、中部低，南北向地形剖面呈</w:t>
      </w:r>
      <w:r>
        <w:rPr>
          <w:rFonts w:hint="eastAsia"/>
        </w:rPr>
        <w:t>“</w:t>
      </w:r>
      <w:r>
        <w:t>V</w:t>
      </w:r>
      <w:r>
        <w:rPr>
          <w:rFonts w:hint="eastAsia"/>
        </w:rPr>
        <w:t>”</w:t>
      </w:r>
      <w:r>
        <w:t>形，海拔185～2358.4</w:t>
      </w:r>
      <w:r>
        <w:rPr>
          <w:rFonts w:hint="eastAsia"/>
        </w:rPr>
        <w:t>m</w:t>
      </w:r>
      <w:r>
        <w:t>。汉江以北属秦岭山脉南坡，是秦岭纬向构造带秦岭亚带的组成部分</w:t>
      </w:r>
      <w:r>
        <w:rPr>
          <w:rFonts w:hint="eastAsia"/>
        </w:rPr>
        <w:t>，</w:t>
      </w:r>
      <w:r>
        <w:t>除王莽山—包家山为西北—东南走向外，其余山脉均为东西走向，中部高，四周低，面积2281.7</w:t>
      </w:r>
      <w:r>
        <w:rPr>
          <w:rFonts w:hint="eastAsia"/>
        </w:rPr>
        <w:t xml:space="preserve"> km</w:t>
      </w:r>
      <w:r>
        <w:rPr>
          <w:rFonts w:hint="eastAsia"/>
          <w:vertAlign w:val="superscript"/>
        </w:rPr>
        <w:t>2</w:t>
      </w:r>
      <w:r>
        <w:t>，占旬阳市总面积的64.2%</w:t>
      </w:r>
      <w:r>
        <w:rPr>
          <w:rFonts w:hint="eastAsia"/>
        </w:rPr>
        <w:t>；</w:t>
      </w:r>
      <w:r>
        <w:t>汉江以南属秦岭纬向构造带大巴山弧形构造的边缘部分，山脉走向多为西东向，地势较汉江以北稍低，东部和南部高，西北部低，面积1272.3</w:t>
      </w:r>
      <w:r>
        <w:rPr>
          <w:rFonts w:hint="eastAsia"/>
        </w:rPr>
        <w:t xml:space="preserve"> km</w:t>
      </w:r>
      <w:r>
        <w:rPr>
          <w:rFonts w:hint="eastAsia"/>
          <w:vertAlign w:val="superscript"/>
        </w:rPr>
        <w:t>2</w:t>
      </w:r>
      <w:r>
        <w:t>，占旬阳市总面积的35.8%。地貌特征是：以中山为主，兼有低山、丘陵、河谷地形，境内重峦叠嶂，沟壑密布。</w:t>
      </w:r>
    </w:p>
    <w:p>
      <w:pPr>
        <w:ind w:firstLine="480"/>
      </w:pPr>
      <w:r>
        <w:t>本项目位于旬阳市</w:t>
      </w:r>
      <w:r>
        <w:rPr>
          <w:rFonts w:hint="eastAsia"/>
        </w:rPr>
        <w:t>关口</w:t>
      </w:r>
      <w:r>
        <w:t>镇</w:t>
      </w:r>
      <w:r>
        <w:rPr>
          <w:rFonts w:hint="eastAsia"/>
        </w:rPr>
        <w:t>关坪</w:t>
      </w:r>
      <w:r>
        <w:t>村，</w:t>
      </w:r>
      <w:r>
        <w:rPr>
          <w:rFonts w:hint="eastAsia"/>
        </w:rPr>
        <w:t>项目整体</w:t>
      </w:r>
      <w:r>
        <w:t>位于</w:t>
      </w:r>
      <w:r>
        <w:rPr>
          <w:rFonts w:hint="eastAsia"/>
        </w:rPr>
        <w:t>山顶</w:t>
      </w:r>
      <w:r>
        <w:t>坡地，地势较为</w:t>
      </w:r>
      <w:r>
        <w:rPr>
          <w:rFonts w:hint="eastAsia"/>
        </w:rPr>
        <w:t>陡峭</w:t>
      </w:r>
      <w:r>
        <w:t>。</w:t>
      </w:r>
    </w:p>
    <w:p>
      <w:pPr>
        <w:pStyle w:val="4"/>
      </w:pPr>
      <w:r>
        <w:rPr>
          <w:rFonts w:hint="eastAsia"/>
        </w:rPr>
        <w:t>气候气象</w:t>
      </w:r>
    </w:p>
    <w:p>
      <w:pPr>
        <w:pStyle w:val="79"/>
        <w:ind w:firstLine="480"/>
      </w:pPr>
      <w:r>
        <w:t>旬阳市北居秦岭，南依大巴山，两山夹峙，阻住南下的冷空气，截挡溯汉江河谷上行的暖温气流，境内气候温暖湿润，四季分明，呈典型的南北过渡特征，形成特殊的北亚热带气候区。春季降水较少，占年降水量的22%，少雨之年3月以前常发生干旱</w:t>
      </w:r>
      <w:r>
        <w:rPr>
          <w:rFonts w:hint="eastAsia"/>
        </w:rPr>
        <w:t>；</w:t>
      </w:r>
      <w:r>
        <w:t>夏季降水多且多暴雨，降雨量占年总量的51%。一次暴雨最大降水量：6月为117.1</w:t>
      </w:r>
      <w:r>
        <w:rPr>
          <w:rFonts w:hint="eastAsia"/>
        </w:rPr>
        <w:t>mm</w:t>
      </w:r>
      <w:r>
        <w:t>，7月为123.1mm，8月为105.7mm。7、8月伏旱明显，严重伏旱期可长达55天，极端最高气温43.1</w:t>
      </w:r>
      <w:r>
        <w:rPr>
          <w:rFonts w:hint="eastAsia" w:ascii="宋体" w:hAnsi="宋体" w:cs="宋体"/>
        </w:rPr>
        <w:t>℃</w:t>
      </w:r>
      <w:r>
        <w:rPr>
          <w:rFonts w:hint="eastAsia"/>
        </w:rPr>
        <w:t>；</w:t>
      </w:r>
      <w:r>
        <w:t>入秋气温明显下降，最低气温最早从11月14日起低于0</w:t>
      </w:r>
      <w:r>
        <w:rPr>
          <w:rFonts w:hint="eastAsia" w:ascii="宋体" w:hAnsi="宋体" w:cs="宋体"/>
        </w:rPr>
        <w:t>℃</w:t>
      </w:r>
      <w:r>
        <w:t>。9月是全年第二个降水高峰月，占年总量的24%，时常造成滑坡</w:t>
      </w:r>
      <w:r>
        <w:rPr>
          <w:rFonts w:hint="eastAsia"/>
        </w:rPr>
        <w:t>；</w:t>
      </w:r>
      <w:r>
        <w:t>冬季最低气温小于0</w:t>
      </w:r>
      <w:r>
        <w:rPr>
          <w:rFonts w:hint="eastAsia" w:ascii="宋体" w:hAnsi="宋体" w:cs="宋体"/>
        </w:rPr>
        <w:t>℃</w:t>
      </w:r>
      <w:r>
        <w:t>的日数达39天，降雪期从11月30日至次年3月18日，南北高山区积雪厚度可达30厘米。旬阳市日照最少为2月，仅103.9</w:t>
      </w:r>
      <w:r>
        <w:rPr>
          <w:rFonts w:hint="eastAsia"/>
        </w:rPr>
        <w:t>h</w:t>
      </w:r>
      <w:r>
        <w:t>，7月最多为212.7</w:t>
      </w:r>
      <w:r>
        <w:rPr>
          <w:rFonts w:hint="eastAsia"/>
        </w:rPr>
        <w:t>h；</w:t>
      </w:r>
      <w:r>
        <w:t>年平均气温15.9</w:t>
      </w:r>
      <w:r>
        <w:rPr>
          <w:rFonts w:hint="eastAsia" w:ascii="宋体" w:hAnsi="宋体" w:cs="宋体"/>
        </w:rPr>
        <w:t>℃</w:t>
      </w:r>
      <w:r>
        <w:rPr>
          <w:rFonts w:hint="eastAsia"/>
        </w:rPr>
        <w:t>；</w:t>
      </w:r>
      <w:r>
        <w:t>平均初霜期出现在11月中旬，终霜期在3月中旬初，平均无霜期261天</w:t>
      </w:r>
      <w:r>
        <w:rPr>
          <w:rFonts w:hint="eastAsia"/>
        </w:rPr>
        <w:t>；</w:t>
      </w:r>
      <w:r>
        <w:t>多年平均降水量为805.0mm，降水总量为28.609亿</w:t>
      </w:r>
      <w:r>
        <w:rPr>
          <w:rFonts w:hint="eastAsia"/>
        </w:rPr>
        <w:t>m</w:t>
      </w:r>
      <w:r>
        <w:rPr>
          <w:rFonts w:hint="eastAsia"/>
          <w:vertAlign w:val="superscript"/>
        </w:rPr>
        <w:t>3</w:t>
      </w:r>
      <w:r>
        <w:rPr>
          <w:rFonts w:hint="eastAsia"/>
        </w:rPr>
        <w:t>；</w:t>
      </w:r>
      <w:r>
        <w:t>境内低山河谷地区，年平均相对湿度69%</w:t>
      </w:r>
      <w:r>
        <w:rPr>
          <w:rFonts w:hint="eastAsia"/>
        </w:rPr>
        <w:t>；</w:t>
      </w:r>
      <w:r>
        <w:t>全年盛行偏东风，占总数的38%，西北风次之，占总数的24%。</w:t>
      </w:r>
    </w:p>
    <w:p>
      <w:pPr>
        <w:pStyle w:val="4"/>
      </w:pPr>
      <w:r>
        <w:rPr>
          <w:rFonts w:hint="eastAsia"/>
        </w:rPr>
        <w:t>地表水系</w:t>
      </w:r>
    </w:p>
    <w:p>
      <w:pPr>
        <w:pStyle w:val="79"/>
        <w:ind w:firstLine="480"/>
      </w:pPr>
      <w:r>
        <w:rPr>
          <w:rFonts w:hint="eastAsia"/>
        </w:rPr>
        <w:t>旬阳地表水形成的河流及溪水均属长江流域汉江水系。发源和流经县境的河沟集水面积在2km</w:t>
      </w:r>
      <w:r>
        <w:rPr>
          <w:rFonts w:hint="eastAsia"/>
          <w:vertAlign w:val="superscript"/>
        </w:rPr>
        <w:t>2</w:t>
      </w:r>
      <w:r>
        <w:rPr>
          <w:rFonts w:hint="eastAsia"/>
        </w:rPr>
        <w:t>以上的有488条，其中，集水面积1000km</w:t>
      </w:r>
      <w:r>
        <w:rPr>
          <w:rFonts w:hint="eastAsia"/>
          <w:vertAlign w:val="superscript"/>
        </w:rPr>
        <w:t>2</w:t>
      </w:r>
      <w:r>
        <w:rPr>
          <w:rFonts w:hint="eastAsia"/>
        </w:rPr>
        <w:t>以上的有汉江、旬河、乾佑河、坝河，集水面积100-1000km</w:t>
      </w:r>
      <w:r>
        <w:rPr>
          <w:rFonts w:hint="eastAsia"/>
          <w:vertAlign w:val="superscript"/>
        </w:rPr>
        <w:t>2</w:t>
      </w:r>
      <w:r>
        <w:rPr>
          <w:rFonts w:hint="eastAsia"/>
        </w:rPr>
        <w:t>的有蜀河、仙河、达仁河、东三河、小河、洛驾河、冷水河和大棕溪，集水面积10km</w:t>
      </w:r>
      <w:r>
        <w:rPr>
          <w:rFonts w:hint="eastAsia"/>
          <w:vertAlign w:val="superscript"/>
        </w:rPr>
        <w:t>2</w:t>
      </w:r>
      <w:r>
        <w:rPr>
          <w:rFonts w:hint="eastAsia"/>
        </w:rPr>
        <w:t>以上的河沟有100条，集水面积5km</w:t>
      </w:r>
      <w:r>
        <w:rPr>
          <w:rFonts w:hint="eastAsia"/>
          <w:vertAlign w:val="superscript"/>
        </w:rPr>
        <w:t>2</w:t>
      </w:r>
      <w:r>
        <w:rPr>
          <w:rFonts w:hint="eastAsia"/>
        </w:rPr>
        <w:t>以上的河沟有196条。沟壑密度为1.06km/km</w:t>
      </w:r>
      <w:r>
        <w:rPr>
          <w:rFonts w:hint="eastAsia"/>
          <w:vertAlign w:val="superscript"/>
        </w:rPr>
        <w:t>2</w:t>
      </w:r>
      <w:r>
        <w:rPr>
          <w:rFonts w:hint="eastAsia"/>
        </w:rPr>
        <w:t>。</w:t>
      </w:r>
    </w:p>
    <w:p>
      <w:pPr>
        <w:pStyle w:val="79"/>
        <w:ind w:firstLine="480"/>
      </w:pPr>
      <w:r>
        <w:rPr>
          <w:rFonts w:hint="eastAsia"/>
        </w:rPr>
        <w:t>汉江古称沔水，由安康市汉滨区早阳乡入旬阳市段家河镇北庵村，沿西南至东北向流至吕河镇纳坝河，折向东流，至县城纳旬河、至蜀河镇纳蜀河，至仙河口纳仙河，至兰滩乡入白河县境。</w:t>
      </w:r>
      <w:r>
        <w:rPr>
          <w:rFonts w:hint="eastAsia"/>
          <w:szCs w:val="24"/>
        </w:rPr>
        <w:t>共流经段家河、吕河、城关、构元、棕溪、关口、蜀河、仙河等镇，属过境客水。</w:t>
      </w:r>
      <w:r>
        <w:rPr>
          <w:rFonts w:hint="eastAsia"/>
        </w:rPr>
        <w:t>境内流长84km，集水面积3554km</w:t>
      </w:r>
      <w:r>
        <w:rPr>
          <w:rFonts w:hint="eastAsia"/>
          <w:vertAlign w:val="superscript"/>
        </w:rPr>
        <w:t>2</w:t>
      </w:r>
      <w:r>
        <w:rPr>
          <w:rFonts w:hint="eastAsia"/>
        </w:rPr>
        <w:t>。</w:t>
      </w:r>
    </w:p>
    <w:p>
      <w:pPr>
        <w:pStyle w:val="79"/>
        <w:ind w:firstLine="480"/>
      </w:pPr>
      <w:r>
        <w:rPr>
          <w:rFonts w:hint="eastAsia"/>
        </w:rPr>
        <w:t>汉江在旬阳境内沿途接纳集水面积在5km</w:t>
      </w:r>
      <w:r>
        <w:rPr>
          <w:rFonts w:hint="eastAsia"/>
          <w:vertAlign w:val="superscript"/>
        </w:rPr>
        <w:t>2</w:t>
      </w:r>
      <w:r>
        <w:rPr>
          <w:rFonts w:hint="eastAsia"/>
        </w:rPr>
        <w:t>以上的河流86条。其中较大的河流有旬河、坝河、吕河、蜀河、仙河等。</w:t>
      </w:r>
    </w:p>
    <w:p>
      <w:pPr>
        <w:pStyle w:val="79"/>
        <w:ind w:firstLine="480"/>
      </w:pPr>
      <w:r>
        <w:rPr>
          <w:rFonts w:hint="eastAsia"/>
        </w:rPr>
        <w:t>旬河发源于宁陕县和长安县交界的秦岭垭南侧，经宁陕县、镇安县，流入旬阳市仁河口镇，至小河两河关纳乾佑河，再经赵湾、甘溪、白柳、城关等镇，在县城东南角汇入汉江，全长218km。</w:t>
      </w:r>
    </w:p>
    <w:p>
      <w:pPr>
        <w:pStyle w:val="79"/>
        <w:ind w:firstLine="480"/>
      </w:pPr>
      <w:r>
        <w:rPr>
          <w:rFonts w:hint="eastAsia"/>
        </w:rPr>
        <w:t>坝河古称冲河，亦称界溪河，发源于平利县光头山，经平利县、汉滨区境，于菠萝滩入旬阳市吕河镇，在吕河镇西汇入汉江。全长128.2km。</w:t>
      </w:r>
    </w:p>
    <w:p>
      <w:pPr>
        <w:pStyle w:val="79"/>
        <w:ind w:firstLine="480"/>
      </w:pPr>
      <w:r>
        <w:rPr>
          <w:rFonts w:hint="eastAsia"/>
        </w:rPr>
        <w:t>吕河古称驴川、闾河，发源于铜钱关镇铁桶寨，由水磨河、大金河、大神河等3条主要支流汇集而成，干流经铜钱关、金寨、神河、吕河等镇，于吕河镇梨河村汇入坝河。干流全长58.64km。</w:t>
      </w:r>
    </w:p>
    <w:p>
      <w:pPr>
        <w:pStyle w:val="79"/>
        <w:ind w:firstLine="480"/>
      </w:pPr>
      <w:r>
        <w:rPr>
          <w:rFonts w:hint="eastAsia"/>
        </w:rPr>
        <w:t>蜀河古称淯溪，源于湖北省郧西胡家岩，全长67.1km，由郧西县入本县红军镇，流经红军、双河、蜀河等镇，于蜀河口汇入汉江。</w:t>
      </w:r>
    </w:p>
    <w:p>
      <w:pPr>
        <w:pStyle w:val="79"/>
        <w:ind w:firstLine="480"/>
      </w:pPr>
      <w:r>
        <w:rPr>
          <w:rFonts w:hint="eastAsia"/>
        </w:rPr>
        <w:t>仙河发源于湖北省郧西县张子沟，由郧西县入仙河镇大龙王沟口，流经镇内尖山沟、黄泥沟、竹园河3个村，在仙河口汇入汉江，县境内流长26.35km。</w:t>
      </w:r>
    </w:p>
    <w:p>
      <w:pPr>
        <w:pStyle w:val="4"/>
      </w:pPr>
      <w:r>
        <w:rPr>
          <w:rFonts w:hint="eastAsia"/>
        </w:rPr>
        <w:t>水文地质</w:t>
      </w:r>
    </w:p>
    <w:p>
      <w:pPr>
        <w:pStyle w:val="79"/>
        <w:ind w:firstLine="480"/>
      </w:pPr>
      <w:r>
        <w:rPr>
          <w:rFonts w:hint="eastAsia"/>
        </w:rPr>
        <w:t>旬阳市地下水补给模数为6.4259万m</w:t>
      </w:r>
      <w:r>
        <w:rPr>
          <w:rFonts w:hint="eastAsia"/>
          <w:vertAlign w:val="superscript"/>
        </w:rPr>
        <w:t>3</w:t>
      </w:r>
      <w:r>
        <w:rPr>
          <w:rFonts w:hint="eastAsia"/>
        </w:rPr>
        <w:t>/年·km</w:t>
      </w:r>
      <w:r>
        <w:rPr>
          <w:rFonts w:hint="eastAsia"/>
          <w:vertAlign w:val="superscript"/>
        </w:rPr>
        <w:t>2</w:t>
      </w:r>
      <w:r>
        <w:rPr>
          <w:rFonts w:hint="eastAsia"/>
        </w:rPr>
        <w:t>，地下水总量为22840万m</w:t>
      </w:r>
      <w:r>
        <w:rPr>
          <w:rFonts w:hint="eastAsia"/>
          <w:vertAlign w:val="superscript"/>
        </w:rPr>
        <w:t>3</w:t>
      </w:r>
      <w:r>
        <w:rPr>
          <w:rFonts w:hint="eastAsia"/>
        </w:rPr>
        <w:t>，占全县径流量的20.1%。一般属重碳酸型，弱矿化水，可为生活用水和农田灌溉供水，但在城区附近和居民较集中的地段，水质较差。</w:t>
      </w:r>
    </w:p>
    <w:p>
      <w:pPr>
        <w:pStyle w:val="79"/>
        <w:ind w:firstLine="480"/>
      </w:pPr>
      <w:r>
        <w:rPr>
          <w:rFonts w:hint="eastAsia"/>
        </w:rPr>
        <w:t>由于自然地理和地质条件的差异，县境内地下水分布极不均匀。按水文地质可分为三大含水岩系。</w:t>
      </w:r>
    </w:p>
    <w:p>
      <w:pPr>
        <w:pStyle w:val="79"/>
        <w:ind w:firstLine="480"/>
      </w:pPr>
      <w:r>
        <w:rPr>
          <w:rFonts w:hint="eastAsia"/>
        </w:rPr>
        <w:t>（1）层状基岩裂隙含水岩类。分布在汉江以北、旬河以东、仙河以西的广大地区，主要岩层是寒武一泥盆系的片岩、千枚岩夹薄层灰岩及结晶灰岩等类。此类岩层经多次构造运动，断层、裂隙较为发育，且多为碎屑或岩脉充填，故地下富水性较弱。</w:t>
      </w:r>
    </w:p>
    <w:p>
      <w:pPr>
        <w:pStyle w:val="79"/>
        <w:ind w:firstLine="480"/>
      </w:pPr>
      <w:r>
        <w:rPr>
          <w:rFonts w:hint="eastAsia"/>
        </w:rPr>
        <w:t>（2）岩溶化基岩岩溶裂隙含水岩类。主要分布在南羊山、北羊山及汉江以南大巴山地区。地下水为岩溶潜水或承压水，矿化度小于1g/</w:t>
      </w:r>
      <w:r>
        <w:t>L</w:t>
      </w:r>
      <w:r>
        <w:rPr>
          <w:rFonts w:hint="eastAsia"/>
        </w:rPr>
        <w:t>，埋深不一，泉流量2.5m</w:t>
      </w:r>
      <w:r>
        <w:rPr>
          <w:rFonts w:hint="eastAsia"/>
          <w:vertAlign w:val="superscript"/>
        </w:rPr>
        <w:t>3</w:t>
      </w:r>
      <w:r>
        <w:rPr>
          <w:rFonts w:hint="eastAsia"/>
        </w:rPr>
        <w:t>/</w:t>
      </w:r>
      <w:r>
        <w:t>h</w:t>
      </w:r>
      <w:r>
        <w:rPr>
          <w:rFonts w:hint="eastAsia"/>
        </w:rPr>
        <w:t>。南羊山地段岩溶（喀斯特）地形发育，在三里峡、南羊山断层下盘两裂隙交叉处有泉水出露，涌水量随季节变化（20—300L/</w:t>
      </w:r>
      <w:r>
        <w:t>S</w:t>
      </w:r>
      <w:r>
        <w:rPr>
          <w:rFonts w:hint="eastAsia"/>
        </w:rPr>
        <w:t>），为公馆河主要水源。位处南羊山张坪乡的水帘洞，地下水出露较高，距沟心80多m，流量达0.0439m</w:t>
      </w:r>
      <w:r>
        <w:rPr>
          <w:rFonts w:hint="eastAsia"/>
          <w:vertAlign w:val="superscript"/>
        </w:rPr>
        <w:t>3</w:t>
      </w:r>
      <w:r>
        <w:rPr>
          <w:rFonts w:hint="eastAsia"/>
        </w:rPr>
        <w:t>/s，富水性较强。</w:t>
      </w:r>
    </w:p>
    <w:p>
      <w:pPr>
        <w:pStyle w:val="79"/>
        <w:ind w:firstLine="480"/>
      </w:pPr>
      <w:r>
        <w:rPr>
          <w:rFonts w:hint="eastAsia"/>
        </w:rPr>
        <w:t>（3）松散覆盖层孔隙含水岩类。主要分布在汉江、旬河、蜀河、吕河等河谷两岸，地下水较丰富，上部为冲积层潜水，下部为冲湖积层承压水，水位一般埋深数米至30m，矿化度小于1</w:t>
      </w:r>
      <w:r>
        <w:t>g</w:t>
      </w:r>
      <w:r>
        <w:rPr>
          <w:rFonts w:hint="eastAsia"/>
        </w:rPr>
        <w:t>/</w:t>
      </w:r>
      <w:r>
        <w:t>L</w:t>
      </w:r>
      <w:r>
        <w:rPr>
          <w:rFonts w:hint="eastAsia"/>
        </w:rPr>
        <w:t>，含水层为冲积沙卵石、粗沙、细纱、亚沙土及亚粘土。强富水带主要分布在上下菜湾、草坪、青泥湾一带。中等富水带为旬河的一、二级阶地和白柳的洪积扇。</w:t>
      </w:r>
    </w:p>
    <w:p>
      <w:pPr>
        <w:pStyle w:val="79"/>
        <w:ind w:firstLine="480"/>
      </w:pPr>
      <w:r>
        <w:rPr>
          <w:rFonts w:hint="eastAsia"/>
        </w:rPr>
        <w:t>地下水受地形控制作用强烈，地表分水岭大体上也是地下水的分水岭。山岭和山坡地段主要是地下水的补给径流区，河谷地段主要是地下水的排泄区，由分水岭向河谷，地下水位由深变浅，富水性由弱变强。地下水主要受大气降水补给，局部地区受地表水的侧向补给。</w:t>
      </w:r>
    </w:p>
    <w:p>
      <w:pPr>
        <w:pStyle w:val="4"/>
      </w:pPr>
      <w:r>
        <w:rPr>
          <w:rFonts w:hint="eastAsia"/>
        </w:rPr>
        <w:t>植被</w:t>
      </w:r>
    </w:p>
    <w:p>
      <w:pPr>
        <w:pStyle w:val="79"/>
        <w:ind w:firstLine="480"/>
      </w:pPr>
      <w:r>
        <w:rPr>
          <w:rFonts w:hint="eastAsia"/>
        </w:rPr>
        <w:t>旬阳市地处北亚热带北缘，北有秦岭阻挡寒流的侵袭，气候温暖湿润。</w:t>
      </w:r>
    </w:p>
    <w:p>
      <w:pPr>
        <w:pStyle w:val="79"/>
        <w:ind w:firstLine="480"/>
      </w:pPr>
      <w:r>
        <w:rPr>
          <w:rFonts w:hint="eastAsia"/>
        </w:rPr>
        <w:t>项目区植物属于山区零星野生灌木到少量森林过渡区，自然植被主要以杂草灌为主。乔木主要有山杨、栎树阔叶林、马尾松、侧柏针叶林；灌丛主要有马桑、黄荆条灌丛、胡枝子、毛黄栌灌丛。</w:t>
      </w:r>
    </w:p>
    <w:p>
      <w:pPr>
        <w:ind w:firstLine="480"/>
      </w:pPr>
      <w:r>
        <w:rPr>
          <w:bCs/>
        </w:rPr>
        <w:t>项目所在地周围以农业生态为主。</w:t>
      </w:r>
      <w:r>
        <w:t>未见有国家保护植物分布。</w:t>
      </w:r>
    </w:p>
    <w:p>
      <w:pPr>
        <w:pStyle w:val="4"/>
      </w:pPr>
      <w:r>
        <w:rPr>
          <w:rFonts w:hint="eastAsia"/>
        </w:rPr>
        <w:t>动物资源</w:t>
      </w:r>
    </w:p>
    <w:p>
      <w:pPr>
        <w:ind w:firstLine="480"/>
        <w:rPr>
          <w:szCs w:val="24"/>
        </w:rPr>
      </w:pPr>
      <w:r>
        <w:rPr>
          <w:rFonts w:hint="eastAsia"/>
          <w:szCs w:val="24"/>
        </w:rPr>
        <w:t>阳县动物资源主要有家畜和野生动物。境内野生动物资源种类繁多，分布较广。在境内的秦岭南羊山地区，脊椎动物居多。县域野生动物有</w:t>
      </w:r>
      <w:r>
        <w:rPr>
          <w:szCs w:val="24"/>
        </w:rPr>
        <w:t>15</w:t>
      </w:r>
      <w:r>
        <w:rPr>
          <w:rFonts w:hint="eastAsia"/>
          <w:szCs w:val="24"/>
        </w:rPr>
        <w:t>个目、</w:t>
      </w:r>
      <w:r>
        <w:rPr>
          <w:szCs w:val="24"/>
        </w:rPr>
        <w:t>34</w:t>
      </w:r>
      <w:r>
        <w:rPr>
          <w:rFonts w:hint="eastAsia"/>
          <w:szCs w:val="24"/>
        </w:rPr>
        <w:t>个科、</w:t>
      </w:r>
      <w:r>
        <w:rPr>
          <w:szCs w:val="24"/>
        </w:rPr>
        <w:t>108</w:t>
      </w:r>
      <w:r>
        <w:rPr>
          <w:rFonts w:hint="eastAsia"/>
          <w:szCs w:val="24"/>
        </w:rPr>
        <w:t>种，除列为国家保护对象的林麝、大鲵、苏门羚、金钱豹、青羊、原猫、大灵猫、红腹角雉、白冠长尾雉、金鸡、金雕等珍稀动物外，还有水獭、果子狸、獾、熊、野猪、豺狼、貂、麂子、獐子、兔、松鼠、黄鼬、龟、蛇、蟾蜍、豪猪等爬行动物和飞虎、飞鼠、啄木鸟、猫头鹰、蝙蝠、燕子、灰喜鹊、画眉、黄鹂、乌鸦、岩鸽、斑鸠、鹦鹉、野鸭、白鹭、鹳、鸢、莺等鸟类动物。</w:t>
      </w:r>
      <w:r>
        <w:rPr>
          <w:szCs w:val="24"/>
        </w:rPr>
        <w:t>1998</w:t>
      </w:r>
      <w:r>
        <w:rPr>
          <w:rFonts w:hint="eastAsia"/>
          <w:szCs w:val="24"/>
        </w:rPr>
        <w:t>年</w:t>
      </w:r>
      <w:r>
        <w:rPr>
          <w:szCs w:val="24"/>
        </w:rPr>
        <w:t>12</w:t>
      </w:r>
      <w:r>
        <w:rPr>
          <w:rFonts w:hint="eastAsia"/>
          <w:szCs w:val="24"/>
        </w:rPr>
        <w:t>月，对县境内野生动物再作调查，发现除上部县志记载的目、科、种外，新发现鸟类实体</w:t>
      </w:r>
      <w:r>
        <w:rPr>
          <w:szCs w:val="24"/>
        </w:rPr>
        <w:t>12</w:t>
      </w:r>
      <w:r>
        <w:rPr>
          <w:rFonts w:hint="eastAsia"/>
          <w:szCs w:val="24"/>
        </w:rPr>
        <w:t>目</w:t>
      </w:r>
      <w:r>
        <w:rPr>
          <w:szCs w:val="24"/>
        </w:rPr>
        <w:t>25</w:t>
      </w:r>
      <w:r>
        <w:rPr>
          <w:rFonts w:hint="eastAsia"/>
          <w:szCs w:val="24"/>
        </w:rPr>
        <w:t>科</w:t>
      </w:r>
      <w:r>
        <w:rPr>
          <w:szCs w:val="24"/>
        </w:rPr>
        <w:t>96</w:t>
      </w:r>
      <w:r>
        <w:rPr>
          <w:rFonts w:hint="eastAsia"/>
          <w:szCs w:val="24"/>
        </w:rPr>
        <w:t>种，兽类实体</w:t>
      </w:r>
      <w:r>
        <w:rPr>
          <w:szCs w:val="24"/>
        </w:rPr>
        <w:t>3</w:t>
      </w:r>
      <w:r>
        <w:rPr>
          <w:rFonts w:hint="eastAsia"/>
          <w:szCs w:val="24"/>
        </w:rPr>
        <w:t>目</w:t>
      </w:r>
      <w:r>
        <w:rPr>
          <w:szCs w:val="24"/>
        </w:rPr>
        <w:t>9</w:t>
      </w:r>
      <w:r>
        <w:rPr>
          <w:rFonts w:hint="eastAsia"/>
          <w:szCs w:val="24"/>
        </w:rPr>
        <w:t>科</w:t>
      </w:r>
      <w:r>
        <w:rPr>
          <w:szCs w:val="24"/>
        </w:rPr>
        <w:t>12</w:t>
      </w:r>
      <w:r>
        <w:rPr>
          <w:rFonts w:hint="eastAsia"/>
          <w:szCs w:val="24"/>
        </w:rPr>
        <w:t>种，其中一类保护动物有豹、云豹、金雕、白肩雕；二类保护动物有黑熊、林麝、毛冠鹿、羚、红腹锦鸡、勺鸡、大鲵等各类猛禽。</w:t>
      </w:r>
      <w:r>
        <w:rPr>
          <w:szCs w:val="24"/>
        </w:rPr>
        <w:t>40</w:t>
      </w:r>
      <w:r>
        <w:rPr>
          <w:rFonts w:hint="eastAsia"/>
          <w:szCs w:val="24"/>
        </w:rPr>
        <w:t>年前大量存在的狐狸、狼等野生动物已绝迹</w:t>
      </w:r>
      <w:r>
        <w:rPr>
          <w:szCs w:val="24"/>
        </w:rPr>
        <w:t>。</w:t>
      </w:r>
    </w:p>
    <w:p>
      <w:pPr>
        <w:ind w:firstLine="480"/>
        <w:rPr>
          <w:szCs w:val="24"/>
        </w:rPr>
      </w:pPr>
      <w:r>
        <w:rPr>
          <w:szCs w:val="24"/>
        </w:rPr>
        <w:t>经现场踏勘，</w:t>
      </w:r>
      <w:r>
        <w:t>项目所在区域，无需要特殊保护的动物类型</w:t>
      </w:r>
      <w:r>
        <w:rPr>
          <w:rFonts w:hint="eastAsia"/>
        </w:rPr>
        <w:t>，</w:t>
      </w:r>
      <w:r>
        <w:rPr>
          <w:szCs w:val="24"/>
        </w:rPr>
        <w:t>附近也没有野生动物栖息地和迁徙路线。</w:t>
      </w:r>
    </w:p>
    <w:p>
      <w:pPr>
        <w:pStyle w:val="4"/>
      </w:pPr>
      <w:r>
        <w:rPr>
          <w:rFonts w:hint="eastAsia"/>
        </w:rPr>
        <w:t>土壤</w:t>
      </w:r>
    </w:p>
    <w:p>
      <w:pPr>
        <w:ind w:firstLine="480"/>
      </w:pPr>
      <w:r>
        <w:rPr>
          <w:rFonts w:hint="eastAsia"/>
        </w:rPr>
        <w:t>评价区土壤以山地黄棕壤为主，又名普通黄浆壤亚类，主要分布在山坡地带，冬季有不稳定的冻土层，土体松泡，黄色（来源：陕西地情网——安康地区志）。成土过程以粘化和淋溶同时进行为主，无明显的粘化层，层次分化也无黄褐土明显。有机质含量在1.3～2.3%之间，比黄褐土高，pH值下降，是黄褐土向黄壤过渡的地带性土壤。质地均匀，中壤至重壤，土体黄色、层次分化不明显，土层厚77.5±75cm，耕层团粒结构，心土层块状或似柱状结构，土壤微酸性，耕层物理粘性42.14%，粘粒含量19.13%，阳离子代换量18.66me/100g，这些指标都低于黄泥土。但是，养分含量优于黄泥土和黄泥巴，耕层有机质1.74%，全氮0.125%，全磷0.152%，全钾3.02%。黄泡土如弃耕或森林被毁，便成为生草浆土；在森林植被下，有腐殖层者称腐殖黄泥土和腐殖含浆土。这一土壤的改良利用，应在防止水土流失的基础上，推广间套种植生产期短的作物，充分利用光照热量资源。</w:t>
      </w:r>
    </w:p>
    <w:p>
      <w:pPr>
        <w:pStyle w:val="3"/>
      </w:pPr>
      <w:bookmarkStart w:id="109" w:name="_Toc108422233"/>
      <w:bookmarkStart w:id="110" w:name="_Toc488102166"/>
      <w:r>
        <w:rPr>
          <w:rFonts w:hint="eastAsia"/>
        </w:rPr>
        <w:t>环境空气质量现状调查与评价</w:t>
      </w:r>
      <w:bookmarkEnd w:id="109"/>
      <w:bookmarkEnd w:id="110"/>
    </w:p>
    <w:p>
      <w:pPr>
        <w:pStyle w:val="4"/>
      </w:pPr>
      <w:r>
        <w:rPr>
          <w:rFonts w:hint="eastAsia"/>
        </w:rPr>
        <w:t>环境空气质量现状</w:t>
      </w:r>
    </w:p>
    <w:p>
      <w:pPr>
        <w:pStyle w:val="5"/>
      </w:pPr>
      <w:r>
        <w:rPr>
          <w:rFonts w:hint="eastAsia"/>
        </w:rPr>
        <w:t>基本</w:t>
      </w:r>
      <w:r>
        <w:t>污染物</w:t>
      </w:r>
    </w:p>
    <w:p>
      <w:pPr>
        <w:ind w:firstLine="480"/>
      </w:pPr>
      <w:r>
        <w:rPr>
          <w:rFonts w:hint="eastAsia"/>
        </w:rPr>
        <w:t>项目所在</w:t>
      </w:r>
      <w:r>
        <w:t>区域属于安康市旬阳市</w:t>
      </w:r>
      <w:r>
        <w:rPr>
          <w:rFonts w:hint="eastAsia"/>
        </w:rPr>
        <w:t>，</w:t>
      </w:r>
      <w:r>
        <w:t>本次环评引</w:t>
      </w:r>
      <w:r>
        <w:rPr>
          <w:rFonts w:hint="eastAsia"/>
        </w:rPr>
        <w:t>用</w:t>
      </w:r>
      <w:r>
        <w:rPr>
          <w:szCs w:val="24"/>
        </w:rPr>
        <w:t>安康市生态环境局</w:t>
      </w:r>
      <w:r>
        <w:rPr>
          <w:rFonts w:hint="eastAsia"/>
          <w:szCs w:val="24"/>
        </w:rPr>
        <w:t>2022年</w:t>
      </w:r>
      <w:r>
        <w:rPr>
          <w:szCs w:val="24"/>
        </w:rPr>
        <w:t>1</w:t>
      </w:r>
      <w:r>
        <w:rPr>
          <w:rFonts w:hint="eastAsia"/>
          <w:szCs w:val="24"/>
        </w:rPr>
        <w:t>月</w:t>
      </w:r>
      <w:r>
        <w:rPr>
          <w:szCs w:val="24"/>
        </w:rPr>
        <w:t>20</w:t>
      </w:r>
      <w:r>
        <w:rPr>
          <w:rFonts w:hint="eastAsia"/>
          <w:szCs w:val="24"/>
        </w:rPr>
        <w:t>日</w:t>
      </w:r>
      <w:r>
        <w:rPr>
          <w:szCs w:val="24"/>
        </w:rPr>
        <w:t>发布的《环境空气质量快报第十二期—2021年12月</w:t>
      </w:r>
      <w:r>
        <w:rPr>
          <w:rFonts w:hint="eastAsia"/>
          <w:szCs w:val="24"/>
        </w:rPr>
        <w:t>及</w:t>
      </w:r>
      <w:r>
        <w:rPr>
          <w:szCs w:val="24"/>
        </w:rPr>
        <w:t>1-12月</w:t>
      </w:r>
      <w:r>
        <w:rPr>
          <w:rFonts w:hint="eastAsia"/>
          <w:szCs w:val="24"/>
        </w:rPr>
        <w:t>全市</w:t>
      </w:r>
      <w:r>
        <w:rPr>
          <w:szCs w:val="24"/>
        </w:rPr>
        <w:t>环境空气质量状况》，</w:t>
      </w:r>
      <w:r>
        <w:rPr>
          <w:rFonts w:hint="eastAsia"/>
          <w:szCs w:val="24"/>
        </w:rPr>
        <w:t>2021年旬阳市</w:t>
      </w:r>
      <w:r>
        <w:rPr>
          <w:szCs w:val="24"/>
        </w:rPr>
        <w:t>综合指数</w:t>
      </w:r>
      <w:r>
        <w:rPr>
          <w:rFonts w:hint="eastAsia"/>
          <w:szCs w:val="24"/>
        </w:rPr>
        <w:t>2.82，</w:t>
      </w:r>
      <w:r>
        <w:rPr>
          <w:szCs w:val="24"/>
        </w:rPr>
        <w:t>优良天数</w:t>
      </w:r>
      <w:r>
        <w:rPr>
          <w:rFonts w:hint="eastAsia"/>
          <w:szCs w:val="24"/>
        </w:rPr>
        <w:t>345天</w:t>
      </w:r>
      <w:r>
        <w:rPr>
          <w:szCs w:val="24"/>
        </w:rPr>
        <w:t>，项目所在区域达标判定情况如下</w:t>
      </w:r>
      <w:r>
        <w:rPr>
          <w:rFonts w:hint="eastAsia"/>
          <w:szCs w:val="24"/>
        </w:rPr>
        <w:t>：</w:t>
      </w:r>
      <w:r>
        <w:t xml:space="preserve"> </w:t>
      </w:r>
    </w:p>
    <w:p>
      <w:pPr>
        <w:ind w:firstLine="480"/>
      </w:pPr>
      <w:r>
        <w:t>空气质量状况</w:t>
      </w:r>
      <w:r>
        <w:rPr>
          <w:rFonts w:hint="eastAsia"/>
        </w:rPr>
        <w:t>统计</w:t>
      </w:r>
      <w:r>
        <w:t>及</w:t>
      </w:r>
      <w:r>
        <w:rPr>
          <w:rFonts w:hint="eastAsia"/>
        </w:rPr>
        <w:t>结果</w:t>
      </w:r>
      <w:r>
        <w:t>详见</w:t>
      </w:r>
      <w:r>
        <w:fldChar w:fldCharType="begin"/>
      </w:r>
      <w:r>
        <w:instrText xml:space="preserve"> REF _Ref27042732 \h  \* MERGEFORMAT </w:instrText>
      </w:r>
      <w:r>
        <w:fldChar w:fldCharType="separate"/>
      </w:r>
      <w:r>
        <w:t>表4.2</w:t>
      </w:r>
      <w:r>
        <w:noBreakHyphen/>
      </w:r>
      <w:r>
        <w:t>1</w:t>
      </w:r>
      <w:r>
        <w:fldChar w:fldCharType="end"/>
      </w:r>
      <w:r>
        <w:t>。</w:t>
      </w:r>
    </w:p>
    <w:p>
      <w:pPr>
        <w:pStyle w:val="85"/>
        <w:rPr>
          <w:rFonts w:hAnsi="Times New Roman"/>
        </w:rPr>
      </w:pPr>
      <w:bookmarkStart w:id="111" w:name="_Ref27042732"/>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111"/>
      <w:r>
        <w:rPr>
          <w:rFonts w:hAnsi="Times New Roman"/>
        </w:rPr>
        <w:t xml:space="preserve">  2021</w:t>
      </w:r>
      <w:r>
        <w:rPr>
          <w:rFonts w:hint="eastAsia" w:hAnsi="Times New Roman"/>
        </w:rPr>
        <w:t>年</w:t>
      </w:r>
      <w:r>
        <w:rPr>
          <w:rFonts w:hAnsi="Times New Roman"/>
        </w:rPr>
        <w:t>旬阳市区域环境质量现状评价表</w:t>
      </w:r>
      <w:r>
        <w:rPr>
          <w:rFonts w:hint="eastAsia" w:hAnsi="Times New Roman"/>
        </w:rPr>
        <w:t xml:space="preserve"> </w:t>
      </w:r>
      <w:r>
        <w:rPr>
          <w:rFonts w:hAnsi="Times New Roman"/>
          <w:bCs/>
          <w:szCs w:val="21"/>
        </w:rPr>
        <w:t>单位：µg/m</w:t>
      </w:r>
      <w:r>
        <w:rPr>
          <w:rFonts w:hAnsi="Times New Roman"/>
          <w:bCs/>
          <w:szCs w:val="21"/>
          <w:vertAlign w:val="superscript"/>
        </w:rPr>
        <w:t>3</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38"/>
        <w:gridCol w:w="3047"/>
        <w:gridCol w:w="972"/>
        <w:gridCol w:w="831"/>
        <w:gridCol w:w="970"/>
        <w:gridCol w:w="831"/>
        <w:gridCol w:w="68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938" w:type="dxa"/>
            <w:vAlign w:val="center"/>
          </w:tcPr>
          <w:p>
            <w:pPr>
              <w:pStyle w:val="89"/>
            </w:pPr>
            <w:r>
              <w:t>污染物</w:t>
            </w:r>
          </w:p>
        </w:tc>
        <w:tc>
          <w:tcPr>
            <w:tcW w:w="3047" w:type="dxa"/>
            <w:tcMar>
              <w:top w:w="0" w:type="dxa"/>
              <w:left w:w="51" w:type="dxa"/>
              <w:bottom w:w="0" w:type="dxa"/>
              <w:right w:w="51" w:type="dxa"/>
            </w:tcMar>
            <w:vAlign w:val="center"/>
          </w:tcPr>
          <w:p>
            <w:pPr>
              <w:pStyle w:val="89"/>
            </w:pPr>
            <w:r>
              <w:t>年评价指标</w:t>
            </w:r>
          </w:p>
        </w:tc>
        <w:tc>
          <w:tcPr>
            <w:tcW w:w="972" w:type="dxa"/>
            <w:tcMar>
              <w:top w:w="0" w:type="dxa"/>
              <w:left w:w="51" w:type="dxa"/>
              <w:bottom w:w="0" w:type="dxa"/>
              <w:right w:w="51" w:type="dxa"/>
            </w:tcMar>
            <w:vAlign w:val="center"/>
          </w:tcPr>
          <w:p>
            <w:pPr>
              <w:pStyle w:val="89"/>
            </w:pPr>
            <w:r>
              <w:t>现状浓度</w:t>
            </w:r>
          </w:p>
        </w:tc>
        <w:tc>
          <w:tcPr>
            <w:tcW w:w="831" w:type="dxa"/>
            <w:tcMar>
              <w:top w:w="0" w:type="dxa"/>
              <w:left w:w="51" w:type="dxa"/>
              <w:bottom w:w="0" w:type="dxa"/>
              <w:right w:w="51" w:type="dxa"/>
            </w:tcMar>
            <w:vAlign w:val="center"/>
          </w:tcPr>
          <w:p>
            <w:pPr>
              <w:pStyle w:val="89"/>
            </w:pPr>
            <w:r>
              <w:t>标准值</w:t>
            </w:r>
          </w:p>
        </w:tc>
        <w:tc>
          <w:tcPr>
            <w:tcW w:w="970" w:type="dxa"/>
            <w:tcMar>
              <w:top w:w="0" w:type="dxa"/>
              <w:left w:w="51" w:type="dxa"/>
              <w:bottom w:w="0" w:type="dxa"/>
              <w:right w:w="51" w:type="dxa"/>
            </w:tcMar>
            <w:vAlign w:val="center"/>
          </w:tcPr>
          <w:p>
            <w:pPr>
              <w:pStyle w:val="89"/>
            </w:pPr>
            <w:r>
              <w:t>占标率</w:t>
            </w:r>
          </w:p>
          <w:p>
            <w:pPr>
              <w:pStyle w:val="89"/>
            </w:pPr>
            <w:r>
              <w:rPr>
                <w:rFonts w:hint="eastAsia"/>
              </w:rPr>
              <w:t>（%）</w:t>
            </w:r>
          </w:p>
        </w:tc>
        <w:tc>
          <w:tcPr>
            <w:tcW w:w="831" w:type="dxa"/>
            <w:tcMar>
              <w:top w:w="0" w:type="dxa"/>
              <w:left w:w="51" w:type="dxa"/>
              <w:bottom w:w="0" w:type="dxa"/>
              <w:right w:w="51" w:type="dxa"/>
            </w:tcMar>
            <w:vAlign w:val="center"/>
          </w:tcPr>
          <w:p>
            <w:pPr>
              <w:pStyle w:val="89"/>
            </w:pPr>
            <w:r>
              <w:t>达标</w:t>
            </w:r>
          </w:p>
          <w:p>
            <w:pPr>
              <w:pStyle w:val="89"/>
            </w:pPr>
            <w:r>
              <w:t>情况</w:t>
            </w:r>
          </w:p>
        </w:tc>
        <w:tc>
          <w:tcPr>
            <w:tcW w:w="687" w:type="dxa"/>
            <w:tcMar>
              <w:top w:w="0" w:type="dxa"/>
              <w:left w:w="51" w:type="dxa"/>
              <w:bottom w:w="0" w:type="dxa"/>
              <w:right w:w="51" w:type="dxa"/>
            </w:tcMar>
            <w:vAlign w:val="center"/>
          </w:tcPr>
          <w:p>
            <w:pPr>
              <w:pStyle w:val="89"/>
            </w:pPr>
            <w:r>
              <w:t>超标</w:t>
            </w:r>
          </w:p>
          <w:p>
            <w:pPr>
              <w:pStyle w:val="89"/>
            </w:pPr>
            <w:r>
              <w:t>倍数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938" w:type="dxa"/>
            <w:vAlign w:val="center"/>
          </w:tcPr>
          <w:p>
            <w:pPr>
              <w:pStyle w:val="89"/>
            </w:pPr>
            <w:r>
              <w:t>PM</w:t>
            </w:r>
            <w:r>
              <w:rPr>
                <w:vertAlign w:val="subscript"/>
              </w:rPr>
              <w:t>2.5</w:t>
            </w:r>
          </w:p>
        </w:tc>
        <w:tc>
          <w:tcPr>
            <w:tcW w:w="3047" w:type="dxa"/>
            <w:vMerge w:val="restart"/>
            <w:tcMar>
              <w:top w:w="0" w:type="dxa"/>
              <w:left w:w="51" w:type="dxa"/>
              <w:bottom w:w="0" w:type="dxa"/>
              <w:right w:w="51" w:type="dxa"/>
            </w:tcMar>
            <w:vAlign w:val="center"/>
          </w:tcPr>
          <w:p>
            <w:pPr>
              <w:pStyle w:val="89"/>
            </w:pPr>
            <w:r>
              <w:t>年平均质量浓度</w:t>
            </w:r>
          </w:p>
        </w:tc>
        <w:tc>
          <w:tcPr>
            <w:tcW w:w="972" w:type="dxa"/>
            <w:tcMar>
              <w:top w:w="0" w:type="dxa"/>
              <w:left w:w="51" w:type="dxa"/>
              <w:bottom w:w="0" w:type="dxa"/>
              <w:right w:w="51" w:type="dxa"/>
            </w:tcMar>
            <w:vAlign w:val="center"/>
          </w:tcPr>
          <w:p>
            <w:pPr>
              <w:pStyle w:val="89"/>
            </w:pPr>
            <w:r>
              <w:t>27</w:t>
            </w:r>
          </w:p>
        </w:tc>
        <w:tc>
          <w:tcPr>
            <w:tcW w:w="831" w:type="dxa"/>
            <w:tcMar>
              <w:top w:w="0" w:type="dxa"/>
              <w:left w:w="51" w:type="dxa"/>
              <w:bottom w:w="0" w:type="dxa"/>
              <w:right w:w="51" w:type="dxa"/>
            </w:tcMar>
            <w:vAlign w:val="center"/>
          </w:tcPr>
          <w:p>
            <w:pPr>
              <w:pStyle w:val="89"/>
            </w:pPr>
            <w:r>
              <w:t>35</w:t>
            </w:r>
          </w:p>
        </w:tc>
        <w:tc>
          <w:tcPr>
            <w:tcW w:w="970" w:type="dxa"/>
            <w:tcMar>
              <w:top w:w="0" w:type="dxa"/>
              <w:left w:w="51" w:type="dxa"/>
              <w:bottom w:w="0" w:type="dxa"/>
              <w:right w:w="51" w:type="dxa"/>
            </w:tcMar>
            <w:vAlign w:val="center"/>
          </w:tcPr>
          <w:p>
            <w:pPr>
              <w:pStyle w:val="89"/>
            </w:pPr>
            <w:r>
              <w:rPr>
                <w:rFonts w:hint="eastAsia"/>
              </w:rPr>
              <w:t>77.1</w:t>
            </w:r>
          </w:p>
        </w:tc>
        <w:tc>
          <w:tcPr>
            <w:tcW w:w="831" w:type="dxa"/>
            <w:tcMar>
              <w:top w:w="0" w:type="dxa"/>
              <w:left w:w="51" w:type="dxa"/>
              <w:bottom w:w="0" w:type="dxa"/>
              <w:right w:w="51" w:type="dxa"/>
            </w:tcMar>
            <w:vAlign w:val="center"/>
          </w:tcPr>
          <w:p>
            <w:pPr>
              <w:pStyle w:val="89"/>
            </w:pPr>
            <w:r>
              <w:rPr>
                <w:rFonts w:hint="eastAsia"/>
              </w:rPr>
              <w:t>达标</w:t>
            </w:r>
          </w:p>
        </w:tc>
        <w:tc>
          <w:tcPr>
            <w:tcW w:w="687" w:type="dxa"/>
            <w:tcMar>
              <w:top w:w="0" w:type="dxa"/>
              <w:left w:w="51" w:type="dxa"/>
              <w:bottom w:w="0" w:type="dxa"/>
              <w:right w:w="51" w:type="dxa"/>
            </w:tcMar>
            <w:vAlign w:val="center"/>
          </w:tcPr>
          <w:p>
            <w:pPr>
              <w:pStyle w:val="89"/>
            </w:pPr>
            <w: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938" w:type="dxa"/>
            <w:vAlign w:val="center"/>
          </w:tcPr>
          <w:p>
            <w:pPr>
              <w:pStyle w:val="89"/>
            </w:pPr>
            <w:r>
              <w:t>PM</w:t>
            </w:r>
            <w:r>
              <w:rPr>
                <w:vertAlign w:val="subscript"/>
              </w:rPr>
              <w:t>10</w:t>
            </w:r>
          </w:p>
        </w:tc>
        <w:tc>
          <w:tcPr>
            <w:tcW w:w="3047" w:type="dxa"/>
            <w:vMerge w:val="continue"/>
            <w:tcMar>
              <w:top w:w="0" w:type="dxa"/>
              <w:left w:w="51" w:type="dxa"/>
              <w:bottom w:w="0" w:type="dxa"/>
              <w:right w:w="51" w:type="dxa"/>
            </w:tcMar>
            <w:vAlign w:val="center"/>
          </w:tcPr>
          <w:p>
            <w:pPr>
              <w:pStyle w:val="89"/>
            </w:pPr>
          </w:p>
        </w:tc>
        <w:tc>
          <w:tcPr>
            <w:tcW w:w="972" w:type="dxa"/>
            <w:tcMar>
              <w:top w:w="0" w:type="dxa"/>
              <w:left w:w="51" w:type="dxa"/>
              <w:bottom w:w="0" w:type="dxa"/>
              <w:right w:w="51" w:type="dxa"/>
            </w:tcMar>
            <w:vAlign w:val="center"/>
          </w:tcPr>
          <w:p>
            <w:pPr>
              <w:pStyle w:val="89"/>
            </w:pPr>
            <w:r>
              <w:t>45</w:t>
            </w:r>
          </w:p>
        </w:tc>
        <w:tc>
          <w:tcPr>
            <w:tcW w:w="831" w:type="dxa"/>
            <w:tcMar>
              <w:top w:w="0" w:type="dxa"/>
              <w:left w:w="51" w:type="dxa"/>
              <w:bottom w:w="0" w:type="dxa"/>
              <w:right w:w="51" w:type="dxa"/>
            </w:tcMar>
            <w:vAlign w:val="center"/>
          </w:tcPr>
          <w:p>
            <w:pPr>
              <w:pStyle w:val="89"/>
            </w:pPr>
            <w:r>
              <w:t>70</w:t>
            </w:r>
          </w:p>
        </w:tc>
        <w:tc>
          <w:tcPr>
            <w:tcW w:w="970" w:type="dxa"/>
            <w:tcMar>
              <w:top w:w="0" w:type="dxa"/>
              <w:left w:w="51" w:type="dxa"/>
              <w:bottom w:w="0" w:type="dxa"/>
              <w:right w:w="51" w:type="dxa"/>
            </w:tcMar>
            <w:vAlign w:val="center"/>
          </w:tcPr>
          <w:p>
            <w:pPr>
              <w:pStyle w:val="89"/>
            </w:pPr>
            <w:r>
              <w:rPr>
                <w:rFonts w:hint="eastAsia"/>
              </w:rPr>
              <w:t>64.3</w:t>
            </w:r>
          </w:p>
        </w:tc>
        <w:tc>
          <w:tcPr>
            <w:tcW w:w="831" w:type="dxa"/>
            <w:tcMar>
              <w:top w:w="0" w:type="dxa"/>
              <w:left w:w="51" w:type="dxa"/>
              <w:bottom w:w="0" w:type="dxa"/>
              <w:right w:w="51" w:type="dxa"/>
            </w:tcMar>
          </w:tcPr>
          <w:p>
            <w:pPr>
              <w:pStyle w:val="89"/>
            </w:pPr>
            <w:r>
              <w:rPr>
                <w:rFonts w:hint="eastAsia"/>
              </w:rPr>
              <w:t>达标</w:t>
            </w:r>
          </w:p>
        </w:tc>
        <w:tc>
          <w:tcPr>
            <w:tcW w:w="687" w:type="dxa"/>
            <w:tcMar>
              <w:top w:w="0" w:type="dxa"/>
              <w:left w:w="51" w:type="dxa"/>
              <w:bottom w:w="0" w:type="dxa"/>
              <w:right w:w="51" w:type="dxa"/>
            </w:tcMar>
            <w:vAlign w:val="center"/>
          </w:tcPr>
          <w:p>
            <w:pPr>
              <w:pStyle w:val="8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938" w:type="dxa"/>
            <w:vAlign w:val="center"/>
          </w:tcPr>
          <w:p>
            <w:pPr>
              <w:pStyle w:val="89"/>
            </w:pPr>
            <w:r>
              <w:t>SO</w:t>
            </w:r>
            <w:r>
              <w:rPr>
                <w:vertAlign w:val="subscript"/>
              </w:rPr>
              <w:t>2</w:t>
            </w:r>
          </w:p>
        </w:tc>
        <w:tc>
          <w:tcPr>
            <w:tcW w:w="3047" w:type="dxa"/>
            <w:vMerge w:val="continue"/>
            <w:tcMar>
              <w:top w:w="0" w:type="dxa"/>
              <w:left w:w="51" w:type="dxa"/>
              <w:bottom w:w="0" w:type="dxa"/>
              <w:right w:w="51" w:type="dxa"/>
            </w:tcMar>
            <w:vAlign w:val="center"/>
          </w:tcPr>
          <w:p>
            <w:pPr>
              <w:pStyle w:val="89"/>
            </w:pPr>
          </w:p>
        </w:tc>
        <w:tc>
          <w:tcPr>
            <w:tcW w:w="972" w:type="dxa"/>
            <w:tcMar>
              <w:top w:w="0" w:type="dxa"/>
              <w:left w:w="51" w:type="dxa"/>
              <w:bottom w:w="0" w:type="dxa"/>
              <w:right w:w="51" w:type="dxa"/>
            </w:tcMar>
            <w:vAlign w:val="center"/>
          </w:tcPr>
          <w:p>
            <w:pPr>
              <w:pStyle w:val="89"/>
            </w:pPr>
            <w:r>
              <w:t>7</w:t>
            </w:r>
          </w:p>
        </w:tc>
        <w:tc>
          <w:tcPr>
            <w:tcW w:w="831" w:type="dxa"/>
            <w:tcMar>
              <w:top w:w="0" w:type="dxa"/>
              <w:left w:w="51" w:type="dxa"/>
              <w:bottom w:w="0" w:type="dxa"/>
              <w:right w:w="51" w:type="dxa"/>
            </w:tcMar>
            <w:vAlign w:val="center"/>
          </w:tcPr>
          <w:p>
            <w:pPr>
              <w:pStyle w:val="89"/>
            </w:pPr>
            <w:r>
              <w:t>60</w:t>
            </w:r>
          </w:p>
        </w:tc>
        <w:tc>
          <w:tcPr>
            <w:tcW w:w="970" w:type="dxa"/>
            <w:tcMar>
              <w:top w:w="0" w:type="dxa"/>
              <w:left w:w="51" w:type="dxa"/>
              <w:bottom w:w="0" w:type="dxa"/>
              <w:right w:w="51" w:type="dxa"/>
            </w:tcMar>
            <w:vAlign w:val="center"/>
          </w:tcPr>
          <w:p>
            <w:pPr>
              <w:pStyle w:val="89"/>
            </w:pPr>
            <w:r>
              <w:rPr>
                <w:rFonts w:hint="eastAsia"/>
              </w:rPr>
              <w:t>11.7</w:t>
            </w:r>
          </w:p>
        </w:tc>
        <w:tc>
          <w:tcPr>
            <w:tcW w:w="831" w:type="dxa"/>
            <w:tcMar>
              <w:top w:w="0" w:type="dxa"/>
              <w:left w:w="51" w:type="dxa"/>
              <w:bottom w:w="0" w:type="dxa"/>
              <w:right w:w="51" w:type="dxa"/>
            </w:tcMar>
          </w:tcPr>
          <w:p>
            <w:pPr>
              <w:pStyle w:val="89"/>
            </w:pPr>
            <w:r>
              <w:rPr>
                <w:rFonts w:hint="eastAsia"/>
              </w:rPr>
              <w:t>达标</w:t>
            </w:r>
          </w:p>
        </w:tc>
        <w:tc>
          <w:tcPr>
            <w:tcW w:w="687" w:type="dxa"/>
            <w:tcMar>
              <w:top w:w="0" w:type="dxa"/>
              <w:left w:w="51" w:type="dxa"/>
              <w:bottom w:w="0" w:type="dxa"/>
              <w:right w:w="51" w:type="dxa"/>
            </w:tcMar>
            <w:vAlign w:val="center"/>
          </w:tcPr>
          <w:p>
            <w:pPr>
              <w:pStyle w:val="89"/>
            </w:pPr>
            <w: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938" w:type="dxa"/>
            <w:vAlign w:val="center"/>
          </w:tcPr>
          <w:p>
            <w:pPr>
              <w:pStyle w:val="89"/>
            </w:pPr>
            <w:r>
              <w:t>NO</w:t>
            </w:r>
            <w:r>
              <w:rPr>
                <w:vertAlign w:val="subscript"/>
              </w:rPr>
              <w:t>2</w:t>
            </w:r>
          </w:p>
        </w:tc>
        <w:tc>
          <w:tcPr>
            <w:tcW w:w="3047" w:type="dxa"/>
            <w:vMerge w:val="continue"/>
            <w:tcMar>
              <w:top w:w="0" w:type="dxa"/>
              <w:left w:w="51" w:type="dxa"/>
              <w:bottom w:w="0" w:type="dxa"/>
              <w:right w:w="51" w:type="dxa"/>
            </w:tcMar>
            <w:vAlign w:val="center"/>
          </w:tcPr>
          <w:p>
            <w:pPr>
              <w:pStyle w:val="89"/>
            </w:pPr>
          </w:p>
        </w:tc>
        <w:tc>
          <w:tcPr>
            <w:tcW w:w="972" w:type="dxa"/>
            <w:tcMar>
              <w:top w:w="0" w:type="dxa"/>
              <w:left w:w="51" w:type="dxa"/>
              <w:bottom w:w="0" w:type="dxa"/>
              <w:right w:w="51" w:type="dxa"/>
            </w:tcMar>
            <w:vAlign w:val="center"/>
          </w:tcPr>
          <w:p>
            <w:pPr>
              <w:pStyle w:val="89"/>
            </w:pPr>
            <w:r>
              <w:t>15</w:t>
            </w:r>
          </w:p>
        </w:tc>
        <w:tc>
          <w:tcPr>
            <w:tcW w:w="831" w:type="dxa"/>
            <w:tcMar>
              <w:top w:w="0" w:type="dxa"/>
              <w:left w:w="51" w:type="dxa"/>
              <w:bottom w:w="0" w:type="dxa"/>
              <w:right w:w="51" w:type="dxa"/>
            </w:tcMar>
            <w:vAlign w:val="center"/>
          </w:tcPr>
          <w:p>
            <w:pPr>
              <w:pStyle w:val="89"/>
            </w:pPr>
            <w:r>
              <w:t>40</w:t>
            </w:r>
          </w:p>
        </w:tc>
        <w:tc>
          <w:tcPr>
            <w:tcW w:w="970" w:type="dxa"/>
            <w:tcMar>
              <w:top w:w="0" w:type="dxa"/>
              <w:left w:w="51" w:type="dxa"/>
              <w:bottom w:w="0" w:type="dxa"/>
              <w:right w:w="51" w:type="dxa"/>
            </w:tcMar>
            <w:vAlign w:val="center"/>
          </w:tcPr>
          <w:p>
            <w:pPr>
              <w:pStyle w:val="89"/>
            </w:pPr>
            <w:r>
              <w:rPr>
                <w:rFonts w:hint="eastAsia"/>
              </w:rPr>
              <w:t>37.5</w:t>
            </w:r>
          </w:p>
        </w:tc>
        <w:tc>
          <w:tcPr>
            <w:tcW w:w="831" w:type="dxa"/>
            <w:tcMar>
              <w:top w:w="0" w:type="dxa"/>
              <w:left w:w="51" w:type="dxa"/>
              <w:bottom w:w="0" w:type="dxa"/>
              <w:right w:w="51" w:type="dxa"/>
            </w:tcMar>
          </w:tcPr>
          <w:p>
            <w:pPr>
              <w:pStyle w:val="89"/>
            </w:pPr>
            <w:r>
              <w:rPr>
                <w:rFonts w:hint="eastAsia"/>
              </w:rPr>
              <w:t>达标</w:t>
            </w:r>
          </w:p>
        </w:tc>
        <w:tc>
          <w:tcPr>
            <w:tcW w:w="687" w:type="dxa"/>
            <w:tcMar>
              <w:top w:w="0" w:type="dxa"/>
              <w:left w:w="51" w:type="dxa"/>
              <w:bottom w:w="0" w:type="dxa"/>
              <w:right w:w="51" w:type="dxa"/>
            </w:tcMar>
            <w:vAlign w:val="center"/>
          </w:tcPr>
          <w:p>
            <w:pPr>
              <w:pStyle w:val="89"/>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938" w:type="dxa"/>
            <w:vAlign w:val="center"/>
          </w:tcPr>
          <w:p>
            <w:pPr>
              <w:pStyle w:val="89"/>
            </w:pPr>
            <w:r>
              <w:t>CO</w:t>
            </w:r>
          </w:p>
        </w:tc>
        <w:tc>
          <w:tcPr>
            <w:tcW w:w="3047" w:type="dxa"/>
            <w:tcMar>
              <w:top w:w="0" w:type="dxa"/>
              <w:left w:w="51" w:type="dxa"/>
              <w:bottom w:w="0" w:type="dxa"/>
              <w:right w:w="51" w:type="dxa"/>
            </w:tcMar>
            <w:vAlign w:val="center"/>
          </w:tcPr>
          <w:p>
            <w:pPr>
              <w:pStyle w:val="89"/>
            </w:pPr>
            <w:r>
              <w:t>日均值的第95百分位数</w:t>
            </w:r>
          </w:p>
        </w:tc>
        <w:tc>
          <w:tcPr>
            <w:tcW w:w="972" w:type="dxa"/>
            <w:tcMar>
              <w:top w:w="0" w:type="dxa"/>
              <w:left w:w="51" w:type="dxa"/>
              <w:bottom w:w="0" w:type="dxa"/>
              <w:right w:w="51" w:type="dxa"/>
            </w:tcMar>
            <w:vAlign w:val="center"/>
          </w:tcPr>
          <w:p>
            <w:pPr>
              <w:pStyle w:val="89"/>
            </w:pPr>
            <w:r>
              <w:t>0.9mg/m</w:t>
            </w:r>
            <w:r>
              <w:rPr>
                <w:vertAlign w:val="superscript"/>
              </w:rPr>
              <w:t>3</w:t>
            </w:r>
          </w:p>
        </w:tc>
        <w:tc>
          <w:tcPr>
            <w:tcW w:w="831" w:type="dxa"/>
            <w:tcMar>
              <w:top w:w="0" w:type="dxa"/>
              <w:left w:w="51" w:type="dxa"/>
              <w:bottom w:w="0" w:type="dxa"/>
              <w:right w:w="51" w:type="dxa"/>
            </w:tcMar>
            <w:vAlign w:val="center"/>
          </w:tcPr>
          <w:p>
            <w:pPr>
              <w:pStyle w:val="89"/>
            </w:pPr>
            <w:r>
              <w:t>4 mg/m</w:t>
            </w:r>
            <w:r>
              <w:rPr>
                <w:vertAlign w:val="superscript"/>
              </w:rPr>
              <w:t>3</w:t>
            </w:r>
          </w:p>
        </w:tc>
        <w:tc>
          <w:tcPr>
            <w:tcW w:w="970" w:type="dxa"/>
            <w:tcMar>
              <w:top w:w="0" w:type="dxa"/>
              <w:left w:w="51" w:type="dxa"/>
              <w:bottom w:w="0" w:type="dxa"/>
              <w:right w:w="51" w:type="dxa"/>
            </w:tcMar>
            <w:vAlign w:val="center"/>
          </w:tcPr>
          <w:p>
            <w:pPr>
              <w:pStyle w:val="89"/>
            </w:pPr>
            <w:r>
              <w:rPr>
                <w:rFonts w:hint="eastAsia"/>
              </w:rPr>
              <w:t>22.5</w:t>
            </w:r>
          </w:p>
        </w:tc>
        <w:tc>
          <w:tcPr>
            <w:tcW w:w="831" w:type="dxa"/>
            <w:tcMar>
              <w:top w:w="0" w:type="dxa"/>
              <w:left w:w="51" w:type="dxa"/>
              <w:bottom w:w="0" w:type="dxa"/>
              <w:right w:w="51" w:type="dxa"/>
            </w:tcMar>
          </w:tcPr>
          <w:p>
            <w:pPr>
              <w:pStyle w:val="89"/>
            </w:pPr>
            <w:r>
              <w:rPr>
                <w:rFonts w:hint="eastAsia"/>
              </w:rPr>
              <w:t>达标</w:t>
            </w:r>
          </w:p>
        </w:tc>
        <w:tc>
          <w:tcPr>
            <w:tcW w:w="687" w:type="dxa"/>
            <w:tcMar>
              <w:top w:w="0" w:type="dxa"/>
              <w:left w:w="51" w:type="dxa"/>
              <w:bottom w:w="0" w:type="dxa"/>
              <w:right w:w="51" w:type="dxa"/>
            </w:tcMar>
            <w:vAlign w:val="center"/>
          </w:tcPr>
          <w:p>
            <w:pPr>
              <w:pStyle w:val="89"/>
            </w:pPr>
            <w: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938" w:type="dxa"/>
            <w:vAlign w:val="center"/>
          </w:tcPr>
          <w:p>
            <w:pPr>
              <w:pStyle w:val="89"/>
            </w:pPr>
            <w:r>
              <w:t>O</w:t>
            </w:r>
            <w:r>
              <w:rPr>
                <w:vertAlign w:val="subscript"/>
              </w:rPr>
              <w:t>3</w:t>
            </w:r>
          </w:p>
        </w:tc>
        <w:tc>
          <w:tcPr>
            <w:tcW w:w="3047" w:type="dxa"/>
            <w:tcMar>
              <w:top w:w="0" w:type="dxa"/>
              <w:left w:w="51" w:type="dxa"/>
              <w:bottom w:w="0" w:type="dxa"/>
              <w:right w:w="51" w:type="dxa"/>
            </w:tcMar>
            <w:vAlign w:val="center"/>
          </w:tcPr>
          <w:p>
            <w:pPr>
              <w:pStyle w:val="89"/>
            </w:pPr>
            <w:r>
              <w:t>日最大8小时值的第90百分位数</w:t>
            </w:r>
          </w:p>
        </w:tc>
        <w:tc>
          <w:tcPr>
            <w:tcW w:w="972" w:type="dxa"/>
            <w:tcMar>
              <w:top w:w="0" w:type="dxa"/>
              <w:left w:w="51" w:type="dxa"/>
              <w:bottom w:w="0" w:type="dxa"/>
              <w:right w:w="51" w:type="dxa"/>
            </w:tcMar>
            <w:vAlign w:val="center"/>
          </w:tcPr>
          <w:p>
            <w:pPr>
              <w:pStyle w:val="89"/>
            </w:pPr>
            <w:r>
              <w:t>110</w:t>
            </w:r>
          </w:p>
        </w:tc>
        <w:tc>
          <w:tcPr>
            <w:tcW w:w="831" w:type="dxa"/>
            <w:tcMar>
              <w:top w:w="0" w:type="dxa"/>
              <w:left w:w="51" w:type="dxa"/>
              <w:bottom w:w="0" w:type="dxa"/>
              <w:right w:w="51" w:type="dxa"/>
            </w:tcMar>
            <w:vAlign w:val="center"/>
          </w:tcPr>
          <w:p>
            <w:pPr>
              <w:pStyle w:val="89"/>
            </w:pPr>
            <w:r>
              <w:t>160</w:t>
            </w:r>
          </w:p>
        </w:tc>
        <w:tc>
          <w:tcPr>
            <w:tcW w:w="970" w:type="dxa"/>
            <w:tcMar>
              <w:top w:w="0" w:type="dxa"/>
              <w:left w:w="51" w:type="dxa"/>
              <w:bottom w:w="0" w:type="dxa"/>
              <w:right w:w="51" w:type="dxa"/>
            </w:tcMar>
            <w:vAlign w:val="center"/>
          </w:tcPr>
          <w:p>
            <w:pPr>
              <w:pStyle w:val="89"/>
            </w:pPr>
            <w:r>
              <w:rPr>
                <w:rFonts w:hint="eastAsia"/>
              </w:rPr>
              <w:t>68.8</w:t>
            </w:r>
          </w:p>
        </w:tc>
        <w:tc>
          <w:tcPr>
            <w:tcW w:w="831" w:type="dxa"/>
            <w:tcMar>
              <w:top w:w="0" w:type="dxa"/>
              <w:left w:w="51" w:type="dxa"/>
              <w:bottom w:w="0" w:type="dxa"/>
              <w:right w:w="51" w:type="dxa"/>
            </w:tcMar>
          </w:tcPr>
          <w:p>
            <w:pPr>
              <w:pStyle w:val="89"/>
            </w:pPr>
            <w:r>
              <w:rPr>
                <w:rFonts w:hint="eastAsia"/>
              </w:rPr>
              <w:t>达标</w:t>
            </w:r>
          </w:p>
        </w:tc>
        <w:tc>
          <w:tcPr>
            <w:tcW w:w="687" w:type="dxa"/>
            <w:tcMar>
              <w:top w:w="0" w:type="dxa"/>
              <w:left w:w="51" w:type="dxa"/>
              <w:bottom w:w="0" w:type="dxa"/>
              <w:right w:w="51" w:type="dxa"/>
            </w:tcMar>
            <w:vAlign w:val="center"/>
          </w:tcPr>
          <w:p>
            <w:pPr>
              <w:pStyle w:val="89"/>
            </w:pPr>
            <w:r>
              <w:rPr>
                <w:rFonts w:hint="eastAsia"/>
              </w:rPr>
              <w:t>/</w:t>
            </w:r>
          </w:p>
        </w:tc>
      </w:tr>
    </w:tbl>
    <w:p>
      <w:pPr>
        <w:ind w:firstLine="480"/>
      </w:pPr>
      <w:r>
        <w:rPr>
          <w:rFonts w:hint="eastAsia"/>
        </w:rPr>
        <w:t>根据以上</w:t>
      </w:r>
      <w:r>
        <w:t>数据，</w:t>
      </w:r>
      <w:r>
        <w:rPr>
          <w:rFonts w:hint="eastAsia"/>
        </w:rPr>
        <w:t>项目</w:t>
      </w:r>
      <w:r>
        <w:t>所在区域</w:t>
      </w:r>
      <w:r>
        <w:rPr>
          <w:rFonts w:hint="eastAsia"/>
        </w:rPr>
        <w:t>旬阳市</w:t>
      </w:r>
      <w:r>
        <w:t>PM</w:t>
      </w:r>
      <w:r>
        <w:rPr>
          <w:vertAlign w:val="subscript"/>
        </w:rPr>
        <w:t>10</w:t>
      </w:r>
      <w:r>
        <w:rPr>
          <w:rFonts w:hint="eastAsia"/>
        </w:rPr>
        <w:t>、PM</w:t>
      </w:r>
      <w:r>
        <w:rPr>
          <w:vertAlign w:val="subscript"/>
        </w:rPr>
        <w:t>2.5</w:t>
      </w:r>
      <w:r>
        <w:rPr>
          <w:rFonts w:hint="eastAsia"/>
        </w:rPr>
        <w:t>、</w:t>
      </w:r>
      <w:r>
        <w:t>SO</w:t>
      </w:r>
      <w:r>
        <w:rPr>
          <w:vertAlign w:val="subscript"/>
        </w:rPr>
        <w:t>2</w:t>
      </w:r>
      <w:r>
        <w:rPr>
          <w:rFonts w:hint="eastAsia"/>
        </w:rPr>
        <w:t>、</w:t>
      </w:r>
      <w:r>
        <w:t>NO</w:t>
      </w:r>
      <w:r>
        <w:rPr>
          <w:vertAlign w:val="subscript"/>
        </w:rPr>
        <w:t>2</w:t>
      </w:r>
      <w:r>
        <w:rPr>
          <w:rFonts w:hint="eastAsia"/>
        </w:rPr>
        <w:t>年</w:t>
      </w:r>
      <w:r>
        <w:t>平均质量浓度，CO日均浓度值的第</w:t>
      </w:r>
      <w:r>
        <w:rPr>
          <w:rFonts w:hint="eastAsia"/>
        </w:rPr>
        <w:t>95百分位数</w:t>
      </w:r>
      <w:r>
        <w:t>浓度，O</w:t>
      </w:r>
      <w:r>
        <w:rPr>
          <w:vertAlign w:val="subscript"/>
        </w:rPr>
        <w:t>3</w:t>
      </w:r>
      <w:r>
        <w:rPr>
          <w:rFonts w:hint="eastAsia"/>
        </w:rPr>
        <w:t>日最大8小时</w:t>
      </w:r>
      <w:r>
        <w:t>值的第</w:t>
      </w:r>
      <w:r>
        <w:rPr>
          <w:rFonts w:hint="eastAsia"/>
        </w:rPr>
        <w:t>90百分位</w:t>
      </w:r>
      <w:r>
        <w:t>数浓度均满足《环境空气质量标准》（GB3095-2012）中二级标准</w:t>
      </w:r>
      <w:r>
        <w:rPr>
          <w:rFonts w:hint="eastAsia"/>
        </w:rPr>
        <w:t>，</w:t>
      </w:r>
      <w:r>
        <w:t>项目所在区域为</w:t>
      </w:r>
      <w:r>
        <w:rPr>
          <w:rFonts w:hint="eastAsia"/>
        </w:rPr>
        <w:t>达标</w:t>
      </w:r>
      <w:r>
        <w:t>区域。</w:t>
      </w:r>
    </w:p>
    <w:p>
      <w:pPr>
        <w:pStyle w:val="5"/>
      </w:pPr>
      <w:r>
        <w:rPr>
          <w:rFonts w:hint="eastAsia"/>
        </w:rPr>
        <w:t>特征污染物</w:t>
      </w:r>
    </w:p>
    <w:p>
      <w:pPr>
        <w:pStyle w:val="79"/>
        <w:ind w:firstLine="480"/>
        <w:rPr>
          <w:rFonts w:cs="Times New Roman"/>
        </w:rPr>
      </w:pPr>
      <w:r>
        <w:rPr>
          <w:rFonts w:cs="Times New Roman"/>
        </w:rPr>
        <w:t>本次环评委托</w:t>
      </w:r>
      <w:r>
        <w:rPr>
          <w:kern w:val="0"/>
          <w:szCs w:val="24"/>
          <w:lang w:val="zh-CN"/>
        </w:rPr>
        <w:t>陕西华准通检测技术有限公司</w:t>
      </w:r>
      <w:r>
        <w:rPr>
          <w:rFonts w:cs="Times New Roman"/>
        </w:rPr>
        <w:t>对项目所在地</w:t>
      </w:r>
      <w:r>
        <w:rPr>
          <w:rFonts w:hint="eastAsia" w:cs="Times New Roman"/>
        </w:rPr>
        <w:t>特征</w:t>
      </w:r>
      <w:r>
        <w:rPr>
          <w:rFonts w:cs="Times New Roman"/>
        </w:rPr>
        <w:t>污染物进行了监测。</w:t>
      </w:r>
    </w:p>
    <w:p>
      <w:pPr>
        <w:pStyle w:val="79"/>
        <w:ind w:firstLine="480"/>
        <w:rPr>
          <w:rFonts w:cs="Times New Roman"/>
        </w:rPr>
      </w:pPr>
      <w:r>
        <w:rPr>
          <w:rFonts w:cs="Times New Roman"/>
        </w:rPr>
        <w:t>（1）监测点位、项目及时间</w:t>
      </w:r>
    </w:p>
    <w:p>
      <w:pPr>
        <w:pStyle w:val="79"/>
        <w:ind w:firstLine="480"/>
        <w:rPr>
          <w:rFonts w:cs="Times New Roman"/>
        </w:rPr>
      </w:pPr>
      <w:r>
        <w:rPr>
          <w:rFonts w:cs="Times New Roman"/>
        </w:rPr>
        <w:t>根据《环境影响评价技术导则大气环境》（HJ2.2-2018），本次监测</w:t>
      </w:r>
      <w:r>
        <w:rPr>
          <w:rFonts w:hint="eastAsia" w:cs="Times New Roman"/>
        </w:rPr>
        <w:t>特征</w:t>
      </w:r>
      <w:r>
        <w:rPr>
          <w:rFonts w:cs="Times New Roman"/>
        </w:rPr>
        <w:t>污染物监测布点设置2个，项目监测点位见</w:t>
      </w:r>
      <w:r>
        <w:rPr>
          <w:rFonts w:hint="eastAsia" w:cs="Times New Roman"/>
        </w:rPr>
        <w:t>表4.2-2，</w:t>
      </w:r>
      <w:r>
        <w:rPr>
          <w:rFonts w:cs="Times New Roman"/>
        </w:rPr>
        <w:t>监测点位图见图4.2-1。</w:t>
      </w:r>
    </w:p>
    <w:p>
      <w:pPr>
        <w:pStyle w:val="85"/>
        <w:rPr>
          <w:rFonts w:hAnsi="Times New Roman"/>
        </w:rPr>
      </w:pPr>
      <w:bookmarkStart w:id="112" w:name="_Ref26373971"/>
    </w:p>
    <w:p>
      <w:pPr>
        <w:pStyle w:val="85"/>
        <w:rPr>
          <w:rFonts w:hAnsi="Times New Roman"/>
        </w:rPr>
      </w:pPr>
    </w:p>
    <w:p>
      <w:pPr>
        <w:pStyle w:val="85"/>
        <w:rPr>
          <w:rFonts w:hAnsi="Times New Roman"/>
        </w:rPr>
      </w:pPr>
    </w:p>
    <w:p>
      <w:pPr>
        <w:pStyle w:val="85"/>
        <w:rPr>
          <w:rFonts w:hAnsi="Times New Roman"/>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2</w:t>
      </w:r>
      <w:r>
        <w:rPr>
          <w:rFonts w:hAnsi="Times New Roman"/>
        </w:rPr>
        <w:fldChar w:fldCharType="end"/>
      </w:r>
      <w:bookmarkEnd w:id="112"/>
      <w:r>
        <w:rPr>
          <w:rFonts w:hAnsi="Times New Roman"/>
          <w:snapToGrid w:val="0"/>
        </w:rPr>
        <w:t>环境空气</w:t>
      </w:r>
      <w:r>
        <w:rPr>
          <w:rFonts w:hint="eastAsia" w:hAnsi="Times New Roman"/>
          <w:snapToGrid w:val="0"/>
        </w:rPr>
        <w:t>特征</w:t>
      </w:r>
      <w:r>
        <w:rPr>
          <w:rFonts w:hAnsi="Times New Roman"/>
          <w:snapToGrid w:val="0"/>
        </w:rPr>
        <w:t>污染物监测点位置及监测项目</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53"/>
        <w:gridCol w:w="2551"/>
        <w:gridCol w:w="1175"/>
        <w:gridCol w:w="2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2" w:type="dxa"/>
            <w:shd w:val="clear" w:color="auto" w:fill="auto"/>
            <w:vAlign w:val="center"/>
          </w:tcPr>
          <w:p>
            <w:pPr>
              <w:pStyle w:val="89"/>
            </w:pPr>
            <w:r>
              <w:t>编号</w:t>
            </w:r>
          </w:p>
        </w:tc>
        <w:tc>
          <w:tcPr>
            <w:tcW w:w="1553" w:type="dxa"/>
            <w:shd w:val="clear" w:color="auto" w:fill="auto"/>
            <w:vAlign w:val="center"/>
          </w:tcPr>
          <w:p>
            <w:pPr>
              <w:pStyle w:val="89"/>
            </w:pPr>
            <w:r>
              <w:t>监测点位置</w:t>
            </w:r>
          </w:p>
        </w:tc>
        <w:tc>
          <w:tcPr>
            <w:tcW w:w="2551" w:type="dxa"/>
            <w:vAlign w:val="center"/>
          </w:tcPr>
          <w:p>
            <w:pPr>
              <w:pStyle w:val="89"/>
            </w:pPr>
            <w:r>
              <w:t>坐标</w:t>
            </w:r>
          </w:p>
        </w:tc>
        <w:tc>
          <w:tcPr>
            <w:tcW w:w="1175" w:type="dxa"/>
            <w:shd w:val="clear" w:color="auto" w:fill="auto"/>
            <w:vAlign w:val="center"/>
          </w:tcPr>
          <w:p>
            <w:pPr>
              <w:pStyle w:val="89"/>
            </w:pPr>
            <w:r>
              <w:t>监测项目</w:t>
            </w:r>
          </w:p>
        </w:tc>
        <w:tc>
          <w:tcPr>
            <w:tcW w:w="2315" w:type="dxa"/>
            <w:shd w:val="clear" w:color="auto" w:fill="auto"/>
            <w:vAlign w:val="center"/>
          </w:tcPr>
          <w:p>
            <w:pPr>
              <w:pStyle w:val="89"/>
            </w:pPr>
            <w:r>
              <w:t>采样时间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682" w:type="dxa"/>
            <w:shd w:val="clear" w:color="auto" w:fill="auto"/>
            <w:vAlign w:val="center"/>
          </w:tcPr>
          <w:p>
            <w:pPr>
              <w:pStyle w:val="89"/>
            </w:pPr>
            <w:r>
              <w:rPr>
                <w:rFonts w:hint="eastAsia"/>
              </w:rPr>
              <w:t>1</w:t>
            </w:r>
            <w:r>
              <w:t>#</w:t>
            </w:r>
          </w:p>
        </w:tc>
        <w:tc>
          <w:tcPr>
            <w:tcW w:w="1553" w:type="dxa"/>
            <w:shd w:val="clear" w:color="auto" w:fill="auto"/>
            <w:vAlign w:val="center"/>
          </w:tcPr>
          <w:p>
            <w:pPr>
              <w:pStyle w:val="89"/>
            </w:pPr>
            <w:r>
              <w:rPr>
                <w:szCs w:val="24"/>
                <w:lang w:val="zh-CN"/>
              </w:rPr>
              <w:t>潘家坡</w:t>
            </w:r>
          </w:p>
        </w:tc>
        <w:tc>
          <w:tcPr>
            <w:tcW w:w="2551" w:type="dxa"/>
            <w:vAlign w:val="center"/>
          </w:tcPr>
          <w:p>
            <w:pPr>
              <w:pStyle w:val="89"/>
            </w:pPr>
            <w:r>
              <w:t>32°56'15.324"</w:t>
            </w:r>
          </w:p>
          <w:p>
            <w:pPr>
              <w:pStyle w:val="89"/>
              <w:rPr>
                <w:highlight w:val="yellow"/>
              </w:rPr>
            </w:pPr>
            <w:r>
              <w:t>109°37'8.472"</w:t>
            </w:r>
          </w:p>
        </w:tc>
        <w:tc>
          <w:tcPr>
            <w:tcW w:w="1175" w:type="dxa"/>
            <w:vMerge w:val="restart"/>
            <w:shd w:val="clear" w:color="auto" w:fill="auto"/>
            <w:vAlign w:val="center"/>
          </w:tcPr>
          <w:p>
            <w:pPr>
              <w:pStyle w:val="89"/>
            </w:pPr>
            <w:r>
              <w:t>NH</w:t>
            </w:r>
            <w:r>
              <w:rPr>
                <w:vertAlign w:val="subscript"/>
              </w:rPr>
              <w:t>3</w:t>
            </w:r>
            <w:r>
              <w:t>、H</w:t>
            </w:r>
            <w:r>
              <w:rPr>
                <w:vertAlign w:val="subscript"/>
              </w:rPr>
              <w:t>2</w:t>
            </w:r>
            <w:r>
              <w:t>S</w:t>
            </w:r>
          </w:p>
        </w:tc>
        <w:tc>
          <w:tcPr>
            <w:tcW w:w="2315" w:type="dxa"/>
            <w:vMerge w:val="restart"/>
            <w:shd w:val="clear" w:color="auto" w:fill="auto"/>
            <w:vAlign w:val="center"/>
          </w:tcPr>
          <w:p>
            <w:pPr>
              <w:pStyle w:val="89"/>
            </w:pPr>
            <w:r>
              <w:t>2020.</w:t>
            </w:r>
            <w:r>
              <w:rPr>
                <w:rFonts w:hint="eastAsia"/>
              </w:rPr>
              <w:t>11</w:t>
            </w:r>
            <w:r>
              <w:t>.</w:t>
            </w:r>
            <w:r>
              <w:rPr>
                <w:rFonts w:hint="eastAsia"/>
              </w:rPr>
              <w:t>11</w:t>
            </w:r>
            <w:r>
              <w:t>-2020.</w:t>
            </w:r>
            <w:r>
              <w:rPr>
                <w:rFonts w:hint="eastAsia"/>
              </w:rPr>
              <w:t>11</w:t>
            </w:r>
            <w:r>
              <w:t>.</w:t>
            </w:r>
            <w:r>
              <w:rPr>
                <w:rFonts w:hint="eastAsia"/>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2" w:type="dxa"/>
            <w:shd w:val="clear" w:color="auto" w:fill="auto"/>
            <w:vAlign w:val="center"/>
          </w:tcPr>
          <w:p>
            <w:pPr>
              <w:pStyle w:val="89"/>
            </w:pPr>
            <w:r>
              <w:rPr>
                <w:rFonts w:hint="eastAsia"/>
              </w:rPr>
              <w:t>2</w:t>
            </w:r>
            <w:r>
              <w:t>#</w:t>
            </w:r>
          </w:p>
        </w:tc>
        <w:tc>
          <w:tcPr>
            <w:tcW w:w="1553" w:type="dxa"/>
            <w:shd w:val="clear" w:color="auto" w:fill="auto"/>
            <w:vAlign w:val="center"/>
          </w:tcPr>
          <w:p>
            <w:pPr>
              <w:pStyle w:val="89"/>
            </w:pPr>
            <w:r>
              <w:rPr>
                <w:rFonts w:hint="eastAsia"/>
                <w:szCs w:val="24"/>
                <w:lang w:val="zh-CN"/>
              </w:rPr>
              <w:t>田</w:t>
            </w:r>
            <w:r>
              <w:rPr>
                <w:szCs w:val="24"/>
                <w:lang w:val="zh-CN"/>
              </w:rPr>
              <w:t>家前岭</w:t>
            </w:r>
          </w:p>
        </w:tc>
        <w:tc>
          <w:tcPr>
            <w:tcW w:w="2551" w:type="dxa"/>
            <w:vAlign w:val="center"/>
          </w:tcPr>
          <w:p>
            <w:pPr>
              <w:pStyle w:val="89"/>
            </w:pPr>
            <w:r>
              <w:t>32°55'40.0800"</w:t>
            </w:r>
          </w:p>
          <w:p>
            <w:pPr>
              <w:pStyle w:val="89"/>
              <w:rPr>
                <w:highlight w:val="yellow"/>
              </w:rPr>
            </w:pPr>
            <w:r>
              <w:t>109°37'42.168"</w:t>
            </w:r>
          </w:p>
        </w:tc>
        <w:tc>
          <w:tcPr>
            <w:tcW w:w="1175" w:type="dxa"/>
            <w:vMerge w:val="continue"/>
            <w:shd w:val="clear" w:color="auto" w:fill="auto"/>
            <w:vAlign w:val="center"/>
          </w:tcPr>
          <w:p>
            <w:pPr>
              <w:pStyle w:val="89"/>
            </w:pPr>
          </w:p>
        </w:tc>
        <w:tc>
          <w:tcPr>
            <w:tcW w:w="2315" w:type="dxa"/>
            <w:vMerge w:val="continue"/>
            <w:shd w:val="clear" w:color="auto" w:fill="auto"/>
            <w:vAlign w:val="center"/>
          </w:tcPr>
          <w:p>
            <w:pPr>
              <w:pStyle w:val="89"/>
            </w:pPr>
          </w:p>
        </w:tc>
      </w:tr>
    </w:tbl>
    <w:p>
      <w:pPr>
        <w:pStyle w:val="79"/>
        <w:ind w:firstLine="480"/>
        <w:rPr>
          <w:rFonts w:cs="Times New Roman"/>
        </w:rPr>
      </w:pPr>
      <w:r>
        <w:rPr>
          <w:rFonts w:cs="Times New Roman"/>
        </w:rPr>
        <w:t>（2）监测频次</w:t>
      </w:r>
    </w:p>
    <w:p>
      <w:pPr>
        <w:pStyle w:val="79"/>
        <w:ind w:firstLine="480"/>
        <w:rPr>
          <w:rFonts w:cs="Times New Roman"/>
        </w:rPr>
      </w:pPr>
      <w:r>
        <w:rPr>
          <w:rFonts w:cs="Times New Roman"/>
        </w:rPr>
        <w:t>连续监测7天，每天4次，每次至少有45min的采样时间。</w:t>
      </w:r>
    </w:p>
    <w:p>
      <w:pPr>
        <w:pStyle w:val="79"/>
        <w:ind w:firstLine="480"/>
        <w:rPr>
          <w:rFonts w:cs="Times New Roman"/>
        </w:rPr>
      </w:pPr>
      <w:r>
        <w:rPr>
          <w:rFonts w:cs="Times New Roman"/>
        </w:rPr>
        <w:t>（3）监测及分析方法</w:t>
      </w:r>
    </w:p>
    <w:p>
      <w:pPr>
        <w:pStyle w:val="79"/>
        <w:ind w:firstLine="480"/>
        <w:rPr>
          <w:rFonts w:cs="Times New Roman"/>
        </w:rPr>
      </w:pPr>
      <w:r>
        <w:rPr>
          <w:rFonts w:cs="Times New Roman"/>
        </w:rPr>
        <w:t>按《环境监测技术规范》（大气部分）及《空气和废气监测分析方法》的有关规定和要求执行。具体检测方法见</w:t>
      </w:r>
      <w:r>
        <w:fldChar w:fldCharType="begin"/>
      </w:r>
      <w:r>
        <w:instrText xml:space="preserve"> REF _Ref26374478 \h  \* MERGEFORMAT </w:instrText>
      </w:r>
      <w:r>
        <w:fldChar w:fldCharType="separate"/>
      </w:r>
      <w:r>
        <w:rPr>
          <w:rFonts w:cs="Times New Roman"/>
        </w:rPr>
        <w:t>表4.2</w:t>
      </w:r>
      <w:r>
        <w:rPr>
          <w:rFonts w:cs="Times New Roman"/>
        </w:rPr>
        <w:noBreakHyphen/>
      </w:r>
      <w:r>
        <w:rPr>
          <w:rFonts w:cs="Times New Roman"/>
        </w:rPr>
        <w:t>3</w:t>
      </w:r>
      <w:r>
        <w:fldChar w:fldCharType="end"/>
      </w:r>
      <w:r>
        <w:rPr>
          <w:rFonts w:cs="Times New Roman"/>
        </w:rPr>
        <w:t>。</w:t>
      </w:r>
    </w:p>
    <w:p>
      <w:pPr>
        <w:pStyle w:val="85"/>
        <w:rPr>
          <w:rFonts w:hAnsi="Times New Roman"/>
        </w:rPr>
      </w:pPr>
      <w:bookmarkStart w:id="113" w:name="_Ref26374478"/>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3</w:t>
      </w:r>
      <w:r>
        <w:rPr>
          <w:rFonts w:hAnsi="Times New Roman"/>
        </w:rPr>
        <w:fldChar w:fldCharType="end"/>
      </w:r>
      <w:bookmarkEnd w:id="113"/>
      <w:r>
        <w:rPr>
          <w:rFonts w:hAnsi="Times New Roman"/>
        </w:rPr>
        <w:t>环境空气监测分析方法及来源</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3108"/>
        <w:gridCol w:w="1231"/>
        <w:gridCol w:w="2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108" w:type="dxa"/>
            <w:vAlign w:val="center"/>
          </w:tcPr>
          <w:p>
            <w:pPr>
              <w:pStyle w:val="89"/>
            </w:pPr>
            <w:r>
              <w:t>监测项目</w:t>
            </w:r>
          </w:p>
        </w:tc>
        <w:tc>
          <w:tcPr>
            <w:tcW w:w="3108" w:type="dxa"/>
            <w:vAlign w:val="center"/>
          </w:tcPr>
          <w:p>
            <w:pPr>
              <w:pStyle w:val="89"/>
            </w:pPr>
            <w:r>
              <w:t>检测方法</w:t>
            </w:r>
          </w:p>
        </w:tc>
        <w:tc>
          <w:tcPr>
            <w:tcW w:w="1231" w:type="dxa"/>
            <w:vAlign w:val="center"/>
          </w:tcPr>
          <w:p>
            <w:pPr>
              <w:pStyle w:val="89"/>
            </w:pPr>
            <w:r>
              <w:t>检出限（mg/m</w:t>
            </w:r>
            <w:r>
              <w:rPr>
                <w:vertAlign w:val="superscript"/>
              </w:rPr>
              <w:t>3</w:t>
            </w:r>
            <w:r>
              <w:t>）</w:t>
            </w:r>
          </w:p>
        </w:tc>
        <w:tc>
          <w:tcPr>
            <w:tcW w:w="2829" w:type="dxa"/>
            <w:vAlign w:val="center"/>
          </w:tcPr>
          <w:p>
            <w:pPr>
              <w:pStyle w:val="89"/>
            </w:pPr>
            <w:r>
              <w:t>监测仪器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8" w:type="dxa"/>
            <w:vAlign w:val="center"/>
          </w:tcPr>
          <w:p>
            <w:pPr>
              <w:pStyle w:val="89"/>
            </w:pPr>
            <w:r>
              <w:t>NH</w:t>
            </w:r>
            <w:r>
              <w:rPr>
                <w:vertAlign w:val="subscript"/>
              </w:rPr>
              <w:t>3</w:t>
            </w:r>
          </w:p>
        </w:tc>
        <w:tc>
          <w:tcPr>
            <w:tcW w:w="3108" w:type="dxa"/>
            <w:vAlign w:val="center"/>
          </w:tcPr>
          <w:p>
            <w:pPr>
              <w:autoSpaceDE w:val="0"/>
              <w:autoSpaceDN w:val="0"/>
              <w:snapToGrid/>
              <w:spacing w:line="240" w:lineRule="auto"/>
              <w:ind w:firstLine="0" w:firstLineChars="0"/>
              <w:jc w:val="center"/>
              <w:rPr>
                <w:kern w:val="0"/>
                <w:sz w:val="21"/>
                <w:szCs w:val="21"/>
              </w:rPr>
            </w:pPr>
            <w:r>
              <w:rPr>
                <w:kern w:val="0"/>
                <w:sz w:val="21"/>
                <w:szCs w:val="21"/>
              </w:rPr>
              <w:t>《环境空气和废气氨的测定纳氏试剂分光光度法》</w:t>
            </w:r>
          </w:p>
          <w:p>
            <w:pPr>
              <w:autoSpaceDE w:val="0"/>
              <w:autoSpaceDN w:val="0"/>
              <w:snapToGrid/>
              <w:spacing w:line="240" w:lineRule="auto"/>
              <w:ind w:firstLine="0" w:firstLineChars="0"/>
              <w:jc w:val="center"/>
              <w:rPr>
                <w:rFonts w:ascii="宋体" w:hAnsi="Calibri" w:cs="宋体"/>
                <w:kern w:val="0"/>
                <w:sz w:val="21"/>
                <w:szCs w:val="21"/>
              </w:rPr>
            </w:pPr>
            <w:r>
              <w:rPr>
                <w:kern w:val="0"/>
                <w:sz w:val="21"/>
                <w:szCs w:val="21"/>
              </w:rPr>
              <w:t>HJ533-2009</w:t>
            </w:r>
          </w:p>
        </w:tc>
        <w:tc>
          <w:tcPr>
            <w:tcW w:w="1231" w:type="dxa"/>
            <w:vAlign w:val="center"/>
          </w:tcPr>
          <w:p>
            <w:pPr>
              <w:pStyle w:val="89"/>
            </w:pPr>
            <w:r>
              <w:t>0.01</w:t>
            </w:r>
          </w:p>
        </w:tc>
        <w:tc>
          <w:tcPr>
            <w:tcW w:w="2829" w:type="dxa"/>
            <w:vAlign w:val="center"/>
          </w:tcPr>
          <w:p>
            <w:pPr>
              <w:pStyle w:val="89"/>
            </w:pPr>
            <w:r>
              <w:rPr>
                <w:rFonts w:hint="eastAsia"/>
              </w:rPr>
              <w:t>原子吸收分光光度计</w:t>
            </w:r>
            <w:r>
              <w:t>TAS-990AFG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08" w:type="dxa"/>
            <w:vAlign w:val="center"/>
          </w:tcPr>
          <w:p>
            <w:pPr>
              <w:pStyle w:val="89"/>
            </w:pPr>
            <w:r>
              <w:t>H</w:t>
            </w:r>
            <w:r>
              <w:rPr>
                <w:vertAlign w:val="subscript"/>
              </w:rPr>
              <w:t>2</w:t>
            </w:r>
            <w:r>
              <w:t>S</w:t>
            </w:r>
          </w:p>
        </w:tc>
        <w:tc>
          <w:tcPr>
            <w:tcW w:w="3108" w:type="dxa"/>
            <w:vAlign w:val="center"/>
          </w:tcPr>
          <w:p>
            <w:pPr>
              <w:pStyle w:val="89"/>
              <w:jc w:val="both"/>
            </w:pPr>
            <w:r>
              <w:rPr>
                <w:szCs w:val="24"/>
                <w:lang w:val="zh-CN"/>
              </w:rPr>
              <w:t>亚甲基蓝分光光度法《空气和废气监测分析方法》（第四版）国家环境保护总局（2003年）</w:t>
            </w:r>
          </w:p>
        </w:tc>
        <w:tc>
          <w:tcPr>
            <w:tcW w:w="1231" w:type="dxa"/>
            <w:vAlign w:val="center"/>
          </w:tcPr>
          <w:p>
            <w:pPr>
              <w:pStyle w:val="89"/>
            </w:pPr>
            <w:r>
              <w:rPr>
                <w:rFonts w:hint="eastAsia"/>
              </w:rPr>
              <w:t>0.001</w:t>
            </w:r>
          </w:p>
        </w:tc>
        <w:tc>
          <w:tcPr>
            <w:tcW w:w="2829" w:type="dxa"/>
            <w:vAlign w:val="center"/>
          </w:tcPr>
          <w:p>
            <w:pPr>
              <w:pStyle w:val="89"/>
            </w:pPr>
            <w:r>
              <w:rPr>
                <w:rFonts w:hint="eastAsia"/>
              </w:rPr>
              <w:t>原子吸收分光光度计</w:t>
            </w:r>
            <w:r>
              <w:t>TAS-990AFG</w:t>
            </w:r>
          </w:p>
        </w:tc>
      </w:tr>
    </w:tbl>
    <w:p>
      <w:pPr>
        <w:pStyle w:val="79"/>
        <w:ind w:firstLine="480"/>
        <w:rPr>
          <w:rFonts w:cs="Times New Roman"/>
        </w:rPr>
      </w:pPr>
      <w:r>
        <w:rPr>
          <w:rFonts w:cs="Times New Roman"/>
        </w:rPr>
        <w:t>（4）评价方法</w:t>
      </w:r>
    </w:p>
    <w:p>
      <w:pPr>
        <w:pStyle w:val="79"/>
        <w:ind w:firstLine="480"/>
        <w:rPr>
          <w:rFonts w:cs="Times New Roman"/>
          <w:bCs/>
        </w:rPr>
      </w:pPr>
      <w:r>
        <w:rPr>
          <w:rFonts w:cs="Times New Roman"/>
          <w:bCs/>
        </w:rPr>
        <w:t>采用单因子指数法对评价区各污染物进行评价，公式如下：</w:t>
      </w:r>
    </w:p>
    <w:p>
      <w:pPr>
        <w:pStyle w:val="79"/>
        <w:ind w:firstLine="480"/>
        <w:jc w:val="center"/>
        <w:rPr>
          <w:rFonts w:cs="Times New Roman"/>
          <w:bCs/>
        </w:rPr>
      </w:pPr>
      <w:r>
        <w:rPr>
          <w:rFonts w:cs="Times New Roman"/>
          <w:bCs/>
        </w:rPr>
        <w:t>P</w:t>
      </w:r>
      <w:r>
        <w:rPr>
          <w:rFonts w:cs="Times New Roman"/>
          <w:bCs/>
          <w:vertAlign w:val="subscript"/>
        </w:rPr>
        <w:t>i</w:t>
      </w:r>
      <w:r>
        <w:rPr>
          <w:rFonts w:cs="Times New Roman"/>
          <w:bCs/>
        </w:rPr>
        <w:t>=C</w:t>
      </w:r>
      <w:r>
        <w:rPr>
          <w:rFonts w:cs="Times New Roman"/>
          <w:bCs/>
          <w:vertAlign w:val="subscript"/>
        </w:rPr>
        <w:t>i</w:t>
      </w:r>
      <w:r>
        <w:rPr>
          <w:rFonts w:cs="Times New Roman"/>
          <w:bCs/>
        </w:rPr>
        <w:t>/S</w:t>
      </w:r>
      <w:r>
        <w:rPr>
          <w:rFonts w:cs="Times New Roman"/>
          <w:bCs/>
          <w:vertAlign w:val="subscript"/>
        </w:rPr>
        <w:t>i</w:t>
      </w:r>
    </w:p>
    <w:p>
      <w:pPr>
        <w:pStyle w:val="79"/>
        <w:ind w:firstLine="480"/>
        <w:rPr>
          <w:rFonts w:cs="Times New Roman"/>
          <w:bCs/>
        </w:rPr>
      </w:pPr>
      <w:r>
        <w:rPr>
          <w:rFonts w:cs="Times New Roman"/>
          <w:bCs/>
        </w:rPr>
        <w:t>式中：</w:t>
      </w:r>
    </w:p>
    <w:p>
      <w:pPr>
        <w:pStyle w:val="79"/>
        <w:ind w:firstLine="480"/>
        <w:rPr>
          <w:rFonts w:cs="Times New Roman"/>
          <w:bCs/>
        </w:rPr>
      </w:pPr>
      <w:r>
        <w:rPr>
          <w:rFonts w:cs="Times New Roman"/>
          <w:bCs/>
        </w:rPr>
        <w:t>P</w:t>
      </w:r>
      <w:r>
        <w:rPr>
          <w:rFonts w:cs="Times New Roman"/>
          <w:bCs/>
          <w:vertAlign w:val="subscript"/>
        </w:rPr>
        <w:t>i</w:t>
      </w:r>
      <w:r>
        <w:rPr>
          <w:rFonts w:cs="Times New Roman"/>
          <w:bCs/>
        </w:rPr>
        <w:t>——污染物i的单项质量指数；</w:t>
      </w:r>
    </w:p>
    <w:p>
      <w:pPr>
        <w:pStyle w:val="79"/>
        <w:ind w:firstLine="480"/>
        <w:rPr>
          <w:rFonts w:cs="Times New Roman"/>
          <w:bCs/>
        </w:rPr>
      </w:pPr>
      <w:r>
        <w:rPr>
          <w:rFonts w:cs="Times New Roman"/>
          <w:bCs/>
        </w:rPr>
        <w:t>C</w:t>
      </w:r>
      <w:r>
        <w:rPr>
          <w:rFonts w:cs="Times New Roman"/>
          <w:bCs/>
          <w:vertAlign w:val="subscript"/>
        </w:rPr>
        <w:t>i</w:t>
      </w:r>
      <w:r>
        <w:rPr>
          <w:rFonts w:cs="Times New Roman"/>
          <w:bCs/>
        </w:rPr>
        <w:t>——污染物i的实测浓度平均值，mg/m</w:t>
      </w:r>
      <w:r>
        <w:rPr>
          <w:rFonts w:cs="Times New Roman"/>
          <w:bCs/>
          <w:vertAlign w:val="superscript"/>
        </w:rPr>
        <w:t>3</w:t>
      </w:r>
      <w:r>
        <w:rPr>
          <w:rFonts w:cs="Times New Roman"/>
          <w:bCs/>
        </w:rPr>
        <w:t>；</w:t>
      </w:r>
    </w:p>
    <w:p>
      <w:pPr>
        <w:pStyle w:val="79"/>
        <w:ind w:firstLine="480"/>
        <w:rPr>
          <w:rFonts w:cs="Times New Roman"/>
          <w:bCs/>
        </w:rPr>
      </w:pPr>
      <w:r>
        <w:rPr>
          <w:rFonts w:cs="Times New Roman"/>
          <w:bCs/>
        </w:rPr>
        <w:t>S</w:t>
      </w:r>
      <w:r>
        <w:rPr>
          <w:rFonts w:cs="Times New Roman"/>
          <w:bCs/>
          <w:vertAlign w:val="subscript"/>
        </w:rPr>
        <w:t>i</w:t>
      </w:r>
      <w:r>
        <w:rPr>
          <w:rFonts w:cs="Times New Roman"/>
          <w:bCs/>
        </w:rPr>
        <w:t>——污染物i的浓度标准值，mg/m</w:t>
      </w:r>
      <w:r>
        <w:rPr>
          <w:rFonts w:cs="Times New Roman"/>
          <w:bCs/>
          <w:vertAlign w:val="superscript"/>
        </w:rPr>
        <w:t>3</w:t>
      </w:r>
      <w:r>
        <w:rPr>
          <w:rFonts w:cs="Times New Roman"/>
          <w:bCs/>
        </w:rPr>
        <w:t>。</w:t>
      </w:r>
    </w:p>
    <w:p>
      <w:pPr>
        <w:pStyle w:val="79"/>
        <w:ind w:firstLine="480"/>
        <w:rPr>
          <w:rFonts w:cs="Times New Roman"/>
        </w:rPr>
      </w:pPr>
      <w:r>
        <w:rPr>
          <w:rFonts w:cs="Times New Roman"/>
        </w:rPr>
        <w:t>（5）监测结果及评价结果</w:t>
      </w:r>
    </w:p>
    <w:p>
      <w:pPr>
        <w:pStyle w:val="79"/>
        <w:ind w:firstLine="480"/>
        <w:rPr>
          <w:rFonts w:cs="Times New Roman"/>
        </w:rPr>
      </w:pPr>
      <w:r>
        <w:rPr>
          <w:rFonts w:cs="Times New Roman"/>
        </w:rPr>
        <w:t>监测结果见</w:t>
      </w:r>
      <w:r>
        <w:rPr>
          <w:rFonts w:hint="eastAsia" w:cs="Times New Roman"/>
        </w:rPr>
        <w:t>表4.2-4。</w:t>
      </w:r>
    </w:p>
    <w:p>
      <w:pPr>
        <w:pStyle w:val="85"/>
        <w:rPr>
          <w:rFonts w:hAnsi="Times New Roman"/>
        </w:rPr>
      </w:pPr>
      <w:bookmarkStart w:id="114" w:name="_Ref26430909"/>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4</w:t>
      </w:r>
      <w:r>
        <w:rPr>
          <w:rFonts w:hAnsi="Times New Roman"/>
        </w:rPr>
        <w:fldChar w:fldCharType="end"/>
      </w:r>
      <w:bookmarkEnd w:id="114"/>
      <w:r>
        <w:rPr>
          <w:rFonts w:hAnsi="Times New Roman"/>
        </w:rPr>
        <w:t>项目</w:t>
      </w:r>
      <w:r>
        <w:rPr>
          <w:rFonts w:hint="eastAsia" w:hAnsi="Times New Roman"/>
        </w:rPr>
        <w:t>特征</w:t>
      </w:r>
      <w:r>
        <w:rPr>
          <w:rFonts w:hAnsi="Times New Roman"/>
        </w:rPr>
        <w:t>污染物监测结果统计表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159"/>
        <w:gridCol w:w="1288"/>
        <w:gridCol w:w="902"/>
        <w:gridCol w:w="1157"/>
        <w:gridCol w:w="1415"/>
        <w:gridCol w:w="13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24" w:type="dxa"/>
            <w:vAlign w:val="center"/>
          </w:tcPr>
          <w:p>
            <w:pPr>
              <w:pStyle w:val="89"/>
            </w:pPr>
            <w:r>
              <w:t>监测点位</w:t>
            </w:r>
          </w:p>
        </w:tc>
        <w:tc>
          <w:tcPr>
            <w:tcW w:w="1159" w:type="dxa"/>
            <w:vAlign w:val="center"/>
          </w:tcPr>
          <w:p>
            <w:pPr>
              <w:pStyle w:val="89"/>
            </w:pPr>
            <w:r>
              <w:t>监测项目</w:t>
            </w:r>
          </w:p>
        </w:tc>
        <w:tc>
          <w:tcPr>
            <w:tcW w:w="1288" w:type="dxa"/>
            <w:vAlign w:val="center"/>
          </w:tcPr>
          <w:p>
            <w:pPr>
              <w:pStyle w:val="89"/>
            </w:pPr>
            <w:r>
              <w:t>浓度范围</w:t>
            </w:r>
          </w:p>
          <w:p>
            <w:pPr>
              <w:pStyle w:val="89"/>
            </w:pPr>
            <w:r>
              <w:t>（μg/m</w:t>
            </w:r>
            <w:r>
              <w:rPr>
                <w:vertAlign w:val="superscript"/>
              </w:rPr>
              <w:t>3</w:t>
            </w:r>
            <w:r>
              <w:t>）</w:t>
            </w:r>
          </w:p>
        </w:tc>
        <w:tc>
          <w:tcPr>
            <w:tcW w:w="902" w:type="dxa"/>
            <w:vAlign w:val="center"/>
          </w:tcPr>
          <w:p>
            <w:pPr>
              <w:pStyle w:val="89"/>
            </w:pPr>
            <w:r>
              <w:t>超标率（%）</w:t>
            </w:r>
          </w:p>
        </w:tc>
        <w:tc>
          <w:tcPr>
            <w:tcW w:w="1157" w:type="dxa"/>
            <w:vAlign w:val="center"/>
          </w:tcPr>
          <w:p>
            <w:pPr>
              <w:pStyle w:val="89"/>
            </w:pPr>
            <w:r>
              <w:t>最大</w:t>
            </w:r>
          </w:p>
          <w:p>
            <w:pPr>
              <w:pStyle w:val="89"/>
            </w:pPr>
            <w:r>
              <w:t>超标倍数</w:t>
            </w:r>
          </w:p>
        </w:tc>
        <w:tc>
          <w:tcPr>
            <w:tcW w:w="1415" w:type="dxa"/>
            <w:vAlign w:val="center"/>
          </w:tcPr>
          <w:p>
            <w:pPr>
              <w:pStyle w:val="89"/>
            </w:pPr>
            <w:r>
              <w:t>标准指数</w:t>
            </w:r>
          </w:p>
          <w:p>
            <w:pPr>
              <w:pStyle w:val="89"/>
            </w:pPr>
            <w:r>
              <w:t>Pi</w:t>
            </w:r>
          </w:p>
        </w:tc>
        <w:tc>
          <w:tcPr>
            <w:tcW w:w="1331" w:type="dxa"/>
            <w:vAlign w:val="center"/>
          </w:tcPr>
          <w:p>
            <w:pPr>
              <w:pStyle w:val="89"/>
            </w:pPr>
            <w:r>
              <w:t>评价标准（μg/m</w:t>
            </w:r>
            <w:r>
              <w:rPr>
                <w:vertAlign w:val="superscript"/>
              </w:rPr>
              <w:t>3</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Merge w:val="restart"/>
            <w:vAlign w:val="center"/>
          </w:tcPr>
          <w:p>
            <w:pPr>
              <w:pStyle w:val="89"/>
            </w:pPr>
            <w:r>
              <w:rPr>
                <w:szCs w:val="24"/>
                <w:lang w:val="zh-CN"/>
              </w:rPr>
              <w:t>潘家坡</w:t>
            </w:r>
          </w:p>
        </w:tc>
        <w:tc>
          <w:tcPr>
            <w:tcW w:w="1159" w:type="dxa"/>
            <w:vAlign w:val="center"/>
          </w:tcPr>
          <w:p>
            <w:pPr>
              <w:pStyle w:val="89"/>
            </w:pPr>
            <w:r>
              <w:rPr>
                <w:rFonts w:hint="eastAsia"/>
              </w:rPr>
              <w:t>NH</w:t>
            </w:r>
            <w:r>
              <w:rPr>
                <w:rFonts w:hint="eastAsia"/>
                <w:vertAlign w:val="subscript"/>
              </w:rPr>
              <w:t>3</w:t>
            </w:r>
          </w:p>
        </w:tc>
        <w:tc>
          <w:tcPr>
            <w:tcW w:w="1288" w:type="dxa"/>
            <w:vAlign w:val="center"/>
          </w:tcPr>
          <w:p>
            <w:pPr>
              <w:pStyle w:val="89"/>
            </w:pPr>
            <w:r>
              <w:rPr>
                <w:rFonts w:hint="eastAsia"/>
              </w:rPr>
              <w:t>60~90</w:t>
            </w:r>
          </w:p>
        </w:tc>
        <w:tc>
          <w:tcPr>
            <w:tcW w:w="902" w:type="dxa"/>
            <w:vAlign w:val="center"/>
          </w:tcPr>
          <w:p>
            <w:pPr>
              <w:pStyle w:val="89"/>
            </w:pPr>
            <w:r>
              <w:rPr>
                <w:rFonts w:hint="eastAsia"/>
              </w:rPr>
              <w:t>0</w:t>
            </w:r>
          </w:p>
        </w:tc>
        <w:tc>
          <w:tcPr>
            <w:tcW w:w="1157" w:type="dxa"/>
            <w:vAlign w:val="center"/>
          </w:tcPr>
          <w:p>
            <w:pPr>
              <w:pStyle w:val="89"/>
            </w:pPr>
            <w:r>
              <w:rPr>
                <w:rFonts w:hint="eastAsia"/>
              </w:rPr>
              <w:t>0</w:t>
            </w:r>
          </w:p>
        </w:tc>
        <w:tc>
          <w:tcPr>
            <w:tcW w:w="1415" w:type="dxa"/>
            <w:vAlign w:val="center"/>
          </w:tcPr>
          <w:p>
            <w:pPr>
              <w:pStyle w:val="89"/>
            </w:pPr>
            <w:r>
              <w:rPr>
                <w:rFonts w:hint="eastAsia"/>
              </w:rPr>
              <w:t>0.3</w:t>
            </w:r>
            <w:r>
              <w:t>~0</w:t>
            </w:r>
            <w:r>
              <w:rPr>
                <w:rFonts w:hint="eastAsia"/>
              </w:rPr>
              <w:t>.45</w:t>
            </w:r>
          </w:p>
        </w:tc>
        <w:tc>
          <w:tcPr>
            <w:tcW w:w="1331" w:type="dxa"/>
            <w:vAlign w:val="center"/>
          </w:tcPr>
          <w:p>
            <w:pPr>
              <w:pStyle w:val="89"/>
            </w:pPr>
            <w:r>
              <w:rPr>
                <w:rFonts w:hint="eastAsia"/>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Merge w:val="continue"/>
            <w:vAlign w:val="center"/>
          </w:tcPr>
          <w:p>
            <w:pPr>
              <w:pStyle w:val="89"/>
            </w:pPr>
          </w:p>
        </w:tc>
        <w:tc>
          <w:tcPr>
            <w:tcW w:w="1159" w:type="dxa"/>
            <w:vAlign w:val="center"/>
          </w:tcPr>
          <w:p>
            <w:pPr>
              <w:pStyle w:val="89"/>
            </w:pPr>
            <w:r>
              <w:rPr>
                <w:rFonts w:hint="eastAsia"/>
              </w:rPr>
              <w:t>H</w:t>
            </w:r>
            <w:r>
              <w:rPr>
                <w:rFonts w:hint="eastAsia"/>
                <w:vertAlign w:val="subscript"/>
              </w:rPr>
              <w:t>2</w:t>
            </w:r>
            <w:r>
              <w:rPr>
                <w:rFonts w:hint="eastAsia"/>
              </w:rPr>
              <w:t>S</w:t>
            </w:r>
          </w:p>
        </w:tc>
        <w:tc>
          <w:tcPr>
            <w:tcW w:w="1288" w:type="dxa"/>
            <w:vAlign w:val="center"/>
          </w:tcPr>
          <w:p>
            <w:pPr>
              <w:pStyle w:val="89"/>
            </w:pPr>
            <w:r>
              <w:rPr>
                <w:rFonts w:hint="eastAsia"/>
              </w:rPr>
              <w:t>1</w:t>
            </w:r>
            <w:r>
              <w:t>ND</w:t>
            </w:r>
          </w:p>
        </w:tc>
        <w:tc>
          <w:tcPr>
            <w:tcW w:w="902" w:type="dxa"/>
            <w:vAlign w:val="center"/>
          </w:tcPr>
          <w:p>
            <w:pPr>
              <w:pStyle w:val="89"/>
            </w:pPr>
            <w:r>
              <w:rPr>
                <w:rFonts w:hint="eastAsia"/>
              </w:rPr>
              <w:t>0</w:t>
            </w:r>
          </w:p>
        </w:tc>
        <w:tc>
          <w:tcPr>
            <w:tcW w:w="1157" w:type="dxa"/>
            <w:vAlign w:val="center"/>
          </w:tcPr>
          <w:p>
            <w:pPr>
              <w:pStyle w:val="89"/>
            </w:pPr>
            <w:r>
              <w:rPr>
                <w:rFonts w:hint="eastAsia"/>
              </w:rPr>
              <w:t>0</w:t>
            </w:r>
          </w:p>
        </w:tc>
        <w:tc>
          <w:tcPr>
            <w:tcW w:w="1415" w:type="dxa"/>
            <w:vAlign w:val="center"/>
          </w:tcPr>
          <w:p>
            <w:pPr>
              <w:pStyle w:val="89"/>
            </w:pPr>
            <w:r>
              <w:rPr>
                <w:rFonts w:hint="eastAsia"/>
              </w:rPr>
              <w:t>/</w:t>
            </w:r>
          </w:p>
        </w:tc>
        <w:tc>
          <w:tcPr>
            <w:tcW w:w="1331" w:type="dxa"/>
            <w:vAlign w:val="center"/>
          </w:tcPr>
          <w:p>
            <w:pPr>
              <w:pStyle w:val="89"/>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Merge w:val="restart"/>
            <w:vAlign w:val="center"/>
          </w:tcPr>
          <w:p>
            <w:pPr>
              <w:pStyle w:val="89"/>
            </w:pPr>
            <w:r>
              <w:rPr>
                <w:rFonts w:hint="eastAsia"/>
                <w:szCs w:val="24"/>
                <w:lang w:val="zh-CN"/>
              </w:rPr>
              <w:t>田</w:t>
            </w:r>
            <w:r>
              <w:rPr>
                <w:szCs w:val="24"/>
                <w:lang w:val="zh-CN"/>
              </w:rPr>
              <w:t>家前岭</w:t>
            </w:r>
          </w:p>
        </w:tc>
        <w:tc>
          <w:tcPr>
            <w:tcW w:w="1159" w:type="dxa"/>
            <w:vAlign w:val="center"/>
          </w:tcPr>
          <w:p>
            <w:pPr>
              <w:pStyle w:val="89"/>
            </w:pPr>
            <w:r>
              <w:rPr>
                <w:rFonts w:hint="eastAsia"/>
              </w:rPr>
              <w:t>NH</w:t>
            </w:r>
            <w:r>
              <w:rPr>
                <w:rFonts w:hint="eastAsia"/>
                <w:vertAlign w:val="subscript"/>
              </w:rPr>
              <w:t>3</w:t>
            </w:r>
          </w:p>
        </w:tc>
        <w:tc>
          <w:tcPr>
            <w:tcW w:w="1288" w:type="dxa"/>
            <w:vAlign w:val="center"/>
          </w:tcPr>
          <w:p>
            <w:pPr>
              <w:pStyle w:val="89"/>
            </w:pPr>
            <w:r>
              <w:rPr>
                <w:rFonts w:hint="eastAsia"/>
              </w:rPr>
              <w:t>70</w:t>
            </w:r>
            <w:r>
              <w:t>~1</w:t>
            </w:r>
            <w:r>
              <w:rPr>
                <w:rFonts w:hint="eastAsia"/>
              </w:rPr>
              <w:t>00</w:t>
            </w:r>
          </w:p>
        </w:tc>
        <w:tc>
          <w:tcPr>
            <w:tcW w:w="902" w:type="dxa"/>
            <w:vAlign w:val="center"/>
          </w:tcPr>
          <w:p>
            <w:pPr>
              <w:pStyle w:val="89"/>
            </w:pPr>
            <w:r>
              <w:rPr>
                <w:rFonts w:hint="eastAsia"/>
              </w:rPr>
              <w:t>0</w:t>
            </w:r>
          </w:p>
        </w:tc>
        <w:tc>
          <w:tcPr>
            <w:tcW w:w="1157" w:type="dxa"/>
            <w:vAlign w:val="center"/>
          </w:tcPr>
          <w:p>
            <w:pPr>
              <w:pStyle w:val="89"/>
            </w:pPr>
            <w:r>
              <w:rPr>
                <w:rFonts w:hint="eastAsia"/>
              </w:rPr>
              <w:t>0</w:t>
            </w:r>
          </w:p>
        </w:tc>
        <w:tc>
          <w:tcPr>
            <w:tcW w:w="1415" w:type="dxa"/>
            <w:vAlign w:val="center"/>
          </w:tcPr>
          <w:p>
            <w:pPr>
              <w:pStyle w:val="89"/>
            </w:pPr>
            <w:r>
              <w:rPr>
                <w:rFonts w:hint="eastAsia"/>
              </w:rPr>
              <w:t>0.35</w:t>
            </w:r>
            <w:r>
              <w:t>~0.</w:t>
            </w:r>
            <w:r>
              <w:rPr>
                <w:rFonts w:hint="eastAsia"/>
              </w:rPr>
              <w:t>5</w:t>
            </w:r>
          </w:p>
        </w:tc>
        <w:tc>
          <w:tcPr>
            <w:tcW w:w="1331" w:type="dxa"/>
            <w:vAlign w:val="center"/>
          </w:tcPr>
          <w:p>
            <w:pPr>
              <w:pStyle w:val="89"/>
            </w:pPr>
            <w:r>
              <w:rPr>
                <w:rFonts w:hint="eastAsia"/>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24" w:type="dxa"/>
            <w:vMerge w:val="continue"/>
            <w:vAlign w:val="center"/>
          </w:tcPr>
          <w:p>
            <w:pPr>
              <w:pStyle w:val="89"/>
            </w:pPr>
          </w:p>
        </w:tc>
        <w:tc>
          <w:tcPr>
            <w:tcW w:w="1159" w:type="dxa"/>
            <w:vAlign w:val="center"/>
          </w:tcPr>
          <w:p>
            <w:pPr>
              <w:pStyle w:val="89"/>
            </w:pPr>
            <w:r>
              <w:rPr>
                <w:rFonts w:hint="eastAsia"/>
              </w:rPr>
              <w:t>H</w:t>
            </w:r>
            <w:r>
              <w:rPr>
                <w:rFonts w:hint="eastAsia"/>
                <w:vertAlign w:val="subscript"/>
              </w:rPr>
              <w:t>2</w:t>
            </w:r>
            <w:r>
              <w:rPr>
                <w:rFonts w:hint="eastAsia"/>
              </w:rPr>
              <w:t>S</w:t>
            </w:r>
          </w:p>
        </w:tc>
        <w:tc>
          <w:tcPr>
            <w:tcW w:w="1288" w:type="dxa"/>
            <w:vAlign w:val="center"/>
          </w:tcPr>
          <w:p>
            <w:pPr>
              <w:pStyle w:val="89"/>
            </w:pPr>
            <w:r>
              <w:rPr>
                <w:rFonts w:hint="eastAsia"/>
              </w:rPr>
              <w:t>1</w:t>
            </w:r>
            <w:r>
              <w:t>ND</w:t>
            </w:r>
          </w:p>
        </w:tc>
        <w:tc>
          <w:tcPr>
            <w:tcW w:w="902" w:type="dxa"/>
            <w:vAlign w:val="center"/>
          </w:tcPr>
          <w:p>
            <w:pPr>
              <w:pStyle w:val="89"/>
            </w:pPr>
            <w:r>
              <w:rPr>
                <w:rFonts w:hint="eastAsia"/>
              </w:rPr>
              <w:t>0</w:t>
            </w:r>
          </w:p>
        </w:tc>
        <w:tc>
          <w:tcPr>
            <w:tcW w:w="1157" w:type="dxa"/>
            <w:vAlign w:val="center"/>
          </w:tcPr>
          <w:p>
            <w:pPr>
              <w:pStyle w:val="89"/>
            </w:pPr>
            <w:r>
              <w:rPr>
                <w:rFonts w:hint="eastAsia"/>
              </w:rPr>
              <w:t>0</w:t>
            </w:r>
          </w:p>
        </w:tc>
        <w:tc>
          <w:tcPr>
            <w:tcW w:w="1415" w:type="dxa"/>
            <w:vAlign w:val="center"/>
          </w:tcPr>
          <w:p>
            <w:pPr>
              <w:pStyle w:val="89"/>
            </w:pPr>
            <w:r>
              <w:rPr>
                <w:rFonts w:hint="eastAsia"/>
              </w:rPr>
              <w:t>/</w:t>
            </w:r>
          </w:p>
        </w:tc>
        <w:tc>
          <w:tcPr>
            <w:tcW w:w="1331" w:type="dxa"/>
            <w:vAlign w:val="center"/>
          </w:tcPr>
          <w:p>
            <w:pPr>
              <w:pStyle w:val="89"/>
            </w:pPr>
            <w:r>
              <w:rPr>
                <w:rFonts w:hint="eastAsia"/>
              </w:rPr>
              <w:t>10</w:t>
            </w:r>
          </w:p>
        </w:tc>
      </w:tr>
    </w:tbl>
    <w:p>
      <w:pPr>
        <w:pStyle w:val="79"/>
        <w:ind w:firstLine="480"/>
        <w:rPr>
          <w:rFonts w:cs="Times New Roman"/>
        </w:rPr>
      </w:pPr>
      <w:r>
        <w:rPr>
          <w:rFonts w:cs="Times New Roman"/>
        </w:rPr>
        <w:t>由监测统计结果可以看出，监测点位</w:t>
      </w:r>
      <w:r>
        <w:rPr>
          <w:rFonts w:hint="eastAsia" w:cs="Times New Roman"/>
        </w:rPr>
        <w:t>NH</w:t>
      </w:r>
      <w:r>
        <w:rPr>
          <w:rFonts w:cs="Times New Roman"/>
          <w:vertAlign w:val="subscript"/>
        </w:rPr>
        <w:t>3</w:t>
      </w:r>
      <w:r>
        <w:rPr>
          <w:rFonts w:cs="Times New Roman"/>
        </w:rPr>
        <w:t>、H</w:t>
      </w:r>
      <w:r>
        <w:rPr>
          <w:rFonts w:cs="Times New Roman"/>
          <w:vertAlign w:val="subscript"/>
        </w:rPr>
        <w:t>2</w:t>
      </w:r>
      <w:r>
        <w:rPr>
          <w:rFonts w:cs="Times New Roman"/>
        </w:rPr>
        <w:t>S满足《环境影响评价技术导则大气环境》（HJ2.2-2018）表D.1中其他污染物空气质量浓度参考限值。项目建</w:t>
      </w:r>
      <w:r>
        <w:rPr>
          <w:rFonts w:hint="eastAsia" w:cs="Times New Roman"/>
        </w:rPr>
        <w:t>设</w:t>
      </w:r>
      <w:r>
        <w:rPr>
          <w:rFonts w:cs="Times New Roman"/>
        </w:rPr>
        <w:t>地周边特征污染物环境背景值现状质量良好。</w:t>
      </w:r>
    </w:p>
    <w:p>
      <w:pPr>
        <w:pStyle w:val="4"/>
      </w:pPr>
      <w:bookmarkStart w:id="115" w:name="_Toc488102168"/>
      <w:r>
        <w:rPr>
          <w:rFonts w:hint="eastAsia"/>
        </w:rPr>
        <w:t>地表水环境质量现状调查与评价</w:t>
      </w:r>
      <w:bookmarkEnd w:id="115"/>
    </w:p>
    <w:p>
      <w:pPr>
        <w:pStyle w:val="5"/>
      </w:pPr>
      <w:r>
        <w:t>监测点位</w:t>
      </w:r>
    </w:p>
    <w:p>
      <w:pPr>
        <w:ind w:firstLine="480"/>
      </w:pPr>
      <w:r>
        <w:rPr>
          <w:rFonts w:hint="eastAsia"/>
        </w:rPr>
        <w:t>根据项目</w:t>
      </w:r>
      <w:r>
        <w:t>特点，项目周围均为空地，</w:t>
      </w:r>
      <w:r>
        <w:rPr>
          <w:rFonts w:hint="eastAsia"/>
        </w:rPr>
        <w:t>距离项目最近的地表水为项目西南方向约570</w:t>
      </w:r>
      <w:r>
        <w:t>m</w:t>
      </w:r>
      <w:r>
        <w:rPr>
          <w:rFonts w:hint="eastAsia"/>
        </w:rPr>
        <w:t>沈家河，</w:t>
      </w:r>
      <w:r>
        <w:t>本次监测仅对</w:t>
      </w:r>
      <w:r>
        <w:rPr>
          <w:rFonts w:hint="eastAsia"/>
        </w:rPr>
        <w:t>沈家河上游500m断面及下游1000m断面</w:t>
      </w:r>
      <w:r>
        <w:t>进行了监测，</w:t>
      </w:r>
      <w:r>
        <w:rPr>
          <w:rFonts w:hint="eastAsia"/>
        </w:rPr>
        <w:t>监测</w:t>
      </w:r>
      <w:r>
        <w:t>点位见</w:t>
      </w:r>
      <w:r>
        <w:rPr>
          <w:rFonts w:hint="eastAsia"/>
        </w:rPr>
        <w:t>图4.2-1。</w:t>
      </w:r>
    </w:p>
    <w:p>
      <w:pPr>
        <w:spacing w:line="240" w:lineRule="auto"/>
        <w:ind w:firstLine="0" w:firstLineChars="0"/>
        <w:jc w:val="center"/>
        <w:rPr>
          <w:b/>
          <w:sz w:val="21"/>
          <w:szCs w:val="20"/>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4.2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5</w:t>
      </w:r>
      <w:r>
        <w:rPr>
          <w:b/>
          <w:sz w:val="21"/>
          <w:szCs w:val="24"/>
        </w:rPr>
        <w:fldChar w:fldCharType="end"/>
      </w:r>
      <w:r>
        <w:rPr>
          <w:b/>
          <w:sz w:val="21"/>
          <w:szCs w:val="24"/>
        </w:rPr>
        <w:t xml:space="preserve">  项目地</w:t>
      </w:r>
      <w:r>
        <w:rPr>
          <w:rFonts w:hint="eastAsia"/>
          <w:b/>
          <w:sz w:val="21"/>
          <w:szCs w:val="24"/>
        </w:rPr>
        <w:t>表</w:t>
      </w:r>
      <w:r>
        <w:rPr>
          <w:b/>
          <w:sz w:val="21"/>
          <w:szCs w:val="24"/>
        </w:rPr>
        <w:t>水监测布点</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617"/>
        <w:gridCol w:w="1238"/>
        <w:gridCol w:w="3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编号</w:t>
            </w:r>
          </w:p>
        </w:tc>
        <w:tc>
          <w:tcPr>
            <w:tcW w:w="2617"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监测点位置</w:t>
            </w:r>
          </w:p>
        </w:tc>
        <w:tc>
          <w:tcPr>
            <w:tcW w:w="123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监测内容</w:t>
            </w:r>
          </w:p>
        </w:tc>
        <w:tc>
          <w:tcPr>
            <w:tcW w:w="362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1#</w:t>
            </w:r>
          </w:p>
        </w:tc>
        <w:tc>
          <w:tcPr>
            <w:tcW w:w="2617"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沈家河</w:t>
            </w:r>
            <w:r>
              <w:rPr>
                <w:rFonts w:hAnsi="宋体"/>
                <w:kern w:val="0"/>
                <w:sz w:val="21"/>
                <w:szCs w:val="20"/>
              </w:rPr>
              <w:t>上游500</w:t>
            </w:r>
            <w:r>
              <w:rPr>
                <w:rFonts w:hint="eastAsia" w:hAnsi="宋体"/>
                <w:kern w:val="0"/>
                <w:sz w:val="21"/>
                <w:szCs w:val="20"/>
              </w:rPr>
              <w:t>m</w:t>
            </w:r>
            <w:r>
              <w:rPr>
                <w:rFonts w:hAnsi="宋体"/>
                <w:kern w:val="0"/>
                <w:sz w:val="21"/>
                <w:szCs w:val="20"/>
              </w:rPr>
              <w:t>断面</w:t>
            </w:r>
          </w:p>
        </w:tc>
        <w:tc>
          <w:tcPr>
            <w:tcW w:w="1238" w:type="dxa"/>
            <w:vMerge w:val="restart"/>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水质</w:t>
            </w:r>
          </w:p>
        </w:tc>
        <w:tc>
          <w:tcPr>
            <w:tcW w:w="3628" w:type="dxa"/>
            <w:shd w:val="clear" w:color="auto" w:fill="auto"/>
            <w:vAlign w:val="center"/>
          </w:tcPr>
          <w:p>
            <w:pPr>
              <w:tabs>
                <w:tab w:val="left" w:pos="2340"/>
              </w:tabs>
              <w:adjustRightInd/>
              <w:spacing w:line="240" w:lineRule="auto"/>
              <w:ind w:firstLine="0" w:firstLineChars="0"/>
              <w:jc w:val="center"/>
              <w:rPr>
                <w:kern w:val="0"/>
                <w:sz w:val="21"/>
                <w:szCs w:val="20"/>
              </w:rPr>
            </w:pPr>
            <w:r>
              <w:rPr>
                <w:kern w:val="0"/>
                <w:sz w:val="21"/>
                <w:szCs w:val="20"/>
              </w:rPr>
              <w:t>109°36'33.4179"</w:t>
            </w:r>
            <w:r>
              <w:rPr>
                <w:rFonts w:hint="eastAsia"/>
                <w:kern w:val="0"/>
                <w:sz w:val="21"/>
                <w:szCs w:val="20"/>
              </w:rPr>
              <w:t>；</w:t>
            </w:r>
            <w:r>
              <w:rPr>
                <w:kern w:val="0"/>
                <w:sz w:val="21"/>
                <w:szCs w:val="20"/>
              </w:rPr>
              <w:t>32°56'3.94038"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2</w:t>
            </w:r>
            <w:r>
              <w:rPr>
                <w:rFonts w:hAnsi="宋体"/>
                <w:kern w:val="0"/>
                <w:sz w:val="21"/>
                <w:szCs w:val="20"/>
              </w:rPr>
              <w:t>#</w:t>
            </w:r>
          </w:p>
        </w:tc>
        <w:tc>
          <w:tcPr>
            <w:tcW w:w="2617"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沈家河下</w:t>
            </w:r>
            <w:r>
              <w:rPr>
                <w:rFonts w:hAnsi="宋体"/>
                <w:kern w:val="0"/>
                <w:sz w:val="21"/>
                <w:szCs w:val="20"/>
              </w:rPr>
              <w:t>游</w:t>
            </w:r>
            <w:r>
              <w:rPr>
                <w:rFonts w:hint="eastAsia" w:hAnsi="宋体"/>
                <w:kern w:val="0"/>
                <w:sz w:val="21"/>
                <w:szCs w:val="20"/>
              </w:rPr>
              <w:t>10</w:t>
            </w:r>
            <w:r>
              <w:rPr>
                <w:rFonts w:hAnsi="宋体"/>
                <w:kern w:val="0"/>
                <w:sz w:val="21"/>
                <w:szCs w:val="20"/>
              </w:rPr>
              <w:t>00</w:t>
            </w:r>
            <w:r>
              <w:rPr>
                <w:rFonts w:hint="eastAsia" w:hAnsi="宋体"/>
                <w:kern w:val="0"/>
                <w:sz w:val="21"/>
                <w:szCs w:val="20"/>
              </w:rPr>
              <w:t>m</w:t>
            </w:r>
            <w:r>
              <w:rPr>
                <w:rFonts w:hAnsi="宋体"/>
                <w:kern w:val="0"/>
                <w:sz w:val="21"/>
                <w:szCs w:val="20"/>
              </w:rPr>
              <w:t>断面</w:t>
            </w:r>
          </w:p>
        </w:tc>
        <w:tc>
          <w:tcPr>
            <w:tcW w:w="1238" w:type="dxa"/>
            <w:vMerge w:val="continue"/>
            <w:shd w:val="clear" w:color="auto" w:fill="auto"/>
            <w:vAlign w:val="center"/>
          </w:tcPr>
          <w:p>
            <w:pPr>
              <w:tabs>
                <w:tab w:val="left" w:pos="2340"/>
              </w:tabs>
              <w:adjustRightInd/>
              <w:spacing w:line="240" w:lineRule="auto"/>
              <w:ind w:firstLine="0" w:firstLineChars="0"/>
              <w:jc w:val="center"/>
              <w:rPr>
                <w:rFonts w:hAnsi="宋体"/>
                <w:kern w:val="0"/>
                <w:sz w:val="21"/>
                <w:szCs w:val="20"/>
              </w:rPr>
            </w:pPr>
          </w:p>
        </w:tc>
        <w:tc>
          <w:tcPr>
            <w:tcW w:w="3628" w:type="dxa"/>
            <w:shd w:val="clear" w:color="auto" w:fill="auto"/>
            <w:vAlign w:val="center"/>
          </w:tcPr>
          <w:p>
            <w:pPr>
              <w:tabs>
                <w:tab w:val="left" w:pos="2340"/>
              </w:tabs>
              <w:adjustRightInd/>
              <w:spacing w:line="240" w:lineRule="auto"/>
              <w:ind w:firstLine="0" w:firstLineChars="0"/>
              <w:jc w:val="center"/>
              <w:rPr>
                <w:kern w:val="0"/>
                <w:sz w:val="21"/>
                <w:szCs w:val="20"/>
              </w:rPr>
            </w:pPr>
            <w:r>
              <w:rPr>
                <w:kern w:val="0"/>
                <w:sz w:val="21"/>
                <w:szCs w:val="20"/>
              </w:rPr>
              <w:t>109°36'53.8113"</w:t>
            </w:r>
            <w:r>
              <w:rPr>
                <w:rFonts w:hint="eastAsia"/>
                <w:kern w:val="0"/>
                <w:sz w:val="21"/>
                <w:szCs w:val="20"/>
              </w:rPr>
              <w:t>；</w:t>
            </w:r>
            <w:r>
              <w:rPr>
                <w:kern w:val="0"/>
                <w:sz w:val="21"/>
                <w:szCs w:val="20"/>
              </w:rPr>
              <w:t>32°55'38.2653"</w:t>
            </w:r>
          </w:p>
        </w:tc>
      </w:tr>
    </w:tbl>
    <w:p>
      <w:pPr>
        <w:pStyle w:val="5"/>
      </w:pPr>
      <w:r>
        <w:t>监测时间和频率</w:t>
      </w:r>
    </w:p>
    <w:p>
      <w:pPr>
        <w:ind w:firstLine="480"/>
      </w:pPr>
      <w:r>
        <w:t>监测时间为2020年</w:t>
      </w:r>
      <w:r>
        <w:rPr>
          <w:rFonts w:hint="eastAsia"/>
        </w:rPr>
        <w:t>11</w:t>
      </w:r>
      <w:r>
        <w:t>月</w:t>
      </w:r>
      <w:r>
        <w:rPr>
          <w:rFonts w:hint="eastAsia"/>
        </w:rPr>
        <w:t>11</w:t>
      </w:r>
      <w:r>
        <w:t>日~</w:t>
      </w:r>
      <w:r>
        <w:rPr>
          <w:rFonts w:hint="eastAsia"/>
        </w:rPr>
        <w:t>12</w:t>
      </w:r>
      <w:r>
        <w:t>日。连续</w:t>
      </w:r>
      <w:r>
        <w:rPr>
          <w:rFonts w:hint="eastAsia"/>
        </w:rPr>
        <w:t>两</w:t>
      </w:r>
      <w:r>
        <w:t>天，每天采样1次。</w:t>
      </w:r>
    </w:p>
    <w:p>
      <w:pPr>
        <w:pStyle w:val="5"/>
      </w:pPr>
      <w:r>
        <w:t>监测项目</w:t>
      </w:r>
    </w:p>
    <w:p>
      <w:pPr>
        <w:ind w:firstLine="496"/>
      </w:pPr>
      <w:r>
        <w:rPr>
          <w:spacing w:val="4"/>
        </w:rPr>
        <w:t>监测项目为</w:t>
      </w:r>
      <w:r>
        <w:t>pH值、化学需氧量</w:t>
      </w:r>
      <w:r>
        <w:rPr>
          <w:rFonts w:hint="eastAsia"/>
        </w:rPr>
        <w:t>、</w:t>
      </w:r>
      <w:r>
        <w:t>石油类</w:t>
      </w:r>
      <w:r>
        <w:rPr>
          <w:rFonts w:hint="eastAsia"/>
        </w:rPr>
        <w:t>、</w:t>
      </w:r>
      <w:r>
        <w:t>氨氮、硫化物</w:t>
      </w:r>
      <w:r>
        <w:rPr>
          <w:rFonts w:hint="eastAsia"/>
        </w:rPr>
        <w:t>、</w:t>
      </w:r>
      <w:r>
        <w:t>BOD</w:t>
      </w:r>
      <w:r>
        <w:rPr>
          <w:rFonts w:hint="eastAsia"/>
          <w:vertAlign w:val="subscript"/>
        </w:rPr>
        <w:t>5</w:t>
      </w:r>
      <w:r>
        <w:rPr>
          <w:rFonts w:hint="eastAsia"/>
        </w:rPr>
        <w:t>、</w:t>
      </w:r>
      <w:r>
        <w:t>粪大肠菌群</w:t>
      </w:r>
      <w:r>
        <w:rPr>
          <w:rFonts w:hint="eastAsia"/>
        </w:rPr>
        <w:t>、</w:t>
      </w:r>
      <w:r>
        <w:t>挥发酚</w:t>
      </w:r>
      <w:r>
        <w:rPr>
          <w:spacing w:val="4"/>
        </w:rPr>
        <w:t>。</w:t>
      </w:r>
    </w:p>
    <w:p>
      <w:pPr>
        <w:pStyle w:val="5"/>
      </w:pPr>
      <w:r>
        <w:rPr>
          <w:rFonts w:hint="eastAsia"/>
        </w:rPr>
        <w:t>采样</w:t>
      </w:r>
      <w:r>
        <w:t>及分析方法</w:t>
      </w:r>
    </w:p>
    <w:p>
      <w:pPr>
        <w:pStyle w:val="79"/>
        <w:ind w:firstLine="480"/>
        <w:rPr>
          <w:rFonts w:cs="Times New Roman"/>
        </w:rPr>
      </w:pPr>
      <w:r>
        <w:rPr>
          <w:rFonts w:cs="Times New Roman"/>
        </w:rPr>
        <w:t>按照《地</w:t>
      </w:r>
      <w:r>
        <w:rPr>
          <w:rFonts w:hint="eastAsia" w:cs="Times New Roman"/>
        </w:rPr>
        <w:t>表</w:t>
      </w:r>
      <w:r>
        <w:rPr>
          <w:rFonts w:cs="Times New Roman"/>
        </w:rPr>
        <w:t>水环境监测技术规范》（HJ/T</w:t>
      </w:r>
      <w:r>
        <w:rPr>
          <w:rFonts w:hint="eastAsia" w:cs="Times New Roman"/>
        </w:rPr>
        <w:t>91</w:t>
      </w:r>
      <w:r>
        <w:rPr>
          <w:rFonts w:cs="Times New Roman"/>
        </w:rPr>
        <w:t>-200</w:t>
      </w:r>
      <w:r>
        <w:rPr>
          <w:rFonts w:hint="eastAsia" w:cs="Times New Roman"/>
        </w:rPr>
        <w:t>2</w:t>
      </w:r>
      <w:r>
        <w:rPr>
          <w:rFonts w:cs="Times New Roman"/>
        </w:rPr>
        <w:t>）有关规定进行，具体见</w:t>
      </w:r>
      <w:r>
        <w:rPr>
          <w:rFonts w:hint="eastAsia" w:cs="Times New Roman"/>
        </w:rPr>
        <w:t>表4.2-6。</w:t>
      </w:r>
    </w:p>
    <w:p>
      <w:pPr>
        <w:pStyle w:val="85"/>
        <w:rPr>
          <w:rFonts w:hAnsi="Times New Roman"/>
        </w:rPr>
      </w:pPr>
      <w:bookmarkStart w:id="116" w:name="_Ref26434721"/>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6</w:t>
      </w:r>
      <w:r>
        <w:rPr>
          <w:rFonts w:hAnsi="Times New Roman"/>
        </w:rPr>
        <w:fldChar w:fldCharType="end"/>
      </w:r>
      <w:bookmarkEnd w:id="116"/>
      <w:r>
        <w:rPr>
          <w:rFonts w:hAnsi="Times New Roman"/>
        </w:rPr>
        <w:t>地</w:t>
      </w:r>
      <w:r>
        <w:rPr>
          <w:rFonts w:hint="eastAsia" w:hAnsi="Times New Roman"/>
        </w:rPr>
        <w:t>表</w:t>
      </w:r>
      <w:r>
        <w:rPr>
          <w:rFonts w:hAnsi="Times New Roman"/>
        </w:rPr>
        <w:t>水分析方法</w:t>
      </w:r>
    </w:p>
    <w:tbl>
      <w:tblPr>
        <w:tblStyle w:val="27"/>
        <w:tblpPr w:leftFromText="180" w:rightFromText="180" w:vertAnchor="text" w:tblpY="1"/>
        <w:tblOverlap w:val="never"/>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241"/>
        <w:gridCol w:w="3166"/>
        <w:gridCol w:w="2064"/>
        <w:gridCol w:w="1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655" w:type="dxa"/>
            <w:shd w:val="clear" w:color="auto" w:fill="auto"/>
            <w:vAlign w:val="center"/>
          </w:tcPr>
          <w:p>
            <w:pPr>
              <w:pStyle w:val="89"/>
              <w:snapToGrid w:val="0"/>
            </w:pPr>
            <w:r>
              <w:t>序号</w:t>
            </w:r>
          </w:p>
        </w:tc>
        <w:tc>
          <w:tcPr>
            <w:tcW w:w="1241" w:type="dxa"/>
            <w:shd w:val="clear" w:color="auto" w:fill="auto"/>
            <w:vAlign w:val="center"/>
          </w:tcPr>
          <w:p>
            <w:pPr>
              <w:pStyle w:val="89"/>
              <w:snapToGrid w:val="0"/>
            </w:pPr>
            <w:r>
              <w:t>参数</w:t>
            </w:r>
          </w:p>
        </w:tc>
        <w:tc>
          <w:tcPr>
            <w:tcW w:w="3166" w:type="dxa"/>
            <w:shd w:val="clear" w:color="auto" w:fill="auto"/>
            <w:vAlign w:val="center"/>
          </w:tcPr>
          <w:p>
            <w:pPr>
              <w:pStyle w:val="89"/>
              <w:snapToGrid w:val="0"/>
            </w:pPr>
            <w:r>
              <w:t>测定方法</w:t>
            </w:r>
            <w:r>
              <w:rPr>
                <w:rFonts w:hint="eastAsia"/>
              </w:rPr>
              <w:t>及</w:t>
            </w:r>
            <w:r>
              <w:t>来源</w:t>
            </w:r>
          </w:p>
        </w:tc>
        <w:tc>
          <w:tcPr>
            <w:tcW w:w="2064" w:type="dxa"/>
            <w:shd w:val="clear" w:color="auto" w:fill="auto"/>
            <w:vAlign w:val="center"/>
          </w:tcPr>
          <w:p>
            <w:pPr>
              <w:pStyle w:val="89"/>
              <w:snapToGrid w:val="0"/>
            </w:pPr>
            <w:r>
              <w:rPr>
                <w:rFonts w:hint="eastAsia"/>
              </w:rPr>
              <w:t>监测</w:t>
            </w:r>
            <w:r>
              <w:t>仪器</w:t>
            </w:r>
            <w:r>
              <w:rPr>
                <w:rFonts w:hint="eastAsia"/>
              </w:rPr>
              <w:t>、型号规格</w:t>
            </w:r>
          </w:p>
        </w:tc>
        <w:tc>
          <w:tcPr>
            <w:tcW w:w="1150" w:type="dxa"/>
            <w:shd w:val="clear" w:color="auto" w:fill="auto"/>
            <w:vAlign w:val="center"/>
          </w:tcPr>
          <w:p>
            <w:pPr>
              <w:pStyle w:val="89"/>
              <w:snapToGrid w:val="0"/>
            </w:pPr>
            <w:r>
              <w:t>检出限</w:t>
            </w:r>
          </w:p>
          <w:p>
            <w:pPr>
              <w:pStyle w:val="89"/>
              <w:snapToGrid w:val="0"/>
            </w:pPr>
            <w:r>
              <w:rPr>
                <w:rFonts w:hint="eastAsia"/>
              </w:rPr>
              <w:t>（</w:t>
            </w:r>
            <w:r>
              <w:rPr>
                <w:szCs w:val="21"/>
                <w:lang w:val="zh-CN"/>
              </w:rPr>
              <w:t>mg/L</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1</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pH</w:t>
            </w:r>
          </w:p>
        </w:tc>
        <w:tc>
          <w:tcPr>
            <w:tcW w:w="3166" w:type="dxa"/>
            <w:shd w:val="clear" w:color="auto" w:fill="auto"/>
            <w:vAlign w:val="center"/>
          </w:tcPr>
          <w:p>
            <w:pPr>
              <w:pStyle w:val="89"/>
              <w:snapToGrid w:val="0"/>
            </w:pPr>
            <w:r>
              <w:t>《水质pH值的测定玻璃电极法》</w:t>
            </w:r>
            <w:r>
              <w:rPr>
                <w:rFonts w:hint="eastAsia"/>
              </w:rPr>
              <w:t>（</w:t>
            </w:r>
            <w:r>
              <w:t>GB/T6920-1986</w:t>
            </w:r>
            <w:r>
              <w:rPr>
                <w:rFonts w:hint="eastAsia"/>
              </w:rPr>
              <w:t>）</w:t>
            </w:r>
          </w:p>
        </w:tc>
        <w:tc>
          <w:tcPr>
            <w:tcW w:w="2064" w:type="dxa"/>
            <w:shd w:val="clear" w:color="auto" w:fill="auto"/>
            <w:vAlign w:val="center"/>
          </w:tcPr>
          <w:p>
            <w:pPr>
              <w:pStyle w:val="89"/>
              <w:snapToGrid w:val="0"/>
            </w:pPr>
            <w:r>
              <w:rPr>
                <w:rFonts w:hint="eastAsia"/>
              </w:rPr>
              <w:t>pH计</w:t>
            </w:r>
            <w:r>
              <w:t>PHS-3E</w:t>
            </w:r>
          </w:p>
        </w:tc>
        <w:tc>
          <w:tcPr>
            <w:tcW w:w="1150" w:type="dxa"/>
            <w:shd w:val="clear" w:color="auto" w:fill="auto"/>
            <w:vAlign w:val="center"/>
          </w:tcPr>
          <w:p>
            <w:pPr>
              <w:pStyle w:val="89"/>
              <w:snapToGrid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2</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化学需氧量</w:t>
            </w:r>
          </w:p>
        </w:tc>
        <w:tc>
          <w:tcPr>
            <w:tcW w:w="3166" w:type="dxa"/>
            <w:shd w:val="clear" w:color="auto" w:fill="auto"/>
            <w:vAlign w:val="center"/>
          </w:tcPr>
          <w:p>
            <w:pPr>
              <w:pStyle w:val="89"/>
              <w:snapToGrid w:val="0"/>
            </w:pPr>
            <w:r>
              <w:t>《水质化学需氧量的测定重铬酸盐法》</w:t>
            </w:r>
            <w:r>
              <w:rPr>
                <w:rFonts w:hint="eastAsia"/>
              </w:rPr>
              <w:t>（</w:t>
            </w:r>
            <w:r>
              <w:t>HJ828-2017</w:t>
            </w:r>
            <w:r>
              <w:rPr>
                <w:rFonts w:hint="eastAsia"/>
              </w:rPr>
              <w:t>）</w:t>
            </w:r>
          </w:p>
        </w:tc>
        <w:tc>
          <w:tcPr>
            <w:tcW w:w="2064" w:type="dxa"/>
            <w:shd w:val="clear" w:color="auto" w:fill="auto"/>
            <w:vAlign w:val="center"/>
          </w:tcPr>
          <w:p>
            <w:pPr>
              <w:pStyle w:val="89"/>
              <w:snapToGrid w:val="0"/>
            </w:pPr>
            <w:r>
              <w:rPr>
                <w:rFonts w:hint="eastAsia"/>
              </w:rPr>
              <w:t>/</w:t>
            </w:r>
          </w:p>
        </w:tc>
        <w:tc>
          <w:tcPr>
            <w:tcW w:w="1150"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3</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石油类</w:t>
            </w:r>
          </w:p>
        </w:tc>
        <w:tc>
          <w:tcPr>
            <w:tcW w:w="3166" w:type="dxa"/>
            <w:shd w:val="clear" w:color="auto" w:fill="auto"/>
            <w:vAlign w:val="center"/>
          </w:tcPr>
          <w:p>
            <w:pPr>
              <w:pStyle w:val="89"/>
              <w:snapToGrid w:val="0"/>
            </w:pPr>
            <w:r>
              <w:t>《水质石油类测定紫外分光光度法（试行）HJ970-2018</w:t>
            </w:r>
          </w:p>
        </w:tc>
        <w:tc>
          <w:tcPr>
            <w:tcW w:w="2064" w:type="dxa"/>
            <w:shd w:val="clear" w:color="auto" w:fill="auto"/>
            <w:vAlign w:val="center"/>
          </w:tcPr>
          <w:p>
            <w:pPr>
              <w:pStyle w:val="89"/>
              <w:snapToGrid w:val="0"/>
              <w:rPr>
                <w:lang w:val="zh-CN"/>
              </w:rPr>
            </w:pPr>
            <w:r>
              <w:rPr>
                <w:rFonts w:hint="eastAsia"/>
                <w:lang w:val="zh-CN"/>
              </w:rPr>
              <w:t>紫外可见分光光度计</w:t>
            </w:r>
            <w:r>
              <w:rPr>
                <w:lang w:val="zh-CN"/>
              </w:rPr>
              <w:t>TU-1810</w:t>
            </w:r>
          </w:p>
        </w:tc>
        <w:tc>
          <w:tcPr>
            <w:tcW w:w="1150"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4</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氨氮</w:t>
            </w:r>
          </w:p>
        </w:tc>
        <w:tc>
          <w:tcPr>
            <w:tcW w:w="3166" w:type="dxa"/>
            <w:shd w:val="clear" w:color="auto" w:fill="auto"/>
            <w:vAlign w:val="center"/>
          </w:tcPr>
          <w:p>
            <w:pPr>
              <w:pStyle w:val="89"/>
              <w:snapToGrid w:val="0"/>
            </w:pPr>
            <w:r>
              <w:t>《水质氨氮的测定纳氏试剂分光光度法》HJ535-2009</w:t>
            </w:r>
          </w:p>
        </w:tc>
        <w:tc>
          <w:tcPr>
            <w:tcW w:w="2064" w:type="dxa"/>
            <w:vMerge w:val="restart"/>
            <w:shd w:val="clear" w:color="auto" w:fill="auto"/>
            <w:vAlign w:val="center"/>
          </w:tcPr>
          <w:p>
            <w:pPr>
              <w:pStyle w:val="89"/>
              <w:snapToGrid w:val="0"/>
            </w:pPr>
            <w:r>
              <w:rPr>
                <w:rFonts w:hint="eastAsia"/>
              </w:rPr>
              <w:t>原子分光光度计</w:t>
            </w:r>
            <w:r>
              <w:t>TAS-990AFG</w:t>
            </w:r>
          </w:p>
        </w:tc>
        <w:tc>
          <w:tcPr>
            <w:tcW w:w="1150"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 xml:space="preserve">0.025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5</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硫化物</w:t>
            </w:r>
          </w:p>
        </w:tc>
        <w:tc>
          <w:tcPr>
            <w:tcW w:w="3166" w:type="dxa"/>
            <w:shd w:val="clear" w:color="auto" w:fill="auto"/>
            <w:vAlign w:val="center"/>
          </w:tcPr>
          <w:p>
            <w:pPr>
              <w:pStyle w:val="89"/>
              <w:snapToGrid w:val="0"/>
            </w:pPr>
            <w:r>
              <w:t>《水质硫化物的测定亚甲基蓝分光光度GB/T16489-1996</w:t>
            </w:r>
          </w:p>
        </w:tc>
        <w:tc>
          <w:tcPr>
            <w:tcW w:w="2064" w:type="dxa"/>
            <w:vMerge w:val="continue"/>
            <w:shd w:val="clear" w:color="auto" w:fill="auto"/>
            <w:vAlign w:val="center"/>
          </w:tcPr>
          <w:p>
            <w:pPr>
              <w:pStyle w:val="89"/>
              <w:snapToGrid w:val="0"/>
            </w:pPr>
          </w:p>
        </w:tc>
        <w:tc>
          <w:tcPr>
            <w:tcW w:w="1150"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 xml:space="preserve">0.005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6</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BOD</w:t>
            </w:r>
            <w:r>
              <w:rPr>
                <w:rFonts w:hint="eastAsia"/>
                <w:kern w:val="0"/>
                <w:sz w:val="21"/>
                <w:szCs w:val="21"/>
                <w:vertAlign w:val="subscript"/>
                <w:lang w:val="zh-CN"/>
              </w:rPr>
              <w:t>5</w:t>
            </w:r>
          </w:p>
        </w:tc>
        <w:tc>
          <w:tcPr>
            <w:tcW w:w="3166" w:type="dxa"/>
            <w:shd w:val="clear" w:color="auto" w:fill="auto"/>
            <w:vAlign w:val="center"/>
          </w:tcPr>
          <w:p>
            <w:pPr>
              <w:pStyle w:val="89"/>
              <w:snapToGrid w:val="0"/>
            </w:pPr>
            <w:r>
              <w:t>《水质五日生化需氧量（BOD5）的测定稀释与接种法》HJ505-2009</w:t>
            </w:r>
          </w:p>
        </w:tc>
        <w:tc>
          <w:tcPr>
            <w:tcW w:w="2064" w:type="dxa"/>
            <w:shd w:val="clear" w:color="auto" w:fill="auto"/>
            <w:vAlign w:val="center"/>
          </w:tcPr>
          <w:p>
            <w:pPr>
              <w:pStyle w:val="89"/>
              <w:snapToGrid w:val="0"/>
            </w:pPr>
            <w:r>
              <w:rPr>
                <w:rFonts w:hint="eastAsia"/>
              </w:rPr>
              <w:t>生化培养箱</w:t>
            </w:r>
            <w:r>
              <w:t>SPX-50B</w:t>
            </w:r>
          </w:p>
        </w:tc>
        <w:tc>
          <w:tcPr>
            <w:tcW w:w="1150"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7</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粪大肠菌群</w:t>
            </w:r>
          </w:p>
        </w:tc>
        <w:tc>
          <w:tcPr>
            <w:tcW w:w="3166" w:type="dxa"/>
            <w:shd w:val="clear" w:color="auto" w:fill="auto"/>
            <w:vAlign w:val="center"/>
          </w:tcPr>
          <w:p>
            <w:pPr>
              <w:pStyle w:val="89"/>
              <w:snapToGrid w:val="0"/>
            </w:pPr>
            <w:r>
              <w:t>《水质粪大肠菌群的测定多管发酵法HJ/T347.2-2018</w:t>
            </w:r>
          </w:p>
        </w:tc>
        <w:tc>
          <w:tcPr>
            <w:tcW w:w="2064" w:type="dxa"/>
            <w:shd w:val="clear" w:color="auto" w:fill="auto"/>
            <w:vAlign w:val="center"/>
          </w:tcPr>
          <w:p>
            <w:pPr>
              <w:pStyle w:val="89"/>
              <w:snapToGrid w:val="0"/>
            </w:pPr>
            <w:r>
              <w:rPr>
                <w:rFonts w:hint="eastAsia"/>
              </w:rPr>
              <w:t>/</w:t>
            </w:r>
          </w:p>
        </w:tc>
        <w:tc>
          <w:tcPr>
            <w:tcW w:w="1150"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20MPN/L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55" w:type="dxa"/>
            <w:shd w:val="clear" w:color="auto" w:fill="auto"/>
            <w:vAlign w:val="center"/>
          </w:tcPr>
          <w:p>
            <w:pPr>
              <w:pStyle w:val="89"/>
              <w:snapToGrid w:val="0"/>
            </w:pPr>
            <w:r>
              <w:t>8</w:t>
            </w:r>
          </w:p>
        </w:tc>
        <w:tc>
          <w:tcPr>
            <w:tcW w:w="1241"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挥发酚</w:t>
            </w:r>
          </w:p>
        </w:tc>
        <w:tc>
          <w:tcPr>
            <w:tcW w:w="3166" w:type="dxa"/>
            <w:shd w:val="clear" w:color="auto" w:fill="auto"/>
            <w:vAlign w:val="center"/>
          </w:tcPr>
          <w:p>
            <w:pPr>
              <w:pStyle w:val="89"/>
              <w:snapToGrid w:val="0"/>
            </w:pPr>
            <w:r>
              <w:t>《水质挥发酚的测定4-氨基安替比林分光光度法》HJ503-2009</w:t>
            </w:r>
          </w:p>
        </w:tc>
        <w:tc>
          <w:tcPr>
            <w:tcW w:w="2064" w:type="dxa"/>
            <w:shd w:val="clear" w:color="auto" w:fill="auto"/>
            <w:vAlign w:val="center"/>
          </w:tcPr>
          <w:p>
            <w:pPr>
              <w:pStyle w:val="89"/>
              <w:snapToGrid w:val="0"/>
            </w:pPr>
            <w:r>
              <w:rPr>
                <w:rFonts w:hint="eastAsia"/>
              </w:rPr>
              <w:t>原子分光光度计</w:t>
            </w:r>
            <w:r>
              <w:t>TAS-990AFG</w:t>
            </w:r>
          </w:p>
        </w:tc>
        <w:tc>
          <w:tcPr>
            <w:tcW w:w="1150" w:type="dxa"/>
            <w:shd w:val="clear" w:color="auto" w:fill="auto"/>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0.0003</w:t>
            </w:r>
          </w:p>
        </w:tc>
      </w:tr>
    </w:tbl>
    <w:p>
      <w:pPr>
        <w:pStyle w:val="5"/>
      </w:pPr>
      <w:r>
        <w:rPr>
          <w:rFonts w:hint="eastAsia"/>
        </w:rPr>
        <w:t>评价</w:t>
      </w:r>
      <w:r>
        <w:t>标准及方法</w:t>
      </w:r>
    </w:p>
    <w:p>
      <w:pPr>
        <w:pStyle w:val="79"/>
        <w:ind w:firstLine="480"/>
        <w:rPr>
          <w:rFonts w:cs="Times New Roman"/>
        </w:rPr>
      </w:pPr>
      <w:r>
        <w:rPr>
          <w:rFonts w:hint="eastAsia" w:ascii="宋体" w:hAnsi="宋体" w:cs="宋体"/>
        </w:rPr>
        <w:t>（1）</w:t>
      </w:r>
      <w:r>
        <w:rPr>
          <w:rFonts w:cs="Times New Roman"/>
        </w:rPr>
        <w:t>评价标准</w:t>
      </w:r>
    </w:p>
    <w:p>
      <w:pPr>
        <w:pStyle w:val="79"/>
        <w:ind w:firstLine="480"/>
        <w:rPr>
          <w:rFonts w:cs="Times New Roman"/>
        </w:rPr>
      </w:pPr>
      <w:r>
        <w:rPr>
          <w:rFonts w:cs="Times New Roman"/>
        </w:rPr>
        <w:t>地</w:t>
      </w:r>
      <w:r>
        <w:rPr>
          <w:rFonts w:hint="eastAsia" w:cs="Times New Roman"/>
        </w:rPr>
        <w:t>表</w:t>
      </w:r>
      <w:r>
        <w:rPr>
          <w:rFonts w:cs="Times New Roman"/>
        </w:rPr>
        <w:t>水水质执行《地</w:t>
      </w:r>
      <w:r>
        <w:rPr>
          <w:rFonts w:hint="eastAsia" w:cs="Times New Roman"/>
        </w:rPr>
        <w:t>表</w:t>
      </w:r>
      <w:r>
        <w:rPr>
          <w:rFonts w:cs="Times New Roman"/>
        </w:rPr>
        <w:t>水质量标准》</w:t>
      </w:r>
      <w:r>
        <w:rPr>
          <w:rFonts w:hint="eastAsia" w:cs="Times New Roman"/>
        </w:rPr>
        <w:t>（</w:t>
      </w:r>
      <w:r>
        <w:rPr>
          <w:rFonts w:cs="Times New Roman"/>
          <w:bCs/>
        </w:rPr>
        <w:t>GB</w:t>
      </w:r>
      <w:r>
        <w:rPr>
          <w:rFonts w:hint="eastAsia" w:cs="Times New Roman"/>
          <w:bCs/>
        </w:rPr>
        <w:t>3838</w:t>
      </w:r>
      <w:r>
        <w:rPr>
          <w:rFonts w:cs="Times New Roman"/>
          <w:bCs/>
        </w:rPr>
        <w:t>-20</w:t>
      </w:r>
      <w:r>
        <w:rPr>
          <w:rFonts w:hint="eastAsia" w:cs="Times New Roman"/>
          <w:bCs/>
        </w:rPr>
        <w:t>02</w:t>
      </w:r>
      <w:r>
        <w:rPr>
          <w:rFonts w:hint="eastAsia" w:cs="Times New Roman"/>
        </w:rPr>
        <w:t>）</w:t>
      </w:r>
      <w:r>
        <w:rPr>
          <w:rFonts w:cs="Times New Roman"/>
        </w:rPr>
        <w:t>中</w:t>
      </w:r>
      <w:r>
        <w:rPr>
          <w:rFonts w:hint="eastAsia"/>
        </w:rPr>
        <w:t>II</w:t>
      </w:r>
      <w:r>
        <w:rPr>
          <w:rFonts w:cs="Times New Roman"/>
        </w:rPr>
        <w:t>类标准。</w:t>
      </w:r>
    </w:p>
    <w:p>
      <w:pPr>
        <w:pStyle w:val="79"/>
        <w:ind w:firstLine="480"/>
        <w:rPr>
          <w:rFonts w:cs="Times New Roman"/>
        </w:rPr>
      </w:pPr>
      <w:r>
        <w:rPr>
          <w:rFonts w:cs="Times New Roman"/>
        </w:rPr>
        <w:t>（2）评价方法</w:t>
      </w:r>
    </w:p>
    <w:p>
      <w:pPr>
        <w:pStyle w:val="79"/>
        <w:ind w:firstLine="480"/>
        <w:rPr>
          <w:rFonts w:cs="Times New Roman"/>
        </w:rPr>
      </w:pPr>
      <w:r>
        <w:rPr>
          <w:rFonts w:cs="Times New Roman"/>
        </w:rPr>
        <w:t>采用标准指数法进行评价，标准指数大于1，表明该水质因子已超过了规定的水质标准。指数值越大，超标越严重。标准指数计算公式为：</w:t>
      </w:r>
    </w:p>
    <w:p>
      <w:pPr>
        <w:pStyle w:val="79"/>
        <w:ind w:firstLine="480"/>
        <w:jc w:val="center"/>
        <w:rPr>
          <w:rFonts w:cs="Times New Roman"/>
        </w:rPr>
      </w:pPr>
      <w:r>
        <w:rPr>
          <w:rFonts w:cs="Times New Roman"/>
        </w:rPr>
        <w:t>P</w:t>
      </w:r>
      <w:r>
        <w:rPr>
          <w:rFonts w:cs="Times New Roman"/>
          <w:vertAlign w:val="subscript"/>
        </w:rPr>
        <w:t>i</w:t>
      </w:r>
      <w:r>
        <w:rPr>
          <w:rFonts w:cs="Times New Roman"/>
        </w:rPr>
        <w:t>=C</w:t>
      </w:r>
      <w:r>
        <w:rPr>
          <w:rFonts w:cs="Times New Roman"/>
          <w:vertAlign w:val="subscript"/>
        </w:rPr>
        <w:t>i</w:t>
      </w:r>
      <w:r>
        <w:rPr>
          <w:rFonts w:cs="Times New Roman"/>
        </w:rPr>
        <w:t>/C</w:t>
      </w:r>
      <w:r>
        <w:rPr>
          <w:rFonts w:cs="Times New Roman"/>
          <w:vertAlign w:val="subscript"/>
        </w:rPr>
        <w:t>si</w:t>
      </w:r>
    </w:p>
    <w:p>
      <w:pPr>
        <w:pStyle w:val="79"/>
        <w:ind w:firstLine="480"/>
        <w:rPr>
          <w:rFonts w:cs="Times New Roman"/>
        </w:rPr>
      </w:pPr>
      <w:r>
        <w:rPr>
          <w:rFonts w:cs="Times New Roman"/>
        </w:rPr>
        <w:t>式中：</w:t>
      </w:r>
    </w:p>
    <w:p>
      <w:pPr>
        <w:pStyle w:val="79"/>
        <w:ind w:firstLine="480"/>
        <w:rPr>
          <w:rFonts w:cs="Times New Roman"/>
        </w:rPr>
      </w:pPr>
      <w:r>
        <w:rPr>
          <w:rFonts w:cs="Times New Roman"/>
        </w:rPr>
        <w:t>P</w:t>
      </w:r>
      <w:r>
        <w:rPr>
          <w:rFonts w:cs="Times New Roman"/>
          <w:vertAlign w:val="subscript"/>
        </w:rPr>
        <w:t>i</w:t>
      </w:r>
      <w:r>
        <w:rPr>
          <w:rFonts w:cs="Times New Roman"/>
        </w:rPr>
        <w:t>—第i个水质因子的标准指数，无量纲；</w:t>
      </w:r>
    </w:p>
    <w:p>
      <w:pPr>
        <w:pStyle w:val="79"/>
        <w:ind w:firstLine="480"/>
        <w:rPr>
          <w:rFonts w:cs="Times New Roman"/>
        </w:rPr>
      </w:pPr>
      <w:r>
        <w:rPr>
          <w:rFonts w:cs="Times New Roman"/>
        </w:rPr>
        <w:t>C</w:t>
      </w:r>
      <w:r>
        <w:rPr>
          <w:rFonts w:cs="Times New Roman"/>
          <w:vertAlign w:val="subscript"/>
        </w:rPr>
        <w:t>i</w:t>
      </w:r>
      <w:r>
        <w:rPr>
          <w:rFonts w:cs="Times New Roman"/>
        </w:rPr>
        <w:t>—第i个水质因子的监测浓度值，mg/L；</w:t>
      </w:r>
    </w:p>
    <w:p>
      <w:pPr>
        <w:pStyle w:val="79"/>
        <w:ind w:firstLine="480"/>
        <w:rPr>
          <w:rFonts w:cs="Times New Roman"/>
        </w:rPr>
      </w:pPr>
      <w:r>
        <w:rPr>
          <w:rFonts w:cs="Times New Roman"/>
        </w:rPr>
        <w:t>C</w:t>
      </w:r>
      <w:r>
        <w:rPr>
          <w:rFonts w:cs="Times New Roman"/>
          <w:vertAlign w:val="subscript"/>
        </w:rPr>
        <w:t>si</w:t>
      </w:r>
      <w:r>
        <w:rPr>
          <w:rFonts w:cs="Times New Roman"/>
        </w:rPr>
        <w:t>—第i个水质因子的标准浓度值，mg/L。</w:t>
      </w:r>
    </w:p>
    <w:p>
      <w:pPr>
        <w:pStyle w:val="79"/>
        <w:ind w:firstLine="480"/>
        <w:rPr>
          <w:rFonts w:cs="Times New Roman"/>
        </w:rPr>
      </w:pPr>
      <w:r>
        <w:rPr>
          <w:rFonts w:cs="Times New Roman"/>
        </w:rPr>
        <w:t>对于pH为：</w:t>
      </w:r>
    </w:p>
    <w:p>
      <w:pPr>
        <w:pStyle w:val="79"/>
        <w:ind w:firstLine="480"/>
        <w:jc w:val="center"/>
        <w:rPr>
          <w:rFonts w:cs="Times New Roman"/>
        </w:rPr>
      </w:pPr>
      <m:oMath>
        <m:sSub>
          <m:sSubPr>
            <m:ctrlPr>
              <w:rPr>
                <w:rFonts w:ascii="Cambria Math" w:hAnsi="Cambria Math" w:cs="Times New Roman"/>
              </w:rPr>
            </m:ctrlPr>
          </m:sSubPr>
          <m:e>
            <m:r>
              <w:rPr>
                <w:rFonts w:ascii="Cambria Math" w:hAnsi="Cambria Math" w:cs="Times New Roman"/>
              </w:rPr>
              <m:t>P</m:t>
            </m:r>
            <m:ctrlPr>
              <w:rPr>
                <w:rFonts w:ascii="Cambria Math" w:hAnsi="Cambria Math" w:cs="Times New Roman"/>
              </w:rPr>
            </m:ctrlPr>
          </m:e>
          <m:sub>
            <m:r>
              <w:rPr>
                <w:rFonts w:ascii="Cambria Math" w:hAnsi="Cambria Math" w:cs="Times New Roman"/>
              </w:rPr>
              <m:t>pH</m:t>
            </m:r>
            <m:ctrlPr>
              <w:rPr>
                <w:rFonts w:ascii="Cambria Math" w:hAnsi="Cambria Math" w:cs="Times New Roman"/>
              </w:rPr>
            </m:ctrlP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7.0-pH</m:t>
            </m:r>
            <m:ctrlPr>
              <w:rPr>
                <w:rFonts w:ascii="Cambria Math" w:hAnsi="Cambria Math" w:cs="Times New Roman"/>
              </w:rPr>
            </m:ctrlPr>
          </m:num>
          <m:den>
            <m:r>
              <w:rPr>
                <w:rFonts w:ascii="Cambria Math" w:hAnsi="Cambria Math" w:cs="Times New Roman"/>
              </w:rPr>
              <m:t>7.0-</m:t>
            </m:r>
            <m:sSub>
              <m:sSubPr>
                <m:ctrlPr>
                  <w:rPr>
                    <w:rFonts w:ascii="Cambria Math" w:hAnsi="Cambria Math" w:cs="Times New Roman"/>
                  </w:rPr>
                </m:ctrlPr>
              </m:sSubPr>
              <m:e>
                <m:r>
                  <w:rPr>
                    <w:rFonts w:ascii="Cambria Math" w:hAnsi="Cambria Math" w:cs="Times New Roman"/>
                  </w:rPr>
                  <m:t>pH</m:t>
                </m:r>
                <m:ctrlPr>
                  <w:rPr>
                    <w:rFonts w:ascii="Cambria Math" w:hAnsi="Cambria Math" w:cs="Times New Roman"/>
                  </w:rPr>
                </m:ctrlPr>
              </m:e>
              <m:sub>
                <m:r>
                  <w:rPr>
                    <w:rFonts w:ascii="Cambria Math" w:hAnsi="Cambria Math" w:cs="Times New Roman"/>
                  </w:rPr>
                  <m:t>sd</m:t>
                </m:r>
                <m:ctrlPr>
                  <w:rPr>
                    <w:rFonts w:ascii="Cambria Math" w:hAnsi="Cambria Math" w:cs="Times New Roman"/>
                  </w:rPr>
                </m:ctrlPr>
              </m:sub>
            </m:sSub>
            <m:ctrlPr>
              <w:rPr>
                <w:rFonts w:ascii="Cambria Math" w:hAnsi="Cambria Math" w:cs="Times New Roman"/>
              </w:rPr>
            </m:ctrlPr>
          </m:den>
        </m:f>
      </m:oMath>
      <w:r>
        <w:rPr>
          <w:rFonts w:cs="Times New Roman"/>
        </w:rPr>
        <w:t>(pH≤7.0时)</w:t>
      </w:r>
    </w:p>
    <w:p>
      <w:pPr>
        <w:pStyle w:val="79"/>
        <w:ind w:firstLine="480"/>
        <w:jc w:val="center"/>
        <w:rPr>
          <w:rFonts w:cs="Times New Roman"/>
        </w:rPr>
      </w:pP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sty m:val="p"/>
              </m:rPr>
              <w:rPr>
                <w:rFonts w:ascii="Cambria Math" w:hAnsi="Cambria Math" w:cs="Times New Roman"/>
              </w:rPr>
              <m:t>pH</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pH-7.0</m:t>
            </m:r>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pH</m:t>
                </m:r>
                <m:ctrlPr>
                  <w:rPr>
                    <w:rFonts w:ascii="Cambria Math" w:hAnsi="Cambria Math" w:cs="Times New Roman"/>
                  </w:rPr>
                </m:ctrlPr>
              </m:e>
              <m:sub>
                <m:r>
                  <m:rPr>
                    <m:sty m:val="p"/>
                  </m:rPr>
                  <w:rPr>
                    <w:rFonts w:ascii="Cambria Math" w:hAnsi="Cambria Math" w:cs="Times New Roman"/>
                  </w:rPr>
                  <m:t>su</m:t>
                </m:r>
                <m:ctrlPr>
                  <w:rPr>
                    <w:rFonts w:ascii="Cambria Math" w:hAnsi="Cambria Math" w:cs="Times New Roman"/>
                  </w:rPr>
                </m:ctrlPr>
              </m:sub>
            </m:sSub>
            <m:r>
              <m:rPr>
                <m:sty m:val="p"/>
              </m:rPr>
              <w:rPr>
                <w:rFonts w:ascii="Cambria Math" w:hAnsi="Cambria Math" w:cs="Times New Roman"/>
              </w:rPr>
              <m:t>-7.0</m:t>
            </m:r>
            <m:ctrlPr>
              <w:rPr>
                <w:rFonts w:ascii="Cambria Math" w:hAnsi="Cambria Math" w:cs="Times New Roman"/>
              </w:rPr>
            </m:ctrlPr>
          </m:den>
        </m:f>
      </m:oMath>
      <w:r>
        <w:rPr>
          <w:rFonts w:cs="Times New Roman"/>
        </w:rPr>
        <w:t xml:space="preserve"> (pH＞7.0时)</w:t>
      </w:r>
    </w:p>
    <w:p>
      <w:pPr>
        <w:pStyle w:val="79"/>
        <w:ind w:firstLine="480"/>
        <w:rPr>
          <w:rFonts w:cs="Times New Roman"/>
        </w:rPr>
      </w:pPr>
      <w:r>
        <w:rPr>
          <w:rFonts w:cs="Times New Roman"/>
        </w:rPr>
        <w:t>式中：P</w:t>
      </w:r>
      <w:r>
        <w:rPr>
          <w:rFonts w:cs="Times New Roman"/>
          <w:vertAlign w:val="subscript"/>
        </w:rPr>
        <w:t>pH</w:t>
      </w:r>
      <w:r>
        <w:rPr>
          <w:rFonts w:cs="Times New Roman"/>
        </w:rPr>
        <w:t>—pH的标准指数，无量纲；</w:t>
      </w:r>
    </w:p>
    <w:p>
      <w:pPr>
        <w:pStyle w:val="79"/>
        <w:ind w:firstLine="1159" w:firstLineChars="483"/>
        <w:rPr>
          <w:rFonts w:cs="Times New Roman"/>
        </w:rPr>
      </w:pPr>
      <w:r>
        <w:rPr>
          <w:rFonts w:cs="Times New Roman"/>
        </w:rPr>
        <w:t>pH —pH监测值；</w:t>
      </w:r>
    </w:p>
    <w:p>
      <w:pPr>
        <w:pStyle w:val="79"/>
        <w:ind w:firstLine="1200" w:firstLineChars="500"/>
        <w:rPr>
          <w:rFonts w:cs="Times New Roman"/>
        </w:rPr>
      </w:pPr>
      <w:r>
        <w:rPr>
          <w:rFonts w:cs="Times New Roman"/>
        </w:rPr>
        <w:t>pH</w:t>
      </w:r>
      <w:r>
        <w:rPr>
          <w:rFonts w:cs="Times New Roman"/>
          <w:vertAlign w:val="subscript"/>
        </w:rPr>
        <w:t>su</w:t>
      </w:r>
      <w:r>
        <w:rPr>
          <w:rFonts w:cs="Times New Roman"/>
        </w:rPr>
        <w:t>—标准中pH的上限值；</w:t>
      </w:r>
    </w:p>
    <w:p>
      <w:pPr>
        <w:ind w:firstLine="1200" w:firstLineChars="500"/>
      </w:pPr>
      <w:r>
        <w:t>pH</w:t>
      </w:r>
      <w:r>
        <w:rPr>
          <w:vertAlign w:val="subscript"/>
        </w:rPr>
        <w:t>sd</w:t>
      </w:r>
      <w:r>
        <w:t>—标准中pH的下限值</w:t>
      </w:r>
      <w:r>
        <w:rPr>
          <w:rFonts w:hint="eastAsia"/>
        </w:rPr>
        <w:t>。</w:t>
      </w:r>
    </w:p>
    <w:p>
      <w:pPr>
        <w:pStyle w:val="5"/>
      </w:pPr>
      <w:r>
        <w:t>监测结果及分析</w:t>
      </w:r>
    </w:p>
    <w:p>
      <w:pPr>
        <w:ind w:firstLine="480"/>
        <w:rPr>
          <w:spacing w:val="4"/>
        </w:rPr>
      </w:pPr>
      <w:r>
        <w:t>地</w:t>
      </w:r>
      <w:r>
        <w:rPr>
          <w:rFonts w:hint="eastAsia"/>
        </w:rPr>
        <w:t>表</w:t>
      </w:r>
      <w:r>
        <w:t>水现状监测</w:t>
      </w:r>
      <w:r>
        <w:rPr>
          <w:rFonts w:hint="eastAsia"/>
        </w:rPr>
        <w:t>及</w:t>
      </w:r>
      <w:r>
        <w:t>评价结果统计表详见</w:t>
      </w:r>
      <w:r>
        <w:fldChar w:fldCharType="begin"/>
      </w:r>
      <w:r>
        <w:instrText xml:space="preserve"> REF _Ref27042783 \h  \* MERGEFORMAT </w:instrText>
      </w:r>
      <w:r>
        <w:fldChar w:fldCharType="separate"/>
      </w:r>
      <w:r>
        <w:t>表4.2</w:t>
      </w:r>
      <w:r>
        <w:noBreakHyphen/>
      </w:r>
      <w:r>
        <w:t>7</w:t>
      </w:r>
      <w:r>
        <w:fldChar w:fldCharType="end"/>
      </w:r>
      <w:r>
        <w:t>。</w:t>
      </w:r>
    </w:p>
    <w:p>
      <w:pPr>
        <w:spacing w:line="240" w:lineRule="auto"/>
        <w:ind w:firstLine="0" w:firstLineChars="0"/>
        <w:jc w:val="center"/>
        <w:rPr>
          <w:b/>
          <w:sz w:val="21"/>
          <w:szCs w:val="24"/>
        </w:rPr>
      </w:pPr>
      <w:bookmarkStart w:id="117" w:name="_Ref27042783"/>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4.2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7</w:t>
      </w:r>
      <w:r>
        <w:rPr>
          <w:b/>
          <w:sz w:val="21"/>
          <w:szCs w:val="24"/>
        </w:rPr>
        <w:fldChar w:fldCharType="end"/>
      </w:r>
      <w:bookmarkEnd w:id="117"/>
      <w:r>
        <w:rPr>
          <w:b/>
          <w:sz w:val="21"/>
          <w:szCs w:val="24"/>
        </w:rPr>
        <w:t>地</w:t>
      </w:r>
      <w:r>
        <w:rPr>
          <w:rFonts w:hint="eastAsia"/>
          <w:b/>
          <w:sz w:val="21"/>
          <w:szCs w:val="24"/>
        </w:rPr>
        <w:t>表</w:t>
      </w:r>
      <w:r>
        <w:rPr>
          <w:b/>
          <w:sz w:val="21"/>
          <w:szCs w:val="24"/>
        </w:rPr>
        <w:t>水质量现状监测及评价结果</w:t>
      </w:r>
      <w:r>
        <w:rPr>
          <w:rFonts w:hint="eastAsia"/>
          <w:b/>
          <w:sz w:val="21"/>
          <w:szCs w:val="24"/>
        </w:rPr>
        <w:t xml:space="preserve"> </w:t>
      </w:r>
      <w:r>
        <w:rPr>
          <w:b/>
          <w:bCs/>
          <w:sz w:val="21"/>
          <w:szCs w:val="24"/>
        </w:rPr>
        <w:t>单位：mg/L，pH无量纲</w:t>
      </w:r>
    </w:p>
    <w:tbl>
      <w:tblPr>
        <w:tblStyle w:val="27"/>
        <w:tblW w:w="8276" w:type="dxa"/>
        <w:jc w:val="center"/>
        <w:tblInd w:w="0" w:type="dxa"/>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25"/>
        <w:gridCol w:w="1375"/>
        <w:gridCol w:w="1516"/>
        <w:gridCol w:w="1101"/>
        <w:gridCol w:w="1240"/>
        <w:gridCol w:w="1043"/>
        <w:gridCol w:w="657"/>
      </w:tblGrid>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jc w:val="center"/>
        </w:trPr>
        <w:tc>
          <w:tcPr>
            <w:tcW w:w="419"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w:t>
            </w:r>
          </w:p>
          <w:p>
            <w:pPr>
              <w:autoSpaceDE w:val="0"/>
              <w:autoSpaceDN w:val="0"/>
              <w:snapToGrid/>
              <w:spacing w:line="240" w:lineRule="auto"/>
              <w:ind w:firstLine="0" w:firstLineChars="0"/>
              <w:jc w:val="center"/>
              <w:textAlignment w:val="bottom"/>
              <w:rPr>
                <w:kern w:val="0"/>
                <w:sz w:val="21"/>
                <w:szCs w:val="20"/>
              </w:rPr>
            </w:pPr>
            <w:r>
              <w:rPr>
                <w:kern w:val="0"/>
                <w:sz w:val="21"/>
                <w:szCs w:val="20"/>
              </w:rPr>
              <w:t>号</w:t>
            </w:r>
          </w:p>
        </w:tc>
        <w:tc>
          <w:tcPr>
            <w:tcW w:w="925"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监测</w:t>
            </w:r>
          </w:p>
          <w:p>
            <w:pPr>
              <w:autoSpaceDE w:val="0"/>
              <w:autoSpaceDN w:val="0"/>
              <w:snapToGrid/>
              <w:spacing w:line="240" w:lineRule="auto"/>
              <w:ind w:firstLine="0" w:firstLineChars="0"/>
              <w:jc w:val="center"/>
              <w:textAlignment w:val="bottom"/>
              <w:rPr>
                <w:kern w:val="0"/>
                <w:sz w:val="21"/>
                <w:szCs w:val="20"/>
              </w:rPr>
            </w:pPr>
            <w:r>
              <w:rPr>
                <w:kern w:val="0"/>
                <w:sz w:val="21"/>
                <w:szCs w:val="20"/>
              </w:rPr>
              <w:t>项目</w:t>
            </w:r>
          </w:p>
        </w:tc>
        <w:tc>
          <w:tcPr>
            <w:tcW w:w="2891" w:type="dxa"/>
            <w:gridSpan w:val="2"/>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监测结果（mg/L）</w:t>
            </w:r>
          </w:p>
        </w:tc>
        <w:tc>
          <w:tcPr>
            <w:tcW w:w="1101"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标准</w:t>
            </w:r>
          </w:p>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（mg/L）</w:t>
            </w:r>
          </w:p>
        </w:tc>
        <w:tc>
          <w:tcPr>
            <w:tcW w:w="2283" w:type="dxa"/>
            <w:gridSpan w:val="2"/>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单因子指数</w:t>
            </w:r>
          </w:p>
        </w:tc>
        <w:tc>
          <w:tcPr>
            <w:tcW w:w="65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达标情况</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Merge w:val="continue"/>
            <w:vAlign w:val="center"/>
          </w:tcPr>
          <w:p>
            <w:pPr>
              <w:autoSpaceDE w:val="0"/>
              <w:autoSpaceDN w:val="0"/>
              <w:adjustRightInd/>
              <w:snapToGrid/>
              <w:spacing w:line="240" w:lineRule="auto"/>
              <w:ind w:firstLine="0" w:firstLineChars="0"/>
              <w:jc w:val="center"/>
              <w:textAlignment w:val="bottom"/>
              <w:rPr>
                <w:kern w:val="0"/>
                <w:sz w:val="21"/>
                <w:szCs w:val="20"/>
              </w:rPr>
            </w:pPr>
          </w:p>
        </w:tc>
        <w:tc>
          <w:tcPr>
            <w:tcW w:w="925" w:type="dxa"/>
            <w:vMerge w:val="continue"/>
            <w:vAlign w:val="center"/>
          </w:tcPr>
          <w:p>
            <w:pPr>
              <w:autoSpaceDE w:val="0"/>
              <w:autoSpaceDN w:val="0"/>
              <w:spacing w:line="240" w:lineRule="auto"/>
              <w:ind w:firstLine="0" w:firstLineChars="0"/>
              <w:jc w:val="center"/>
              <w:rPr>
                <w:kern w:val="0"/>
                <w:sz w:val="21"/>
                <w:szCs w:val="21"/>
                <w:lang w:val="zh-CN"/>
              </w:rPr>
            </w:pP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1"/>
                <w:szCs w:val="20"/>
              </w:rPr>
              <w:t>1#</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1"/>
                <w:szCs w:val="20"/>
              </w:rPr>
              <w:t>2#</w:t>
            </w:r>
          </w:p>
        </w:tc>
        <w:tc>
          <w:tcPr>
            <w:tcW w:w="1101"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240"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1"/>
                <w:szCs w:val="20"/>
              </w:rPr>
              <w:t>1#</w:t>
            </w:r>
          </w:p>
        </w:tc>
        <w:tc>
          <w:tcPr>
            <w:tcW w:w="1043"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1"/>
                <w:szCs w:val="20"/>
              </w:rPr>
              <w:t>2#</w:t>
            </w:r>
          </w:p>
        </w:tc>
        <w:tc>
          <w:tcPr>
            <w:tcW w:w="65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pH</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8.34~8.51</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8.41~8.50</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6-</w:t>
            </w:r>
            <w:r>
              <w:rPr>
                <w:rFonts w:hint="eastAsia"/>
                <w:kern w:val="0"/>
                <w:sz w:val="21"/>
                <w:szCs w:val="20"/>
              </w:rPr>
              <w:t>9</w:t>
            </w:r>
          </w:p>
        </w:tc>
        <w:tc>
          <w:tcPr>
            <w:tcW w:w="124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w:t>
            </w:r>
            <w:r>
              <w:rPr>
                <w:rFonts w:hint="eastAsia"/>
                <w:kern w:val="0"/>
                <w:sz w:val="21"/>
                <w:szCs w:val="20"/>
              </w:rPr>
              <w:t>67</w:t>
            </w:r>
            <w:r>
              <w:rPr>
                <w:kern w:val="0"/>
                <w:sz w:val="21"/>
                <w:szCs w:val="20"/>
              </w:rPr>
              <w:t>~0.</w:t>
            </w:r>
            <w:r>
              <w:rPr>
                <w:rFonts w:hint="eastAsia"/>
                <w:kern w:val="0"/>
                <w:sz w:val="21"/>
                <w:szCs w:val="20"/>
              </w:rPr>
              <w:t>78</w:t>
            </w:r>
          </w:p>
        </w:tc>
        <w:tc>
          <w:tcPr>
            <w:tcW w:w="10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0.71</w:t>
            </w:r>
            <w:r>
              <w:rPr>
                <w:kern w:val="0"/>
                <w:sz w:val="21"/>
                <w:szCs w:val="20"/>
              </w:rPr>
              <w:t>~</w:t>
            </w:r>
            <w:r>
              <w:rPr>
                <w:rFonts w:hint="eastAsia"/>
                <w:kern w:val="0"/>
                <w:sz w:val="21"/>
                <w:szCs w:val="20"/>
              </w:rPr>
              <w:t>0.75</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化学需</w:t>
            </w:r>
          </w:p>
          <w:p>
            <w:pPr>
              <w:autoSpaceDE w:val="0"/>
              <w:autoSpaceDN w:val="0"/>
              <w:spacing w:line="240" w:lineRule="auto"/>
              <w:ind w:firstLine="0" w:firstLineChars="0"/>
              <w:jc w:val="center"/>
              <w:rPr>
                <w:kern w:val="0"/>
                <w:sz w:val="21"/>
                <w:szCs w:val="21"/>
                <w:lang w:val="zh-CN"/>
              </w:rPr>
            </w:pPr>
            <w:r>
              <w:rPr>
                <w:kern w:val="0"/>
                <w:sz w:val="21"/>
                <w:szCs w:val="21"/>
                <w:lang w:val="zh-CN"/>
              </w:rPr>
              <w:t>氧量</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4ND</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6</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r>
              <w:rPr>
                <w:rFonts w:hint="eastAsia"/>
                <w:kern w:val="0"/>
                <w:sz w:val="21"/>
                <w:szCs w:val="20"/>
              </w:rPr>
              <w:t>15</w:t>
            </w:r>
          </w:p>
        </w:tc>
        <w:tc>
          <w:tcPr>
            <w:tcW w:w="1240" w:type="dxa"/>
            <w:vAlign w:val="center"/>
          </w:tcPr>
          <w:p>
            <w:pPr>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w:t>
            </w:r>
          </w:p>
        </w:tc>
        <w:tc>
          <w:tcPr>
            <w:tcW w:w="1043" w:type="dxa"/>
            <w:vAlign w:val="center"/>
          </w:tcPr>
          <w:p>
            <w:pPr>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0.4</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石油类</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0.01ND</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0.01ND</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r>
              <w:rPr>
                <w:rFonts w:hint="eastAsia"/>
                <w:kern w:val="0"/>
                <w:sz w:val="21"/>
                <w:szCs w:val="20"/>
              </w:rPr>
              <w:t>0.05</w:t>
            </w:r>
          </w:p>
        </w:tc>
        <w:tc>
          <w:tcPr>
            <w:tcW w:w="1240"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w:t>
            </w:r>
          </w:p>
        </w:tc>
        <w:tc>
          <w:tcPr>
            <w:tcW w:w="1043"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氨氮</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0.048~0.063</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0.050~0.061</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r>
              <w:rPr>
                <w:rFonts w:hint="eastAsia"/>
                <w:kern w:val="0"/>
                <w:sz w:val="21"/>
                <w:szCs w:val="20"/>
              </w:rPr>
              <w:t>0.5</w:t>
            </w:r>
          </w:p>
        </w:tc>
        <w:tc>
          <w:tcPr>
            <w:tcW w:w="1240"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0.096</w:t>
            </w:r>
            <w:r>
              <w:rPr>
                <w:kern w:val="0"/>
                <w:sz w:val="21"/>
                <w:szCs w:val="20"/>
              </w:rPr>
              <w:t>~</w:t>
            </w:r>
            <w:r>
              <w:rPr>
                <w:rFonts w:hint="eastAsia"/>
                <w:kern w:val="0"/>
                <w:sz w:val="21"/>
                <w:szCs w:val="20"/>
              </w:rPr>
              <w:t>0.126</w:t>
            </w:r>
          </w:p>
        </w:tc>
        <w:tc>
          <w:tcPr>
            <w:tcW w:w="1043"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0.1</w:t>
            </w:r>
            <w:r>
              <w:rPr>
                <w:kern w:val="0"/>
                <w:sz w:val="21"/>
                <w:szCs w:val="20"/>
              </w:rPr>
              <w:t>~</w:t>
            </w:r>
            <w:r>
              <w:rPr>
                <w:rFonts w:hint="eastAsia"/>
                <w:kern w:val="0"/>
                <w:sz w:val="21"/>
                <w:szCs w:val="20"/>
              </w:rPr>
              <w:t>0.122</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硫化物</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0.005ND</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0.005ND</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w:t>
            </w:r>
            <w:r>
              <w:rPr>
                <w:rFonts w:hint="eastAsia"/>
                <w:kern w:val="0"/>
                <w:sz w:val="21"/>
                <w:szCs w:val="20"/>
              </w:rPr>
              <w:t>1</w:t>
            </w:r>
          </w:p>
        </w:tc>
        <w:tc>
          <w:tcPr>
            <w:tcW w:w="1240"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w:t>
            </w:r>
          </w:p>
        </w:tc>
        <w:tc>
          <w:tcPr>
            <w:tcW w:w="1043"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BOD</w:t>
            </w:r>
            <w:r>
              <w:rPr>
                <w:rFonts w:hint="eastAsia"/>
                <w:kern w:val="0"/>
                <w:sz w:val="21"/>
                <w:szCs w:val="21"/>
                <w:vertAlign w:val="subscript"/>
                <w:lang w:val="zh-CN"/>
              </w:rPr>
              <w:t>5</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1.1~1.2</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1.7~1.9</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r>
              <w:rPr>
                <w:rFonts w:hint="eastAsia"/>
                <w:kern w:val="0"/>
                <w:sz w:val="21"/>
                <w:szCs w:val="20"/>
              </w:rPr>
              <w:t>3</w:t>
            </w:r>
          </w:p>
        </w:tc>
        <w:tc>
          <w:tcPr>
            <w:tcW w:w="1240"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0.37</w:t>
            </w:r>
            <w:r>
              <w:rPr>
                <w:kern w:val="0"/>
                <w:sz w:val="21"/>
                <w:szCs w:val="20"/>
              </w:rPr>
              <w:t>~</w:t>
            </w:r>
            <w:r>
              <w:rPr>
                <w:rFonts w:hint="eastAsia"/>
                <w:kern w:val="0"/>
                <w:sz w:val="21"/>
                <w:szCs w:val="20"/>
              </w:rPr>
              <w:t>0.4</w:t>
            </w:r>
          </w:p>
        </w:tc>
        <w:tc>
          <w:tcPr>
            <w:tcW w:w="1043"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0.57</w:t>
            </w:r>
            <w:r>
              <w:rPr>
                <w:kern w:val="0"/>
                <w:sz w:val="21"/>
                <w:szCs w:val="20"/>
              </w:rPr>
              <w:t>~</w:t>
            </w:r>
            <w:r>
              <w:rPr>
                <w:rFonts w:hint="eastAsia"/>
                <w:kern w:val="0"/>
                <w:sz w:val="21"/>
                <w:szCs w:val="20"/>
              </w:rPr>
              <w:t>0.63</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粪大肠</w:t>
            </w:r>
          </w:p>
          <w:p>
            <w:pPr>
              <w:autoSpaceDE w:val="0"/>
              <w:autoSpaceDN w:val="0"/>
              <w:spacing w:line="240" w:lineRule="auto"/>
              <w:ind w:firstLine="0" w:firstLineChars="0"/>
              <w:jc w:val="center"/>
              <w:rPr>
                <w:kern w:val="0"/>
                <w:sz w:val="21"/>
                <w:szCs w:val="21"/>
                <w:lang w:val="zh-CN"/>
              </w:rPr>
            </w:pPr>
            <w:r>
              <w:rPr>
                <w:kern w:val="0"/>
                <w:sz w:val="21"/>
                <w:szCs w:val="21"/>
                <w:lang w:val="zh-CN"/>
              </w:rPr>
              <w:t>菌群</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20</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40</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r>
              <w:rPr>
                <w:rFonts w:hint="eastAsia"/>
                <w:kern w:val="0"/>
                <w:sz w:val="21"/>
                <w:szCs w:val="20"/>
              </w:rPr>
              <w:t>2000</w:t>
            </w:r>
          </w:p>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（L/个）</w:t>
            </w:r>
          </w:p>
        </w:tc>
        <w:tc>
          <w:tcPr>
            <w:tcW w:w="1240"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0.01</w:t>
            </w:r>
          </w:p>
        </w:tc>
        <w:tc>
          <w:tcPr>
            <w:tcW w:w="1043" w:type="dxa"/>
            <w:vAlign w:val="center"/>
          </w:tcPr>
          <w:p>
            <w:pPr>
              <w:autoSpaceDE w:val="0"/>
              <w:autoSpaceDN w:val="0"/>
              <w:spacing w:line="240" w:lineRule="auto"/>
              <w:ind w:firstLine="0" w:firstLineChars="0"/>
              <w:jc w:val="center"/>
              <w:textAlignment w:val="bottom"/>
              <w:rPr>
                <w:kern w:val="0"/>
                <w:sz w:val="21"/>
                <w:szCs w:val="20"/>
              </w:rPr>
            </w:pPr>
            <w:r>
              <w:rPr>
                <w:rFonts w:hint="eastAsia"/>
                <w:kern w:val="0"/>
                <w:sz w:val="21"/>
                <w:szCs w:val="20"/>
              </w:rPr>
              <w:t>0.02</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19"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92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挥发酚</w:t>
            </w:r>
          </w:p>
        </w:tc>
        <w:tc>
          <w:tcPr>
            <w:tcW w:w="137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0.0003ND</w:t>
            </w:r>
          </w:p>
        </w:tc>
        <w:tc>
          <w:tcPr>
            <w:tcW w:w="151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0.0003ND</w:t>
            </w:r>
          </w:p>
        </w:tc>
        <w:tc>
          <w:tcPr>
            <w:tcW w:w="11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w:t>
            </w:r>
            <w:r>
              <w:rPr>
                <w:rFonts w:hint="eastAsia"/>
                <w:kern w:val="0"/>
                <w:sz w:val="21"/>
                <w:szCs w:val="20"/>
              </w:rPr>
              <w:t>2</w:t>
            </w:r>
          </w:p>
        </w:tc>
        <w:tc>
          <w:tcPr>
            <w:tcW w:w="124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10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6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bl>
    <w:p>
      <w:pPr>
        <w:pStyle w:val="79"/>
        <w:ind w:firstLine="480"/>
      </w:pPr>
      <w:bookmarkStart w:id="118" w:name="_Toc488102169"/>
      <w:r>
        <w:rPr>
          <w:rFonts w:hint="eastAsia"/>
        </w:rPr>
        <w:t>由监测结果可知，项目所在地地表水水质各项监测因子均能满足</w:t>
      </w:r>
      <w:r>
        <w:t>《地</w:t>
      </w:r>
      <w:r>
        <w:rPr>
          <w:rFonts w:hint="eastAsia"/>
        </w:rPr>
        <w:t>表</w:t>
      </w:r>
      <w:r>
        <w:t>水质量标准》</w:t>
      </w:r>
      <w:r>
        <w:rPr>
          <w:rFonts w:hint="eastAsia"/>
        </w:rPr>
        <w:t>（</w:t>
      </w:r>
      <w:r>
        <w:rPr>
          <w:bCs/>
        </w:rPr>
        <w:t>GB</w:t>
      </w:r>
      <w:r>
        <w:rPr>
          <w:rFonts w:hint="eastAsia"/>
          <w:bCs/>
        </w:rPr>
        <w:t>3838</w:t>
      </w:r>
      <w:r>
        <w:rPr>
          <w:bCs/>
        </w:rPr>
        <w:t>-20</w:t>
      </w:r>
      <w:r>
        <w:rPr>
          <w:rFonts w:hint="eastAsia"/>
          <w:bCs/>
        </w:rPr>
        <w:t>02</w:t>
      </w:r>
      <w:r>
        <w:rPr>
          <w:rFonts w:hint="eastAsia"/>
        </w:rPr>
        <w:t>）</w:t>
      </w:r>
      <w:r>
        <w:t>中</w:t>
      </w:r>
      <w:r>
        <w:rPr>
          <w:rFonts w:hint="eastAsia"/>
        </w:rPr>
        <w:t>II</w:t>
      </w:r>
      <w:r>
        <w:t>类标准</w:t>
      </w:r>
      <w:r>
        <w:rPr>
          <w:rFonts w:hint="eastAsia"/>
        </w:rPr>
        <w:t>。</w:t>
      </w:r>
    </w:p>
    <w:p>
      <w:pPr>
        <w:pStyle w:val="4"/>
      </w:pPr>
      <w:r>
        <w:rPr>
          <w:rFonts w:hint="eastAsia"/>
        </w:rPr>
        <w:t>声环境质量现状与评价</w:t>
      </w:r>
      <w:bookmarkEnd w:id="118"/>
    </w:p>
    <w:p>
      <w:pPr>
        <w:ind w:firstLine="480"/>
        <w:rPr>
          <w:highlight w:val="yellow"/>
        </w:rPr>
      </w:pPr>
      <w:r>
        <w:t>本次声环境质量现状监测委托</w:t>
      </w:r>
      <w:r>
        <w:rPr>
          <w:kern w:val="0"/>
          <w:szCs w:val="24"/>
          <w:lang w:val="zh-CN"/>
        </w:rPr>
        <w:t>陕西华准通检测技术有限公司</w:t>
      </w:r>
      <w:r>
        <w:t>进行监测，监测报告见附件</w:t>
      </w:r>
      <w:r>
        <w:rPr>
          <w:rFonts w:hint="eastAsia"/>
        </w:rPr>
        <w:t>（报告编号</w:t>
      </w:r>
      <w:r>
        <w:t>HZT20113001-ZH</w:t>
      </w:r>
      <w:r>
        <w:rPr>
          <w:rFonts w:hint="eastAsia"/>
        </w:rPr>
        <w:t>）。</w:t>
      </w:r>
    </w:p>
    <w:p>
      <w:pPr>
        <w:pStyle w:val="5"/>
      </w:pPr>
      <w:r>
        <w:rPr>
          <w:rFonts w:hint="eastAsia"/>
        </w:rPr>
        <w:t>监测</w:t>
      </w:r>
      <w:r>
        <w:t>点位</w:t>
      </w:r>
    </w:p>
    <w:p>
      <w:pPr>
        <w:ind w:firstLine="480"/>
      </w:pPr>
      <w:r>
        <w:rPr>
          <w:rFonts w:hint="eastAsia"/>
        </w:rPr>
        <w:t>本项目周围</w:t>
      </w:r>
      <w:r>
        <w:t>无噪声敏感点，无</w:t>
      </w:r>
      <w:r>
        <w:rPr>
          <w:rFonts w:hint="eastAsia"/>
        </w:rPr>
        <w:t>高噪声</w:t>
      </w:r>
      <w:r>
        <w:t>工业企业，本次现状监测在</w:t>
      </w:r>
      <w:r>
        <w:rPr>
          <w:rFonts w:hint="eastAsia"/>
        </w:rPr>
        <w:t>项目厂界四周各设1个监测点位，监测点位图见图4.2-1。</w:t>
      </w:r>
    </w:p>
    <w:p>
      <w:pPr>
        <w:pStyle w:val="5"/>
      </w:pPr>
      <w:r>
        <w:t>监测时间</w:t>
      </w:r>
      <w:r>
        <w:rPr>
          <w:rFonts w:hint="eastAsia"/>
        </w:rPr>
        <w:t>和</w:t>
      </w:r>
      <w:r>
        <w:t>频次</w:t>
      </w:r>
    </w:p>
    <w:p>
      <w:pPr>
        <w:ind w:firstLine="480"/>
      </w:pPr>
      <w:r>
        <w:t>2020年</w:t>
      </w:r>
      <w:r>
        <w:rPr>
          <w:rFonts w:hint="eastAsia"/>
        </w:rPr>
        <w:t>11</w:t>
      </w:r>
      <w:r>
        <w:t>月</w:t>
      </w:r>
      <w:r>
        <w:rPr>
          <w:rFonts w:hint="eastAsia"/>
        </w:rPr>
        <w:t>11</w:t>
      </w:r>
      <w:r>
        <w:t>日~</w:t>
      </w:r>
      <w:r>
        <w:rPr>
          <w:rFonts w:hint="eastAsia"/>
        </w:rPr>
        <w:t>11</w:t>
      </w:r>
      <w:r>
        <w:t>月</w:t>
      </w:r>
      <w:r>
        <w:rPr>
          <w:rFonts w:hint="eastAsia"/>
        </w:rPr>
        <w:t>12</w:t>
      </w:r>
      <w:r>
        <w:t>日连续监测2天，昼夜各一次。</w:t>
      </w:r>
    </w:p>
    <w:p>
      <w:pPr>
        <w:pStyle w:val="5"/>
      </w:pPr>
      <w:r>
        <w:t>测量</w:t>
      </w:r>
      <w:r>
        <w:rPr>
          <w:rFonts w:hint="eastAsia"/>
        </w:rPr>
        <w:t>因子</w:t>
      </w:r>
      <w:r>
        <w:t>和监测方法</w:t>
      </w:r>
    </w:p>
    <w:p>
      <w:pPr>
        <w:ind w:firstLine="480"/>
      </w:pPr>
      <w:r>
        <w:t>监测</w:t>
      </w:r>
      <w:r>
        <w:rPr>
          <w:rFonts w:hint="eastAsia"/>
        </w:rPr>
        <w:t>因子</w:t>
      </w:r>
      <w:r>
        <w:t>为每个监测点的等效连续A声级（Leq）。</w:t>
      </w:r>
    </w:p>
    <w:p>
      <w:pPr>
        <w:ind w:firstLine="480"/>
      </w:pPr>
      <w:r>
        <w:t>采用《声环境质量标准》（GB3096-2008）中所规定有关监测方法，测量仪器采用多功能声级计</w:t>
      </w:r>
      <w:r>
        <w:rPr>
          <w:lang w:val="zh-CN"/>
        </w:rPr>
        <w:t>AWA6228+</w:t>
      </w:r>
      <w:r>
        <w:rPr>
          <w:rFonts w:hint="eastAsia"/>
          <w:lang w:val="zh-CN"/>
        </w:rPr>
        <w:t>及</w:t>
      </w:r>
      <w:r>
        <w:t>声级校准器AWA6021A。</w:t>
      </w:r>
    </w:p>
    <w:p>
      <w:pPr>
        <w:pStyle w:val="5"/>
      </w:pPr>
      <w:r>
        <w:rPr>
          <w:rFonts w:hint="eastAsia"/>
        </w:rPr>
        <w:t>评价</w:t>
      </w:r>
      <w:r>
        <w:t>标准</w:t>
      </w:r>
    </w:p>
    <w:p>
      <w:pPr>
        <w:tabs>
          <w:tab w:val="left" w:pos="3960"/>
        </w:tabs>
        <w:ind w:firstLine="480"/>
      </w:pPr>
      <w:r>
        <w:t>本项目位于</w:t>
      </w:r>
      <w:r>
        <w:rPr>
          <w:rFonts w:hint="eastAsia"/>
        </w:rPr>
        <w:t>旬阳市关口镇关坪</w:t>
      </w:r>
      <w:r>
        <w:t>村，应执行《声环境质量标准》（GB3096-2008）中的2类标准，即昼间60dB</w:t>
      </w:r>
      <w:r>
        <w:rPr>
          <w:rFonts w:hint="eastAsia"/>
        </w:rPr>
        <w:t>（</w:t>
      </w:r>
      <w:r>
        <w:t>A</w:t>
      </w:r>
      <w:r>
        <w:rPr>
          <w:rFonts w:hint="eastAsia"/>
        </w:rPr>
        <w:t>）</w:t>
      </w:r>
      <w:r>
        <w:t>，夜间</w:t>
      </w:r>
      <w:r>
        <w:rPr>
          <w:rFonts w:hint="eastAsia"/>
        </w:rPr>
        <w:t>50</w:t>
      </w:r>
      <w:r>
        <w:t>dB</w:t>
      </w:r>
      <w:r>
        <w:rPr>
          <w:rFonts w:hint="eastAsia"/>
        </w:rPr>
        <w:t>（</w:t>
      </w:r>
      <w:r>
        <w:t>A</w:t>
      </w:r>
      <w:r>
        <w:rPr>
          <w:rFonts w:hint="eastAsia"/>
        </w:rPr>
        <w:t>）</w:t>
      </w:r>
      <w:r>
        <w:t>。</w:t>
      </w:r>
    </w:p>
    <w:p>
      <w:pPr>
        <w:pStyle w:val="5"/>
      </w:pPr>
      <w:r>
        <w:t>现状监测结果</w:t>
      </w:r>
    </w:p>
    <w:p>
      <w:pPr>
        <w:ind w:firstLine="480"/>
      </w:pPr>
      <w:r>
        <w:t>噪声监测结果见</w:t>
      </w:r>
      <w:r>
        <w:rPr>
          <w:rFonts w:hint="eastAsia"/>
        </w:rPr>
        <w:t>表4.2-8</w:t>
      </w:r>
      <w:r>
        <w:t>。</w:t>
      </w:r>
    </w:p>
    <w:p>
      <w:pPr>
        <w:pStyle w:val="85"/>
        <w:rPr>
          <w:rFonts w:hAnsi="Times New Roman"/>
        </w:rPr>
      </w:pPr>
      <w:bookmarkStart w:id="119" w:name="_Ref26777771"/>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8</w:t>
      </w:r>
      <w:r>
        <w:rPr>
          <w:rFonts w:hAnsi="Times New Roman"/>
        </w:rPr>
        <w:fldChar w:fldCharType="end"/>
      </w:r>
      <w:bookmarkEnd w:id="119"/>
      <w:r>
        <w:rPr>
          <w:rFonts w:hAnsi="Times New Roman"/>
        </w:rPr>
        <w:t>厂界环境噪声监测结果</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019"/>
        <w:gridCol w:w="1419"/>
        <w:gridCol w:w="1276"/>
        <w:gridCol w:w="1366"/>
        <w:gridCol w:w="1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41" w:type="dxa"/>
            <w:vMerge w:val="restart"/>
            <w:vAlign w:val="center"/>
          </w:tcPr>
          <w:p>
            <w:pPr>
              <w:pStyle w:val="84"/>
              <w:rPr>
                <w:szCs w:val="21"/>
              </w:rPr>
            </w:pPr>
            <w:r>
              <w:rPr>
                <w:szCs w:val="21"/>
              </w:rPr>
              <w:t>编号</w:t>
            </w:r>
          </w:p>
        </w:tc>
        <w:tc>
          <w:tcPr>
            <w:tcW w:w="2019" w:type="dxa"/>
            <w:vMerge w:val="restart"/>
            <w:vAlign w:val="center"/>
          </w:tcPr>
          <w:p>
            <w:pPr>
              <w:pStyle w:val="84"/>
              <w:rPr>
                <w:szCs w:val="21"/>
              </w:rPr>
            </w:pPr>
            <w:r>
              <w:rPr>
                <w:szCs w:val="21"/>
              </w:rPr>
              <w:t>监测点位</w:t>
            </w:r>
          </w:p>
        </w:tc>
        <w:tc>
          <w:tcPr>
            <w:tcW w:w="5316" w:type="dxa"/>
            <w:gridSpan w:val="4"/>
            <w:vAlign w:val="center"/>
          </w:tcPr>
          <w:p>
            <w:pPr>
              <w:pStyle w:val="84"/>
              <w:rPr>
                <w:szCs w:val="21"/>
              </w:rPr>
            </w:pPr>
            <w:r>
              <w:rPr>
                <w:szCs w:val="21"/>
              </w:rPr>
              <w:t>监测结果L</w:t>
            </w:r>
            <w:r>
              <w:rPr>
                <w:szCs w:val="21"/>
                <w:vertAlign w:val="subscript"/>
              </w:rPr>
              <w:t xml:space="preserve">Aeq </w:t>
            </w:r>
            <w:r>
              <w:rPr>
                <w:szCs w:val="21"/>
              </w:rPr>
              <w:t xml:space="preserve">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41" w:type="dxa"/>
            <w:vMerge w:val="continue"/>
            <w:vAlign w:val="center"/>
          </w:tcPr>
          <w:p>
            <w:pPr>
              <w:pStyle w:val="84"/>
              <w:rPr>
                <w:szCs w:val="21"/>
              </w:rPr>
            </w:pPr>
          </w:p>
        </w:tc>
        <w:tc>
          <w:tcPr>
            <w:tcW w:w="2019" w:type="dxa"/>
            <w:vMerge w:val="continue"/>
            <w:vAlign w:val="center"/>
          </w:tcPr>
          <w:p>
            <w:pPr>
              <w:pStyle w:val="84"/>
              <w:rPr>
                <w:szCs w:val="21"/>
              </w:rPr>
            </w:pPr>
          </w:p>
        </w:tc>
        <w:tc>
          <w:tcPr>
            <w:tcW w:w="2695" w:type="dxa"/>
            <w:gridSpan w:val="2"/>
            <w:vAlign w:val="center"/>
          </w:tcPr>
          <w:p>
            <w:pPr>
              <w:pStyle w:val="84"/>
              <w:rPr>
                <w:szCs w:val="21"/>
              </w:rPr>
            </w:pPr>
            <w:r>
              <w:rPr>
                <w:rFonts w:hint="eastAsia"/>
                <w:szCs w:val="21"/>
              </w:rPr>
              <w:t>11</w:t>
            </w:r>
            <w:r>
              <w:rPr>
                <w:szCs w:val="21"/>
              </w:rPr>
              <w:t>月11日</w:t>
            </w:r>
          </w:p>
        </w:tc>
        <w:tc>
          <w:tcPr>
            <w:tcW w:w="2621" w:type="dxa"/>
            <w:gridSpan w:val="2"/>
            <w:vAlign w:val="center"/>
          </w:tcPr>
          <w:p>
            <w:pPr>
              <w:pStyle w:val="84"/>
              <w:rPr>
                <w:szCs w:val="21"/>
              </w:rPr>
            </w:pPr>
            <w:r>
              <w:rPr>
                <w:szCs w:val="21"/>
              </w:rPr>
              <w:t>1</w:t>
            </w:r>
            <w:r>
              <w:rPr>
                <w:rFonts w:hint="eastAsia"/>
                <w:szCs w:val="21"/>
              </w:rPr>
              <w:t>1</w:t>
            </w:r>
            <w:r>
              <w:rPr>
                <w:szCs w:val="21"/>
              </w:rPr>
              <w:t>月12日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41" w:type="dxa"/>
            <w:vMerge w:val="continue"/>
            <w:vAlign w:val="center"/>
          </w:tcPr>
          <w:p>
            <w:pPr>
              <w:pStyle w:val="84"/>
              <w:rPr>
                <w:szCs w:val="21"/>
              </w:rPr>
            </w:pPr>
          </w:p>
        </w:tc>
        <w:tc>
          <w:tcPr>
            <w:tcW w:w="2019" w:type="dxa"/>
            <w:vMerge w:val="continue"/>
            <w:vAlign w:val="center"/>
          </w:tcPr>
          <w:p>
            <w:pPr>
              <w:pStyle w:val="84"/>
              <w:rPr>
                <w:szCs w:val="21"/>
              </w:rPr>
            </w:pPr>
          </w:p>
        </w:tc>
        <w:tc>
          <w:tcPr>
            <w:tcW w:w="1419" w:type="dxa"/>
            <w:vAlign w:val="center"/>
          </w:tcPr>
          <w:p>
            <w:pPr>
              <w:pStyle w:val="84"/>
              <w:rPr>
                <w:szCs w:val="21"/>
              </w:rPr>
            </w:pPr>
            <w:r>
              <w:rPr>
                <w:szCs w:val="21"/>
              </w:rPr>
              <w:t>昼间（L</w:t>
            </w:r>
            <w:r>
              <w:rPr>
                <w:szCs w:val="21"/>
                <w:vertAlign w:val="subscript"/>
              </w:rPr>
              <w:t>d</w:t>
            </w:r>
            <w:r>
              <w:rPr>
                <w:szCs w:val="21"/>
              </w:rPr>
              <w:t>）</w:t>
            </w:r>
          </w:p>
        </w:tc>
        <w:tc>
          <w:tcPr>
            <w:tcW w:w="1276" w:type="dxa"/>
            <w:vAlign w:val="center"/>
          </w:tcPr>
          <w:p>
            <w:pPr>
              <w:pStyle w:val="84"/>
              <w:rPr>
                <w:szCs w:val="21"/>
              </w:rPr>
            </w:pPr>
            <w:r>
              <w:rPr>
                <w:szCs w:val="21"/>
              </w:rPr>
              <w:t>夜间（L</w:t>
            </w:r>
            <w:r>
              <w:rPr>
                <w:szCs w:val="21"/>
                <w:vertAlign w:val="subscript"/>
              </w:rPr>
              <w:t>n</w:t>
            </w:r>
            <w:r>
              <w:rPr>
                <w:szCs w:val="21"/>
              </w:rPr>
              <w:t>）</w:t>
            </w:r>
          </w:p>
        </w:tc>
        <w:tc>
          <w:tcPr>
            <w:tcW w:w="1366" w:type="dxa"/>
            <w:vAlign w:val="center"/>
          </w:tcPr>
          <w:p>
            <w:pPr>
              <w:pStyle w:val="84"/>
              <w:rPr>
                <w:szCs w:val="21"/>
              </w:rPr>
            </w:pPr>
            <w:r>
              <w:rPr>
                <w:szCs w:val="21"/>
              </w:rPr>
              <w:t>昼间（L</w:t>
            </w:r>
            <w:r>
              <w:rPr>
                <w:szCs w:val="21"/>
                <w:vertAlign w:val="subscript"/>
              </w:rPr>
              <w:t>d</w:t>
            </w:r>
            <w:r>
              <w:rPr>
                <w:szCs w:val="21"/>
              </w:rPr>
              <w:t>）</w:t>
            </w:r>
          </w:p>
        </w:tc>
        <w:tc>
          <w:tcPr>
            <w:tcW w:w="1255" w:type="dxa"/>
            <w:vAlign w:val="center"/>
          </w:tcPr>
          <w:p>
            <w:pPr>
              <w:pStyle w:val="84"/>
              <w:rPr>
                <w:szCs w:val="21"/>
              </w:rPr>
            </w:pPr>
            <w:r>
              <w:rPr>
                <w:szCs w:val="21"/>
              </w:rPr>
              <w:t>夜间（L</w:t>
            </w:r>
            <w:r>
              <w:rPr>
                <w:szCs w:val="21"/>
                <w:vertAlign w:val="subscript"/>
              </w:rPr>
              <w:t>n</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1" w:type="dxa"/>
            <w:vAlign w:val="center"/>
          </w:tcPr>
          <w:p>
            <w:pPr>
              <w:pStyle w:val="84"/>
              <w:rPr>
                <w:szCs w:val="21"/>
              </w:rPr>
            </w:pPr>
            <w:r>
              <w:rPr>
                <w:szCs w:val="21"/>
              </w:rPr>
              <w:t>1#</w:t>
            </w:r>
          </w:p>
        </w:tc>
        <w:tc>
          <w:tcPr>
            <w:tcW w:w="2019" w:type="dxa"/>
            <w:vAlign w:val="center"/>
          </w:tcPr>
          <w:p>
            <w:pPr>
              <w:pStyle w:val="84"/>
              <w:rPr>
                <w:szCs w:val="21"/>
              </w:rPr>
            </w:pPr>
            <w:r>
              <w:rPr>
                <w:szCs w:val="21"/>
              </w:rPr>
              <w:t>东侧厂界</w:t>
            </w:r>
          </w:p>
        </w:tc>
        <w:tc>
          <w:tcPr>
            <w:tcW w:w="1419"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50</w:t>
            </w:r>
          </w:p>
        </w:tc>
        <w:tc>
          <w:tcPr>
            <w:tcW w:w="127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40</w:t>
            </w:r>
          </w:p>
        </w:tc>
        <w:tc>
          <w:tcPr>
            <w:tcW w:w="136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49</w:t>
            </w:r>
          </w:p>
        </w:tc>
        <w:tc>
          <w:tcPr>
            <w:tcW w:w="125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1" w:type="dxa"/>
            <w:vAlign w:val="center"/>
          </w:tcPr>
          <w:p>
            <w:pPr>
              <w:pStyle w:val="84"/>
              <w:rPr>
                <w:szCs w:val="21"/>
              </w:rPr>
            </w:pPr>
            <w:r>
              <w:rPr>
                <w:szCs w:val="21"/>
              </w:rPr>
              <w:t>2#</w:t>
            </w:r>
          </w:p>
        </w:tc>
        <w:tc>
          <w:tcPr>
            <w:tcW w:w="2019" w:type="dxa"/>
            <w:vAlign w:val="center"/>
          </w:tcPr>
          <w:p>
            <w:pPr>
              <w:pStyle w:val="84"/>
              <w:rPr>
                <w:szCs w:val="21"/>
              </w:rPr>
            </w:pPr>
            <w:r>
              <w:rPr>
                <w:szCs w:val="21"/>
              </w:rPr>
              <w:t>南侧厂界</w:t>
            </w:r>
          </w:p>
        </w:tc>
        <w:tc>
          <w:tcPr>
            <w:tcW w:w="1419"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49</w:t>
            </w:r>
          </w:p>
        </w:tc>
        <w:tc>
          <w:tcPr>
            <w:tcW w:w="127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41</w:t>
            </w:r>
          </w:p>
        </w:tc>
        <w:tc>
          <w:tcPr>
            <w:tcW w:w="136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48</w:t>
            </w:r>
          </w:p>
        </w:tc>
        <w:tc>
          <w:tcPr>
            <w:tcW w:w="125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1" w:type="dxa"/>
            <w:vAlign w:val="center"/>
          </w:tcPr>
          <w:p>
            <w:pPr>
              <w:pStyle w:val="84"/>
              <w:rPr>
                <w:szCs w:val="21"/>
              </w:rPr>
            </w:pPr>
            <w:r>
              <w:rPr>
                <w:szCs w:val="21"/>
              </w:rPr>
              <w:t>3#</w:t>
            </w:r>
          </w:p>
        </w:tc>
        <w:tc>
          <w:tcPr>
            <w:tcW w:w="2019" w:type="dxa"/>
            <w:vAlign w:val="center"/>
          </w:tcPr>
          <w:p>
            <w:pPr>
              <w:pStyle w:val="84"/>
              <w:rPr>
                <w:szCs w:val="21"/>
              </w:rPr>
            </w:pPr>
            <w:r>
              <w:rPr>
                <w:szCs w:val="21"/>
              </w:rPr>
              <w:t>西侧厂界</w:t>
            </w:r>
          </w:p>
        </w:tc>
        <w:tc>
          <w:tcPr>
            <w:tcW w:w="1419"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50</w:t>
            </w:r>
          </w:p>
        </w:tc>
        <w:tc>
          <w:tcPr>
            <w:tcW w:w="127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41</w:t>
            </w:r>
          </w:p>
        </w:tc>
        <w:tc>
          <w:tcPr>
            <w:tcW w:w="136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50</w:t>
            </w:r>
          </w:p>
        </w:tc>
        <w:tc>
          <w:tcPr>
            <w:tcW w:w="125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1" w:type="dxa"/>
            <w:vAlign w:val="center"/>
          </w:tcPr>
          <w:p>
            <w:pPr>
              <w:pStyle w:val="84"/>
              <w:rPr>
                <w:szCs w:val="21"/>
              </w:rPr>
            </w:pPr>
            <w:r>
              <w:rPr>
                <w:szCs w:val="21"/>
              </w:rPr>
              <w:t>4#</w:t>
            </w:r>
          </w:p>
        </w:tc>
        <w:tc>
          <w:tcPr>
            <w:tcW w:w="2019" w:type="dxa"/>
            <w:vAlign w:val="center"/>
          </w:tcPr>
          <w:p>
            <w:pPr>
              <w:pStyle w:val="84"/>
              <w:rPr>
                <w:szCs w:val="21"/>
              </w:rPr>
            </w:pPr>
            <w:r>
              <w:rPr>
                <w:szCs w:val="21"/>
              </w:rPr>
              <w:t>北侧厂界</w:t>
            </w:r>
          </w:p>
        </w:tc>
        <w:tc>
          <w:tcPr>
            <w:tcW w:w="1419"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48</w:t>
            </w:r>
          </w:p>
        </w:tc>
        <w:tc>
          <w:tcPr>
            <w:tcW w:w="127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39</w:t>
            </w:r>
          </w:p>
        </w:tc>
        <w:tc>
          <w:tcPr>
            <w:tcW w:w="1366"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48</w:t>
            </w:r>
          </w:p>
        </w:tc>
        <w:tc>
          <w:tcPr>
            <w:tcW w:w="1255"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39</w:t>
            </w:r>
          </w:p>
        </w:tc>
      </w:tr>
    </w:tbl>
    <w:p>
      <w:pPr>
        <w:ind w:firstLine="480"/>
      </w:pPr>
      <w:r>
        <w:t>由表4.2-8可见，项目所在区域声环境现状良好，厂界四周昼间、夜间监测值均满足《声环境质量标准》中2类标准要求，周围声环境质量较好。</w:t>
      </w:r>
    </w:p>
    <w:p>
      <w:pPr>
        <w:pStyle w:val="4"/>
      </w:pPr>
      <w:r>
        <w:rPr>
          <w:rFonts w:hint="eastAsia"/>
        </w:rPr>
        <w:t>地下</w:t>
      </w:r>
      <w:r>
        <w:t>水质量现状</w:t>
      </w:r>
    </w:p>
    <w:p>
      <w:pPr>
        <w:ind w:firstLine="480"/>
      </w:pPr>
      <w:r>
        <w:rPr>
          <w:rFonts w:hint="eastAsia"/>
        </w:rPr>
        <w:t>本次地下水质量现状监测委托陕西华准通检测技术有限公司于2022年7月1日</w:t>
      </w:r>
      <w:r>
        <w:t>到</w:t>
      </w:r>
      <w:r>
        <w:rPr>
          <w:rFonts w:hint="eastAsia"/>
        </w:rPr>
        <w:t>7月3日</w:t>
      </w:r>
      <w:r>
        <w:t>对</w:t>
      </w:r>
      <w:r>
        <w:rPr>
          <w:rFonts w:hint="eastAsia"/>
        </w:rPr>
        <w:t>项目</w:t>
      </w:r>
      <w:r>
        <w:t>所在地</w:t>
      </w:r>
      <w:r>
        <w:rPr>
          <w:rFonts w:hint="eastAsia"/>
        </w:rPr>
        <w:t>地下水进行监测，监测报告见附件。</w:t>
      </w:r>
    </w:p>
    <w:p>
      <w:pPr>
        <w:pStyle w:val="5"/>
      </w:pPr>
      <w:r>
        <w:rPr>
          <w:rFonts w:hint="eastAsia"/>
        </w:rPr>
        <w:t>监测</w:t>
      </w:r>
      <w:r>
        <w:t>点位</w:t>
      </w:r>
    </w:p>
    <w:p>
      <w:pPr>
        <w:ind w:firstLine="480"/>
      </w:pPr>
      <w:r>
        <w:rPr>
          <w:rFonts w:hint="eastAsia"/>
        </w:rPr>
        <w:t>项目</w:t>
      </w:r>
      <w:r>
        <w:t>周边无地下水</w:t>
      </w:r>
      <w:r>
        <w:rPr>
          <w:rFonts w:hint="eastAsia"/>
        </w:rPr>
        <w:t>饮用</w:t>
      </w:r>
      <w:r>
        <w:t>水井，</w:t>
      </w:r>
      <w:r>
        <w:rPr>
          <w:rFonts w:hint="eastAsia"/>
        </w:rPr>
        <w:t>周围</w:t>
      </w:r>
      <w:r>
        <w:t>村民饮水均</w:t>
      </w:r>
      <w:r>
        <w:rPr>
          <w:rFonts w:hint="eastAsia"/>
        </w:rPr>
        <w:t>来自</w:t>
      </w:r>
      <w:r>
        <w:t>附近山内引出的山泉水，</w:t>
      </w:r>
      <w:r>
        <w:rPr>
          <w:rFonts w:hint="eastAsia"/>
        </w:rPr>
        <w:t>本次</w:t>
      </w:r>
      <w:r>
        <w:t>地下</w:t>
      </w:r>
      <w:r>
        <w:rPr>
          <w:rFonts w:hint="eastAsia"/>
        </w:rPr>
        <w:t>水</w:t>
      </w:r>
      <w:r>
        <w:t>监测</w:t>
      </w:r>
      <w:r>
        <w:rPr>
          <w:rFonts w:hint="eastAsia"/>
        </w:rPr>
        <w:t>对</w:t>
      </w:r>
      <w:r>
        <w:t>各村的山泉水</w:t>
      </w:r>
      <w:r>
        <w:rPr>
          <w:rFonts w:hint="eastAsia"/>
        </w:rPr>
        <w:t>的存储</w:t>
      </w:r>
      <w:r>
        <w:t>水塔进行监测，共</w:t>
      </w:r>
      <w:r>
        <w:rPr>
          <w:rFonts w:hint="eastAsia"/>
        </w:rPr>
        <w:t>布设6个</w:t>
      </w:r>
      <w:r>
        <w:t>监测点位（</w:t>
      </w:r>
      <w:r>
        <w:rPr>
          <w:rFonts w:hint="eastAsia"/>
        </w:rPr>
        <w:t>3个水位点</w:t>
      </w:r>
      <w:r>
        <w:t>，</w:t>
      </w:r>
      <w:r>
        <w:rPr>
          <w:rFonts w:hint="eastAsia"/>
        </w:rPr>
        <w:t>3个</w:t>
      </w:r>
      <w:r>
        <w:t>水质点）</w:t>
      </w:r>
      <w:r>
        <w:rPr>
          <w:rFonts w:hint="eastAsia"/>
        </w:rPr>
        <w:t>，地下水</w:t>
      </w:r>
      <w:r>
        <w:t>监测点位</w:t>
      </w:r>
      <w:r>
        <w:rPr>
          <w:rFonts w:hint="eastAsia"/>
        </w:rPr>
        <w:t>见</w:t>
      </w:r>
      <w:r>
        <w:t>表</w:t>
      </w:r>
      <w:r>
        <w:rPr>
          <w:rFonts w:hint="eastAsia"/>
        </w:rPr>
        <w:t>4.2</w:t>
      </w:r>
      <w:r>
        <w:t>-9</w:t>
      </w:r>
      <w:r>
        <w:rPr>
          <w:rFonts w:hint="eastAsia"/>
        </w:rPr>
        <w:t>，</w:t>
      </w:r>
      <w:r>
        <w:t>地下水监测点位图见图</w:t>
      </w:r>
      <w:r>
        <w:rPr>
          <w:rFonts w:hint="eastAsia"/>
        </w:rPr>
        <w:t>4.2</w:t>
      </w:r>
      <w:r>
        <w:t>-2</w:t>
      </w:r>
      <w:r>
        <w:rPr>
          <w:rFonts w:hint="eastAsia"/>
        </w:rPr>
        <w:t>。</w:t>
      </w:r>
    </w:p>
    <w:p>
      <w:pPr>
        <w:pStyle w:val="85"/>
        <w:rPr>
          <w:rFonts w:hAnsi="Times New Roman"/>
          <w:szCs w:val="20"/>
        </w:rPr>
      </w:pPr>
      <w:bookmarkStart w:id="120" w:name="_Ref26432479"/>
      <w:r>
        <w:rPr>
          <w:rFonts w:hAnsi="Times New Roman"/>
        </w:rPr>
        <w:t>表</w:t>
      </w:r>
      <w:bookmarkEnd w:id="120"/>
      <w:r>
        <w:rPr>
          <w:rFonts w:hAnsi="Times New Roman"/>
        </w:rPr>
        <w:t>4.2-9  项目地下水监测布点</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198"/>
        <w:gridCol w:w="786"/>
        <w:gridCol w:w="1698"/>
        <w:gridCol w:w="1341"/>
        <w:gridCol w:w="2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shd w:val="clear" w:color="auto" w:fill="auto"/>
            <w:vAlign w:val="center"/>
          </w:tcPr>
          <w:p>
            <w:pPr>
              <w:pStyle w:val="89"/>
            </w:pPr>
            <w:r>
              <w:t>编号</w:t>
            </w:r>
          </w:p>
        </w:tc>
        <w:tc>
          <w:tcPr>
            <w:tcW w:w="1198" w:type="dxa"/>
            <w:shd w:val="clear" w:color="auto" w:fill="auto"/>
            <w:vAlign w:val="center"/>
          </w:tcPr>
          <w:p>
            <w:pPr>
              <w:pStyle w:val="89"/>
            </w:pPr>
            <w:r>
              <w:t>监测点位置</w:t>
            </w:r>
          </w:p>
        </w:tc>
        <w:tc>
          <w:tcPr>
            <w:tcW w:w="786" w:type="dxa"/>
            <w:shd w:val="clear" w:color="auto" w:fill="auto"/>
            <w:vAlign w:val="center"/>
          </w:tcPr>
          <w:p>
            <w:pPr>
              <w:pStyle w:val="89"/>
            </w:pPr>
            <w:r>
              <w:t>监测内容</w:t>
            </w:r>
          </w:p>
        </w:tc>
        <w:tc>
          <w:tcPr>
            <w:tcW w:w="1698" w:type="dxa"/>
            <w:vAlign w:val="center"/>
          </w:tcPr>
          <w:p>
            <w:pPr>
              <w:pStyle w:val="89"/>
            </w:pPr>
            <w:r>
              <w:rPr>
                <w:rFonts w:hint="eastAsia"/>
                <w:szCs w:val="21"/>
              </w:rPr>
              <w:t>与本项目</w:t>
            </w:r>
            <w:r>
              <w:rPr>
                <w:szCs w:val="21"/>
              </w:rPr>
              <w:t>相对位置及距离</w:t>
            </w:r>
          </w:p>
        </w:tc>
        <w:tc>
          <w:tcPr>
            <w:tcW w:w="1341" w:type="dxa"/>
            <w:vAlign w:val="center"/>
          </w:tcPr>
          <w:p>
            <w:pPr>
              <w:pStyle w:val="89"/>
            </w:pPr>
            <w:r>
              <w:rPr>
                <w:szCs w:val="21"/>
              </w:rPr>
              <w:t>功能</w:t>
            </w:r>
            <w:r>
              <w:rPr>
                <w:rFonts w:hint="eastAsia"/>
                <w:szCs w:val="21"/>
              </w:rPr>
              <w:t>及</w:t>
            </w:r>
            <w:r>
              <w:rPr>
                <w:szCs w:val="21"/>
              </w:rPr>
              <w:t>用途</w:t>
            </w:r>
          </w:p>
        </w:tc>
        <w:tc>
          <w:tcPr>
            <w:tcW w:w="2054" w:type="dxa"/>
            <w:shd w:val="clear" w:color="auto" w:fill="auto"/>
            <w:vAlign w:val="center"/>
          </w:tcPr>
          <w:p>
            <w:pPr>
              <w:pStyle w:val="89"/>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shd w:val="clear" w:color="auto" w:fill="auto"/>
            <w:vAlign w:val="center"/>
          </w:tcPr>
          <w:p>
            <w:pPr>
              <w:pStyle w:val="89"/>
            </w:pPr>
            <w:r>
              <w:t>1#</w:t>
            </w:r>
          </w:p>
        </w:tc>
        <w:tc>
          <w:tcPr>
            <w:tcW w:w="1198" w:type="dxa"/>
            <w:shd w:val="clear" w:color="auto" w:fill="auto"/>
            <w:vAlign w:val="center"/>
          </w:tcPr>
          <w:p>
            <w:pPr>
              <w:pStyle w:val="89"/>
            </w:pPr>
            <w:r>
              <w:rPr>
                <w:rFonts w:hint="eastAsia"/>
              </w:rPr>
              <w:t>潘家庄</w:t>
            </w:r>
          </w:p>
        </w:tc>
        <w:tc>
          <w:tcPr>
            <w:tcW w:w="786" w:type="dxa"/>
            <w:vMerge w:val="restart"/>
            <w:shd w:val="clear" w:color="auto" w:fill="auto"/>
            <w:vAlign w:val="center"/>
          </w:tcPr>
          <w:p>
            <w:pPr>
              <w:pStyle w:val="89"/>
            </w:pPr>
            <w:r>
              <w:t>水质、水位</w:t>
            </w:r>
          </w:p>
        </w:tc>
        <w:tc>
          <w:tcPr>
            <w:tcW w:w="1698" w:type="dxa"/>
            <w:vAlign w:val="center"/>
          </w:tcPr>
          <w:p>
            <w:pPr>
              <w:pStyle w:val="89"/>
            </w:pPr>
            <w:r>
              <w:t>SW</w:t>
            </w:r>
            <w:r>
              <w:rPr>
                <w:rFonts w:hint="eastAsia"/>
              </w:rPr>
              <w:t>，</w:t>
            </w:r>
            <w:r>
              <w:t>400m</w:t>
            </w:r>
          </w:p>
        </w:tc>
        <w:tc>
          <w:tcPr>
            <w:tcW w:w="1341" w:type="dxa"/>
            <w:vAlign w:val="center"/>
          </w:tcPr>
          <w:p>
            <w:pPr>
              <w:pStyle w:val="89"/>
            </w:pPr>
            <w:r>
              <w:rPr>
                <w:rFonts w:hint="eastAsia"/>
                <w:szCs w:val="21"/>
              </w:rPr>
              <w:t>饮用</w:t>
            </w:r>
          </w:p>
        </w:tc>
        <w:tc>
          <w:tcPr>
            <w:tcW w:w="2054" w:type="dxa"/>
            <w:shd w:val="clear" w:color="auto" w:fill="auto"/>
            <w:vAlign w:val="center"/>
          </w:tcPr>
          <w:p>
            <w:pPr>
              <w:pStyle w:val="89"/>
            </w:pPr>
            <w:r>
              <w:t>N32°55′56.942″；E109°36′44.517″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shd w:val="clear" w:color="auto" w:fill="auto"/>
            <w:vAlign w:val="center"/>
          </w:tcPr>
          <w:p>
            <w:pPr>
              <w:pStyle w:val="89"/>
            </w:pPr>
            <w:r>
              <w:t>2#</w:t>
            </w:r>
          </w:p>
        </w:tc>
        <w:tc>
          <w:tcPr>
            <w:tcW w:w="1198" w:type="dxa"/>
            <w:shd w:val="clear" w:color="auto" w:fill="auto"/>
            <w:vAlign w:val="center"/>
          </w:tcPr>
          <w:p>
            <w:pPr>
              <w:pStyle w:val="89"/>
            </w:pPr>
            <w:r>
              <w:rPr>
                <w:rFonts w:hint="eastAsia"/>
              </w:rPr>
              <w:t>潘家坡</w:t>
            </w:r>
          </w:p>
        </w:tc>
        <w:tc>
          <w:tcPr>
            <w:tcW w:w="786" w:type="dxa"/>
            <w:vMerge w:val="continue"/>
            <w:shd w:val="clear" w:color="auto" w:fill="auto"/>
            <w:vAlign w:val="center"/>
          </w:tcPr>
          <w:p>
            <w:pPr>
              <w:pStyle w:val="89"/>
            </w:pPr>
          </w:p>
        </w:tc>
        <w:tc>
          <w:tcPr>
            <w:tcW w:w="1698" w:type="dxa"/>
            <w:vAlign w:val="center"/>
          </w:tcPr>
          <w:p>
            <w:pPr>
              <w:pStyle w:val="89"/>
            </w:pPr>
            <w:r>
              <w:t>E，550m</w:t>
            </w:r>
          </w:p>
        </w:tc>
        <w:tc>
          <w:tcPr>
            <w:tcW w:w="1341" w:type="dxa"/>
            <w:vAlign w:val="center"/>
          </w:tcPr>
          <w:p>
            <w:pPr>
              <w:pStyle w:val="89"/>
            </w:pPr>
            <w:r>
              <w:rPr>
                <w:rFonts w:hint="eastAsia"/>
                <w:szCs w:val="21"/>
              </w:rPr>
              <w:t>饮用</w:t>
            </w:r>
          </w:p>
        </w:tc>
        <w:tc>
          <w:tcPr>
            <w:tcW w:w="2054" w:type="dxa"/>
            <w:shd w:val="clear" w:color="auto" w:fill="auto"/>
            <w:vAlign w:val="center"/>
          </w:tcPr>
          <w:p>
            <w:pPr>
              <w:pStyle w:val="89"/>
            </w:pPr>
            <w:r>
              <w:t>N32°56′9.228″</w:t>
            </w:r>
            <w:r>
              <w:rPr>
                <w:rFonts w:hint="eastAsia"/>
              </w:rPr>
              <w:t>；</w:t>
            </w:r>
            <w:r>
              <w:t>E1</w:t>
            </w:r>
            <w:r>
              <w:rPr>
                <w:rFonts w:hint="eastAsia"/>
              </w:rPr>
              <w:t>0</w:t>
            </w:r>
            <w:r>
              <w:t>9°37′2.342″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shd w:val="clear" w:color="auto" w:fill="auto"/>
            <w:vAlign w:val="center"/>
          </w:tcPr>
          <w:p>
            <w:pPr>
              <w:pStyle w:val="89"/>
            </w:pPr>
            <w:r>
              <w:t>3#</w:t>
            </w:r>
          </w:p>
        </w:tc>
        <w:tc>
          <w:tcPr>
            <w:tcW w:w="1198" w:type="dxa"/>
            <w:shd w:val="clear" w:color="auto" w:fill="auto"/>
            <w:vAlign w:val="center"/>
          </w:tcPr>
          <w:p>
            <w:pPr>
              <w:pStyle w:val="89"/>
            </w:pPr>
            <w:r>
              <w:rPr>
                <w:rFonts w:hint="eastAsia"/>
              </w:rPr>
              <w:t>潘家庄</w:t>
            </w:r>
          </w:p>
        </w:tc>
        <w:tc>
          <w:tcPr>
            <w:tcW w:w="786" w:type="dxa"/>
            <w:vMerge w:val="continue"/>
            <w:shd w:val="clear" w:color="auto" w:fill="auto"/>
            <w:vAlign w:val="center"/>
          </w:tcPr>
          <w:p>
            <w:pPr>
              <w:pStyle w:val="89"/>
            </w:pPr>
          </w:p>
        </w:tc>
        <w:tc>
          <w:tcPr>
            <w:tcW w:w="1698" w:type="dxa"/>
            <w:vAlign w:val="center"/>
          </w:tcPr>
          <w:p>
            <w:pPr>
              <w:pStyle w:val="89"/>
            </w:pPr>
            <w:r>
              <w:rPr>
                <w:rFonts w:hint="eastAsia"/>
              </w:rPr>
              <w:t>SW</w:t>
            </w:r>
            <w:r>
              <w:t>，530m</w:t>
            </w:r>
          </w:p>
        </w:tc>
        <w:tc>
          <w:tcPr>
            <w:tcW w:w="1341" w:type="dxa"/>
            <w:vAlign w:val="center"/>
          </w:tcPr>
          <w:p>
            <w:pPr>
              <w:pStyle w:val="89"/>
            </w:pPr>
            <w:r>
              <w:rPr>
                <w:rFonts w:hint="eastAsia"/>
                <w:szCs w:val="21"/>
              </w:rPr>
              <w:t>饮用</w:t>
            </w:r>
          </w:p>
        </w:tc>
        <w:tc>
          <w:tcPr>
            <w:tcW w:w="2054" w:type="dxa"/>
            <w:shd w:val="clear" w:color="auto" w:fill="auto"/>
            <w:vAlign w:val="center"/>
          </w:tcPr>
          <w:p>
            <w:pPr>
              <w:pStyle w:val="89"/>
              <w:rPr>
                <w:highlight w:val="yellow"/>
              </w:rPr>
            </w:pPr>
            <w:r>
              <w:t>N32°55′51.512″</w:t>
            </w:r>
            <w:r>
              <w:rPr>
                <w:rFonts w:hint="eastAsia"/>
              </w:rPr>
              <w:t>；</w:t>
            </w:r>
            <w:r>
              <w:t>E1</w:t>
            </w:r>
            <w:r>
              <w:rPr>
                <w:rFonts w:hint="eastAsia"/>
              </w:rPr>
              <w:t>0</w:t>
            </w:r>
            <w:r>
              <w:t>9°36′49.210″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shd w:val="clear" w:color="auto" w:fill="auto"/>
            <w:vAlign w:val="center"/>
          </w:tcPr>
          <w:p>
            <w:pPr>
              <w:pStyle w:val="89"/>
            </w:pPr>
            <w:r>
              <w:rPr>
                <w:rFonts w:hint="eastAsia"/>
              </w:rPr>
              <w:t>4#</w:t>
            </w:r>
          </w:p>
        </w:tc>
        <w:tc>
          <w:tcPr>
            <w:tcW w:w="1198" w:type="dxa"/>
            <w:shd w:val="clear" w:color="auto" w:fill="auto"/>
            <w:vAlign w:val="center"/>
          </w:tcPr>
          <w:p>
            <w:pPr>
              <w:pStyle w:val="89"/>
              <w:rPr>
                <w:highlight w:val="yellow"/>
              </w:rPr>
            </w:pPr>
            <w:r>
              <w:rPr>
                <w:rFonts w:hint="eastAsia"/>
              </w:rPr>
              <w:t>潘家坡</w:t>
            </w:r>
          </w:p>
        </w:tc>
        <w:tc>
          <w:tcPr>
            <w:tcW w:w="786" w:type="dxa"/>
            <w:vMerge w:val="restart"/>
            <w:shd w:val="clear" w:color="auto" w:fill="auto"/>
            <w:vAlign w:val="center"/>
          </w:tcPr>
          <w:p>
            <w:pPr>
              <w:pStyle w:val="89"/>
              <w:rPr>
                <w:highlight w:val="yellow"/>
              </w:rPr>
            </w:pPr>
            <w:r>
              <w:rPr>
                <w:rFonts w:hint="eastAsia"/>
              </w:rPr>
              <w:t>水位</w:t>
            </w:r>
          </w:p>
        </w:tc>
        <w:tc>
          <w:tcPr>
            <w:tcW w:w="1698" w:type="dxa"/>
            <w:vAlign w:val="center"/>
          </w:tcPr>
          <w:p>
            <w:pPr>
              <w:pStyle w:val="89"/>
              <w:rPr>
                <w:highlight w:val="yellow"/>
              </w:rPr>
            </w:pPr>
            <w:r>
              <w:t>E</w:t>
            </w:r>
            <w:r>
              <w:rPr>
                <w:rFonts w:hint="eastAsia"/>
              </w:rPr>
              <w:t>，</w:t>
            </w:r>
            <w:r>
              <w:t>750m</w:t>
            </w:r>
          </w:p>
        </w:tc>
        <w:tc>
          <w:tcPr>
            <w:tcW w:w="1341" w:type="dxa"/>
            <w:vAlign w:val="center"/>
          </w:tcPr>
          <w:p>
            <w:pPr>
              <w:pStyle w:val="89"/>
            </w:pPr>
            <w:r>
              <w:rPr>
                <w:rFonts w:hint="eastAsia"/>
                <w:szCs w:val="21"/>
              </w:rPr>
              <w:t>饮用</w:t>
            </w:r>
          </w:p>
        </w:tc>
        <w:tc>
          <w:tcPr>
            <w:tcW w:w="2054" w:type="dxa"/>
            <w:shd w:val="clear" w:color="auto" w:fill="auto"/>
            <w:vAlign w:val="center"/>
          </w:tcPr>
          <w:p>
            <w:pPr>
              <w:pStyle w:val="89"/>
              <w:rPr>
                <w:highlight w:val="yellow"/>
              </w:rPr>
            </w:pPr>
            <w:r>
              <w:t>N32°56′6.69″；E109°37′17.77″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shd w:val="clear" w:color="auto" w:fill="auto"/>
            <w:vAlign w:val="center"/>
          </w:tcPr>
          <w:p>
            <w:pPr>
              <w:pStyle w:val="89"/>
            </w:pPr>
            <w:r>
              <w:rPr>
                <w:rFonts w:hint="eastAsia"/>
              </w:rPr>
              <w:t>5#</w:t>
            </w:r>
          </w:p>
        </w:tc>
        <w:tc>
          <w:tcPr>
            <w:tcW w:w="1198" w:type="dxa"/>
            <w:shd w:val="clear" w:color="auto" w:fill="auto"/>
            <w:vAlign w:val="center"/>
          </w:tcPr>
          <w:p>
            <w:pPr>
              <w:pStyle w:val="89"/>
            </w:pPr>
            <w:r>
              <w:rPr>
                <w:rFonts w:hint="eastAsia"/>
              </w:rPr>
              <w:t>潘家坡</w:t>
            </w:r>
          </w:p>
        </w:tc>
        <w:tc>
          <w:tcPr>
            <w:tcW w:w="786" w:type="dxa"/>
            <w:vMerge w:val="continue"/>
            <w:shd w:val="clear" w:color="auto" w:fill="auto"/>
            <w:vAlign w:val="center"/>
          </w:tcPr>
          <w:p>
            <w:pPr>
              <w:pStyle w:val="89"/>
              <w:rPr>
                <w:highlight w:val="yellow"/>
              </w:rPr>
            </w:pPr>
          </w:p>
        </w:tc>
        <w:tc>
          <w:tcPr>
            <w:tcW w:w="1698" w:type="dxa"/>
            <w:vAlign w:val="center"/>
          </w:tcPr>
          <w:p>
            <w:pPr>
              <w:pStyle w:val="89"/>
            </w:pPr>
            <w:r>
              <w:t>NE，550m</w:t>
            </w:r>
          </w:p>
        </w:tc>
        <w:tc>
          <w:tcPr>
            <w:tcW w:w="1341" w:type="dxa"/>
            <w:vAlign w:val="center"/>
          </w:tcPr>
          <w:p>
            <w:pPr>
              <w:pStyle w:val="89"/>
            </w:pPr>
            <w:r>
              <w:rPr>
                <w:rFonts w:hint="eastAsia"/>
                <w:szCs w:val="21"/>
              </w:rPr>
              <w:t>饮用</w:t>
            </w:r>
          </w:p>
        </w:tc>
        <w:tc>
          <w:tcPr>
            <w:tcW w:w="2054" w:type="dxa"/>
            <w:shd w:val="clear" w:color="auto" w:fill="auto"/>
            <w:vAlign w:val="center"/>
          </w:tcPr>
          <w:p>
            <w:pPr>
              <w:pStyle w:val="89"/>
              <w:rPr>
                <w:highlight w:val="yellow"/>
              </w:rPr>
            </w:pPr>
            <w:r>
              <w:t>N32°56′10.54″</w:t>
            </w:r>
            <w:r>
              <w:rPr>
                <w:rFonts w:hint="eastAsia"/>
              </w:rPr>
              <w:t>；</w:t>
            </w:r>
            <w:r>
              <w:t>E1</w:t>
            </w:r>
            <w:r>
              <w:rPr>
                <w:rFonts w:hint="eastAsia"/>
              </w:rPr>
              <w:t>0</w:t>
            </w:r>
            <w:r>
              <w:t>9°36′52.40″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99" w:type="dxa"/>
            <w:shd w:val="clear" w:color="auto" w:fill="auto"/>
            <w:vAlign w:val="center"/>
          </w:tcPr>
          <w:p>
            <w:pPr>
              <w:pStyle w:val="89"/>
            </w:pPr>
            <w:r>
              <w:rPr>
                <w:rFonts w:hint="eastAsia"/>
              </w:rPr>
              <w:t>6#</w:t>
            </w:r>
          </w:p>
        </w:tc>
        <w:tc>
          <w:tcPr>
            <w:tcW w:w="1198" w:type="dxa"/>
            <w:shd w:val="clear" w:color="auto" w:fill="auto"/>
            <w:vAlign w:val="center"/>
          </w:tcPr>
          <w:p>
            <w:pPr>
              <w:pStyle w:val="89"/>
            </w:pPr>
            <w:r>
              <w:rPr>
                <w:rFonts w:hint="eastAsia"/>
              </w:rPr>
              <w:t>李家坪</w:t>
            </w:r>
          </w:p>
        </w:tc>
        <w:tc>
          <w:tcPr>
            <w:tcW w:w="786" w:type="dxa"/>
            <w:vMerge w:val="continue"/>
            <w:shd w:val="clear" w:color="auto" w:fill="auto"/>
            <w:vAlign w:val="center"/>
          </w:tcPr>
          <w:p>
            <w:pPr>
              <w:pStyle w:val="89"/>
              <w:rPr>
                <w:highlight w:val="yellow"/>
              </w:rPr>
            </w:pPr>
          </w:p>
        </w:tc>
        <w:tc>
          <w:tcPr>
            <w:tcW w:w="1698" w:type="dxa"/>
            <w:vAlign w:val="center"/>
          </w:tcPr>
          <w:p>
            <w:pPr>
              <w:pStyle w:val="89"/>
            </w:pPr>
            <w:r>
              <w:t>N</w:t>
            </w:r>
            <w:r>
              <w:rPr>
                <w:rFonts w:hint="eastAsia"/>
              </w:rPr>
              <w:t>W</w:t>
            </w:r>
            <w:r>
              <w:t>，690m</w:t>
            </w:r>
          </w:p>
        </w:tc>
        <w:tc>
          <w:tcPr>
            <w:tcW w:w="1341" w:type="dxa"/>
            <w:vAlign w:val="center"/>
          </w:tcPr>
          <w:p>
            <w:pPr>
              <w:pStyle w:val="89"/>
            </w:pPr>
            <w:r>
              <w:rPr>
                <w:rFonts w:hint="eastAsia"/>
                <w:szCs w:val="21"/>
              </w:rPr>
              <w:t>饮用</w:t>
            </w:r>
          </w:p>
        </w:tc>
        <w:tc>
          <w:tcPr>
            <w:tcW w:w="2054" w:type="dxa"/>
            <w:shd w:val="clear" w:color="auto" w:fill="auto"/>
            <w:vAlign w:val="center"/>
          </w:tcPr>
          <w:p>
            <w:pPr>
              <w:pStyle w:val="89"/>
              <w:rPr>
                <w:highlight w:val="yellow"/>
              </w:rPr>
            </w:pPr>
            <w:r>
              <w:t>N32°56′25.10″</w:t>
            </w:r>
            <w:r>
              <w:rPr>
                <w:rFonts w:hint="eastAsia"/>
              </w:rPr>
              <w:t>；</w:t>
            </w:r>
            <w:r>
              <w:t>E1</w:t>
            </w:r>
            <w:r>
              <w:rPr>
                <w:rFonts w:hint="eastAsia"/>
              </w:rPr>
              <w:t>0</w:t>
            </w:r>
            <w:r>
              <w:t>9°36′30.29″</w:t>
            </w:r>
          </w:p>
        </w:tc>
      </w:tr>
    </w:tbl>
    <w:p>
      <w:pPr>
        <w:pStyle w:val="5"/>
      </w:pPr>
      <w:r>
        <w:rPr>
          <w:rFonts w:hint="eastAsia"/>
        </w:rPr>
        <w:t>监测</w:t>
      </w:r>
      <w:r>
        <w:t>因子与监测时间</w:t>
      </w:r>
    </w:p>
    <w:p>
      <w:pPr>
        <w:ind w:firstLine="480"/>
      </w:pPr>
      <w:r>
        <w:rPr>
          <w:rFonts w:hint="eastAsia"/>
        </w:rPr>
        <w:t>（1）监测</w:t>
      </w:r>
      <w:r>
        <w:t>因子</w:t>
      </w:r>
      <w:r>
        <w:rPr>
          <w:rFonts w:hint="eastAsia"/>
        </w:rPr>
        <w:t>：</w:t>
      </w:r>
      <w:r>
        <w:t>K+、Na+、Ca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、pH、</w:t>
      </w:r>
      <w:r>
        <w:rPr>
          <w:rFonts w:hint="eastAsia"/>
        </w:rPr>
        <w:t>总硬度</w:t>
      </w:r>
      <w:r>
        <w:t>、溶解性总固体、</w:t>
      </w:r>
      <w:r>
        <w:rPr>
          <w:rFonts w:hint="eastAsia"/>
        </w:rPr>
        <w:t>硫酸盐</w:t>
      </w:r>
      <w:r>
        <w:t>、氯化物、铁、锰、挥发</w:t>
      </w:r>
      <w:r>
        <w:rPr>
          <w:rFonts w:hint="eastAsia"/>
        </w:rPr>
        <w:t>性</w:t>
      </w:r>
      <w:r>
        <w:t>酚、耗氧量、氨氮</w:t>
      </w:r>
      <w:r>
        <w:rPr>
          <w:rFonts w:hint="eastAsia"/>
        </w:rPr>
        <w:t>、</w:t>
      </w:r>
      <w:r>
        <w:t>总大肠菌群、硝酸盐、亚硝酸盐、氰化物、</w:t>
      </w:r>
      <w:r>
        <w:rPr>
          <w:rFonts w:hint="eastAsia"/>
        </w:rPr>
        <w:t>氟化物</w:t>
      </w:r>
      <w:r>
        <w:t>、砷、汞、镉、铬(六价)、铅，并记录井深、水井位置。</w:t>
      </w:r>
    </w:p>
    <w:p>
      <w:pPr>
        <w:ind w:firstLine="480"/>
      </w:pPr>
      <w:r>
        <w:rPr>
          <w:rFonts w:hint="eastAsia"/>
        </w:rPr>
        <w:t>（2）监测</w:t>
      </w:r>
      <w:r>
        <w:t>时间：</w:t>
      </w:r>
      <w:r>
        <w:rPr>
          <w:rFonts w:hint="eastAsia"/>
        </w:rPr>
        <w:t>2022年7月1日-7月3日</w:t>
      </w:r>
    </w:p>
    <w:p>
      <w:pPr>
        <w:pStyle w:val="5"/>
      </w:pPr>
      <w:r>
        <w:rPr>
          <w:rFonts w:hint="eastAsia"/>
        </w:rPr>
        <w:t>采样</w:t>
      </w:r>
      <w:r>
        <w:t>及分析方法</w:t>
      </w:r>
    </w:p>
    <w:p>
      <w:pPr>
        <w:ind w:firstLine="480"/>
      </w:pPr>
      <w:r>
        <w:rPr>
          <w:rFonts w:hint="eastAsia"/>
        </w:rPr>
        <w:t>按照《地下水环境监测技术规范》（HJ/T164-2004）有关规定进行，具体见</w:t>
      </w:r>
      <w:r>
        <w:t>4.2-10</w:t>
      </w:r>
      <w:r>
        <w:rPr>
          <w:rFonts w:hint="eastAsia"/>
        </w:rPr>
        <w:t>。</w:t>
      </w:r>
    </w:p>
    <w:p>
      <w:pPr>
        <w:spacing w:line="240" w:lineRule="auto"/>
        <w:ind w:firstLine="0" w:firstLineChars="0"/>
        <w:jc w:val="center"/>
        <w:rPr>
          <w:b/>
          <w:sz w:val="21"/>
          <w:szCs w:val="24"/>
        </w:rPr>
      </w:pPr>
      <w:r>
        <w:rPr>
          <w:b/>
          <w:sz w:val="21"/>
          <w:szCs w:val="24"/>
        </w:rPr>
        <w:t>表4.2-10  地下水质分析方法</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457"/>
        <w:gridCol w:w="2696"/>
        <w:gridCol w:w="2278"/>
        <w:gridCol w:w="12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参数</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测定方法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方法来源</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K</w:t>
            </w:r>
            <w:r>
              <w:rPr>
                <w:kern w:val="0"/>
                <w:sz w:val="21"/>
                <w:szCs w:val="20"/>
                <w:vertAlign w:val="superscript"/>
              </w:rPr>
              <w:t>+</w:t>
            </w:r>
          </w:p>
        </w:tc>
        <w:tc>
          <w:tcPr>
            <w:tcW w:w="2696"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《水质 可溶性</w:t>
            </w:r>
            <w:r>
              <w:rPr>
                <w:kern w:val="0"/>
                <w:sz w:val="21"/>
                <w:szCs w:val="20"/>
              </w:rPr>
              <w:t>阳离子（</w:t>
            </w:r>
            <w:r>
              <w:rPr>
                <w:rFonts w:hint="eastAsia"/>
                <w:kern w:val="0"/>
                <w:sz w:val="21"/>
                <w:szCs w:val="20"/>
              </w:rPr>
              <w:t>Li</w:t>
            </w:r>
            <w:r>
              <w:rPr>
                <w:kern w:val="0"/>
                <w:sz w:val="21"/>
                <w:szCs w:val="20"/>
              </w:rPr>
              <w:t>+</w:t>
            </w:r>
            <w:r>
              <w:rPr>
                <w:rFonts w:hint="eastAsia"/>
                <w:kern w:val="0"/>
                <w:sz w:val="21"/>
                <w:szCs w:val="20"/>
              </w:rPr>
              <w:t>、</w:t>
            </w:r>
            <w:r>
              <w:rPr>
                <w:kern w:val="0"/>
                <w:sz w:val="21"/>
                <w:szCs w:val="20"/>
              </w:rPr>
              <w:t>Na</w:t>
            </w:r>
            <w:r>
              <w:rPr>
                <w:kern w:val="0"/>
                <w:sz w:val="21"/>
                <w:szCs w:val="20"/>
                <w:vertAlign w:val="superscript"/>
              </w:rPr>
              <w:t>+</w:t>
            </w:r>
            <w:r>
              <w:rPr>
                <w:rFonts w:hint="eastAsia"/>
                <w:kern w:val="0"/>
                <w:sz w:val="21"/>
                <w:szCs w:val="20"/>
              </w:rPr>
              <w:t>、</w:t>
            </w:r>
            <w:r>
              <w:rPr>
                <w:kern w:val="0"/>
                <w:sz w:val="21"/>
                <w:szCs w:val="20"/>
              </w:rPr>
              <w:t>NH</w:t>
            </w:r>
            <w:r>
              <w:rPr>
                <w:kern w:val="0"/>
                <w:sz w:val="21"/>
                <w:szCs w:val="20"/>
                <w:vertAlign w:val="subscript"/>
              </w:rPr>
              <w:t>4</w:t>
            </w:r>
            <w:r>
              <w:rPr>
                <w:kern w:val="0"/>
                <w:sz w:val="21"/>
                <w:szCs w:val="20"/>
                <w:vertAlign w:val="superscript"/>
              </w:rPr>
              <w:t>+</w:t>
            </w:r>
            <w:r>
              <w:rPr>
                <w:rFonts w:hint="eastAsia"/>
                <w:kern w:val="0"/>
                <w:sz w:val="21"/>
                <w:szCs w:val="20"/>
              </w:rPr>
              <w:t>、</w:t>
            </w:r>
            <w:r>
              <w:rPr>
                <w:kern w:val="0"/>
                <w:sz w:val="21"/>
                <w:szCs w:val="20"/>
              </w:rPr>
              <w:t>K+</w:t>
            </w:r>
            <w:r>
              <w:rPr>
                <w:rFonts w:hint="eastAsia"/>
                <w:kern w:val="0"/>
                <w:sz w:val="21"/>
                <w:szCs w:val="20"/>
              </w:rPr>
              <w:t>、</w:t>
            </w:r>
            <w:r>
              <w:rPr>
                <w:kern w:val="0"/>
                <w:sz w:val="21"/>
                <w:szCs w:val="20"/>
              </w:rPr>
              <w:t>Ca</w:t>
            </w:r>
            <w:r>
              <w:rPr>
                <w:kern w:val="0"/>
                <w:sz w:val="21"/>
                <w:szCs w:val="20"/>
                <w:vertAlign w:val="superscript"/>
              </w:rPr>
              <w:t>2+</w:t>
            </w:r>
            <w:r>
              <w:rPr>
                <w:rFonts w:hint="eastAsia"/>
                <w:kern w:val="0"/>
                <w:sz w:val="21"/>
                <w:szCs w:val="20"/>
              </w:rPr>
              <w:t>、</w:t>
            </w:r>
            <w:r>
              <w:rPr>
                <w:kern w:val="0"/>
                <w:sz w:val="21"/>
                <w:szCs w:val="20"/>
              </w:rPr>
              <w:t>Mg</w:t>
            </w:r>
            <w:r>
              <w:rPr>
                <w:kern w:val="0"/>
                <w:sz w:val="21"/>
                <w:szCs w:val="20"/>
                <w:vertAlign w:val="superscript"/>
              </w:rPr>
              <w:t>2+</w:t>
            </w:r>
            <w:r>
              <w:rPr>
                <w:kern w:val="0"/>
                <w:sz w:val="21"/>
                <w:szCs w:val="20"/>
              </w:rPr>
              <w:t>）</w:t>
            </w:r>
            <w:r>
              <w:rPr>
                <w:rFonts w:hint="eastAsia"/>
                <w:kern w:val="0"/>
                <w:sz w:val="21"/>
                <w:szCs w:val="20"/>
              </w:rPr>
              <w:t>的</w:t>
            </w:r>
            <w:r>
              <w:rPr>
                <w:kern w:val="0"/>
                <w:sz w:val="21"/>
                <w:szCs w:val="20"/>
              </w:rPr>
              <w:t>测定</w:t>
            </w:r>
            <w:r>
              <w:rPr>
                <w:rFonts w:hint="eastAsia"/>
                <w:kern w:val="0"/>
                <w:sz w:val="21"/>
                <w:szCs w:val="20"/>
              </w:rPr>
              <w:t xml:space="preserve"> 离子</w:t>
            </w:r>
            <w:r>
              <w:rPr>
                <w:kern w:val="0"/>
                <w:sz w:val="21"/>
                <w:szCs w:val="20"/>
              </w:rPr>
              <w:t>色谱法</w:t>
            </w:r>
            <w:r>
              <w:rPr>
                <w:rFonts w:hint="eastAsia"/>
                <w:kern w:val="0"/>
                <w:sz w:val="21"/>
                <w:szCs w:val="20"/>
              </w:rPr>
              <w:t>》</w:t>
            </w:r>
          </w:p>
        </w:tc>
        <w:tc>
          <w:tcPr>
            <w:tcW w:w="2278"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H</w:t>
            </w:r>
            <w:r>
              <w:rPr>
                <w:kern w:val="0"/>
                <w:sz w:val="21"/>
                <w:szCs w:val="20"/>
              </w:rPr>
              <w:t>J812-2016</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0.02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Na</w:t>
            </w:r>
            <w:r>
              <w:rPr>
                <w:kern w:val="0"/>
                <w:sz w:val="21"/>
                <w:szCs w:val="20"/>
                <w:vertAlign w:val="superscript"/>
              </w:rPr>
              <w:t>+</w:t>
            </w:r>
          </w:p>
        </w:tc>
        <w:tc>
          <w:tcPr>
            <w:tcW w:w="2696"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0.02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3</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Ca</w:t>
            </w:r>
            <w:r>
              <w:rPr>
                <w:kern w:val="0"/>
                <w:sz w:val="21"/>
                <w:szCs w:val="20"/>
                <w:vertAlign w:val="superscript"/>
              </w:rPr>
              <w:t>2+</w:t>
            </w:r>
          </w:p>
        </w:tc>
        <w:tc>
          <w:tcPr>
            <w:tcW w:w="2696"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Mg</w:t>
            </w:r>
            <w:r>
              <w:rPr>
                <w:kern w:val="0"/>
                <w:sz w:val="21"/>
                <w:szCs w:val="20"/>
                <w:vertAlign w:val="superscript"/>
              </w:rPr>
              <w:t>2+</w:t>
            </w:r>
          </w:p>
        </w:tc>
        <w:tc>
          <w:tcPr>
            <w:tcW w:w="2696"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0.02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5</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碳酸根</w:t>
            </w:r>
            <w:r>
              <w:rPr>
                <w:kern w:val="0"/>
                <w:sz w:val="21"/>
                <w:szCs w:val="20"/>
              </w:rPr>
              <w:t>CO</w:t>
            </w:r>
            <w:r>
              <w:rPr>
                <w:kern w:val="0"/>
                <w:sz w:val="21"/>
                <w:szCs w:val="20"/>
                <w:vertAlign w:val="subscript"/>
              </w:rPr>
              <w:t>3</w:t>
            </w:r>
            <w:r>
              <w:rPr>
                <w:kern w:val="0"/>
                <w:sz w:val="21"/>
                <w:szCs w:val="20"/>
                <w:vertAlign w:val="superscript"/>
              </w:rPr>
              <w:t>2-</w:t>
            </w:r>
          </w:p>
        </w:tc>
        <w:tc>
          <w:tcPr>
            <w:tcW w:w="2696" w:type="dxa"/>
            <w:vMerge w:val="restart"/>
            <w:shd w:val="clear" w:color="auto" w:fill="auto"/>
            <w:vAlign w:val="center"/>
          </w:tcPr>
          <w:p>
            <w:pPr>
              <w:autoSpaceDE w:val="0"/>
              <w:autoSpaceDN w:val="0"/>
              <w:spacing w:line="240" w:lineRule="auto"/>
              <w:ind w:firstLine="420"/>
              <w:jc w:val="center"/>
              <w:textAlignment w:val="bottom"/>
              <w:rPr>
                <w:kern w:val="0"/>
                <w:sz w:val="21"/>
                <w:szCs w:val="20"/>
              </w:rPr>
            </w:pPr>
            <w:r>
              <w:rPr>
                <w:rFonts w:hint="eastAsia"/>
                <w:kern w:val="0"/>
                <w:sz w:val="21"/>
                <w:szCs w:val="20"/>
              </w:rPr>
              <w:t>《地下水</w:t>
            </w:r>
            <w:r>
              <w:rPr>
                <w:kern w:val="0"/>
                <w:sz w:val="21"/>
                <w:szCs w:val="20"/>
              </w:rPr>
              <w:t>质检测方法</w:t>
            </w:r>
            <w:r>
              <w:rPr>
                <w:rFonts w:hint="eastAsia"/>
                <w:kern w:val="0"/>
                <w:sz w:val="21"/>
                <w:szCs w:val="20"/>
              </w:rPr>
              <w:t xml:space="preserve"> 滴定</w:t>
            </w:r>
            <w:r>
              <w:rPr>
                <w:kern w:val="0"/>
                <w:sz w:val="21"/>
                <w:szCs w:val="20"/>
              </w:rPr>
              <w:t>法测定碳酸根、重碳酸根和氢氧根</w:t>
            </w:r>
            <w:r>
              <w:rPr>
                <w:rFonts w:hint="eastAsia"/>
                <w:kern w:val="0"/>
                <w:sz w:val="21"/>
                <w:szCs w:val="20"/>
              </w:rPr>
              <w:t>》</w:t>
            </w:r>
          </w:p>
        </w:tc>
        <w:tc>
          <w:tcPr>
            <w:tcW w:w="2278"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DZ/T 0064.49-2021</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6</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重</w:t>
            </w:r>
            <w:r>
              <w:rPr>
                <w:kern w:val="0"/>
                <w:sz w:val="21"/>
                <w:szCs w:val="20"/>
              </w:rPr>
              <w:t>碳酸根HCO</w:t>
            </w:r>
            <w:r>
              <w:rPr>
                <w:kern w:val="0"/>
                <w:sz w:val="21"/>
                <w:szCs w:val="20"/>
                <w:vertAlign w:val="subscript"/>
              </w:rPr>
              <w:t>3</w:t>
            </w:r>
            <w:r>
              <w:rPr>
                <w:kern w:val="0"/>
                <w:sz w:val="21"/>
                <w:szCs w:val="20"/>
                <w:vertAlign w:val="superscript"/>
              </w:rPr>
              <w:t>-</w:t>
            </w:r>
          </w:p>
        </w:tc>
        <w:tc>
          <w:tcPr>
            <w:tcW w:w="2696"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7</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硝酸盐氮</w:t>
            </w:r>
          </w:p>
        </w:tc>
        <w:tc>
          <w:tcPr>
            <w:tcW w:w="2696" w:type="dxa"/>
            <w:vMerge w:val="restart"/>
            <w:shd w:val="clear" w:color="auto" w:fill="auto"/>
            <w:vAlign w:val="center"/>
          </w:tcPr>
          <w:p>
            <w:pPr>
              <w:autoSpaceDE w:val="0"/>
              <w:autoSpaceDN w:val="0"/>
              <w:spacing w:line="240" w:lineRule="auto"/>
              <w:ind w:firstLine="420"/>
              <w:jc w:val="center"/>
              <w:textAlignment w:val="bottom"/>
              <w:rPr>
                <w:kern w:val="0"/>
                <w:sz w:val="21"/>
                <w:szCs w:val="20"/>
                <w:highlight w:val="yellow"/>
              </w:rPr>
            </w:pPr>
            <w:r>
              <w:rPr>
                <w:rFonts w:hint="eastAsia"/>
                <w:kern w:val="0"/>
                <w:sz w:val="21"/>
                <w:szCs w:val="20"/>
              </w:rPr>
              <w:t>《水质 无机</w:t>
            </w:r>
            <w:r>
              <w:rPr>
                <w:kern w:val="0"/>
                <w:sz w:val="21"/>
                <w:szCs w:val="20"/>
              </w:rPr>
              <w:t>阴离子（</w:t>
            </w:r>
            <w:r>
              <w:rPr>
                <w:rFonts w:hint="eastAsia"/>
                <w:kern w:val="0"/>
                <w:sz w:val="21"/>
                <w:szCs w:val="20"/>
              </w:rPr>
              <w:t>F-</w:t>
            </w:r>
            <w:r>
              <w:rPr>
                <w:kern w:val="0"/>
                <w:sz w:val="21"/>
                <w:szCs w:val="20"/>
              </w:rPr>
              <w:t>、Cl-、NO</w:t>
            </w:r>
            <w:r>
              <w:rPr>
                <w:kern w:val="0"/>
                <w:sz w:val="21"/>
                <w:szCs w:val="20"/>
                <w:vertAlign w:val="subscript"/>
              </w:rPr>
              <w:t>2</w:t>
            </w:r>
            <w:r>
              <w:rPr>
                <w:kern w:val="0"/>
                <w:sz w:val="21"/>
                <w:szCs w:val="20"/>
                <w:vertAlign w:val="superscript"/>
              </w:rPr>
              <w:t>-</w:t>
            </w:r>
            <w:r>
              <w:rPr>
                <w:kern w:val="0"/>
                <w:sz w:val="21"/>
                <w:szCs w:val="20"/>
              </w:rPr>
              <w:t>、Br</w:t>
            </w:r>
            <w:r>
              <w:rPr>
                <w:kern w:val="0"/>
                <w:sz w:val="21"/>
                <w:szCs w:val="20"/>
                <w:vertAlign w:val="superscript"/>
              </w:rPr>
              <w:t>-</w:t>
            </w:r>
            <w:r>
              <w:rPr>
                <w:rFonts w:hint="eastAsia"/>
                <w:kern w:val="0"/>
                <w:sz w:val="21"/>
                <w:szCs w:val="20"/>
              </w:rPr>
              <w:t>、</w:t>
            </w:r>
            <w:r>
              <w:rPr>
                <w:kern w:val="0"/>
                <w:sz w:val="21"/>
                <w:szCs w:val="20"/>
              </w:rPr>
              <w:t>NO</w:t>
            </w:r>
            <w:r>
              <w:rPr>
                <w:kern w:val="0"/>
                <w:sz w:val="21"/>
                <w:szCs w:val="20"/>
                <w:vertAlign w:val="subscript"/>
              </w:rPr>
              <w:t>3</w:t>
            </w:r>
            <w:r>
              <w:rPr>
                <w:kern w:val="0"/>
                <w:sz w:val="21"/>
                <w:szCs w:val="20"/>
                <w:vertAlign w:val="superscript"/>
              </w:rPr>
              <w:t>-</w:t>
            </w:r>
            <w:r>
              <w:rPr>
                <w:kern w:val="0"/>
                <w:sz w:val="21"/>
                <w:szCs w:val="20"/>
              </w:rPr>
              <w:t>、PO</w:t>
            </w:r>
            <w:r>
              <w:rPr>
                <w:kern w:val="0"/>
                <w:sz w:val="21"/>
                <w:szCs w:val="20"/>
                <w:vertAlign w:val="subscript"/>
              </w:rPr>
              <w:t>4</w:t>
            </w:r>
            <w:r>
              <w:rPr>
                <w:kern w:val="0"/>
                <w:sz w:val="21"/>
                <w:szCs w:val="20"/>
                <w:vertAlign w:val="superscript"/>
              </w:rPr>
              <w:t>3-</w:t>
            </w:r>
            <w:r>
              <w:rPr>
                <w:rFonts w:hint="eastAsia"/>
                <w:kern w:val="0"/>
                <w:sz w:val="21"/>
                <w:szCs w:val="20"/>
              </w:rPr>
              <w:t>、</w:t>
            </w:r>
            <w:r>
              <w:rPr>
                <w:kern w:val="0"/>
                <w:sz w:val="21"/>
                <w:szCs w:val="20"/>
              </w:rPr>
              <w:t>SO</w:t>
            </w:r>
            <w:r>
              <w:rPr>
                <w:kern w:val="0"/>
                <w:sz w:val="21"/>
                <w:szCs w:val="20"/>
                <w:vertAlign w:val="subscript"/>
              </w:rPr>
              <w:t>3</w:t>
            </w:r>
            <w:r>
              <w:rPr>
                <w:kern w:val="0"/>
                <w:sz w:val="21"/>
                <w:szCs w:val="20"/>
                <w:vertAlign w:val="superscript"/>
              </w:rPr>
              <w:t>2-</w:t>
            </w:r>
            <w:r>
              <w:rPr>
                <w:kern w:val="0"/>
                <w:sz w:val="21"/>
                <w:szCs w:val="20"/>
              </w:rPr>
              <w:t>、SO</w:t>
            </w:r>
            <w:r>
              <w:rPr>
                <w:kern w:val="0"/>
                <w:sz w:val="21"/>
                <w:szCs w:val="20"/>
                <w:vertAlign w:val="subscript"/>
              </w:rPr>
              <w:t>4</w:t>
            </w:r>
            <w:r>
              <w:rPr>
                <w:kern w:val="0"/>
                <w:sz w:val="21"/>
                <w:szCs w:val="20"/>
                <w:vertAlign w:val="superscript"/>
              </w:rPr>
              <w:t>2-</w:t>
            </w:r>
            <w:r>
              <w:rPr>
                <w:kern w:val="0"/>
                <w:sz w:val="21"/>
                <w:szCs w:val="20"/>
              </w:rPr>
              <w:t>）</w:t>
            </w:r>
            <w:r>
              <w:rPr>
                <w:rFonts w:hint="eastAsia"/>
                <w:kern w:val="0"/>
                <w:sz w:val="21"/>
                <w:szCs w:val="20"/>
              </w:rPr>
              <w:t>的</w:t>
            </w:r>
            <w:r>
              <w:rPr>
                <w:kern w:val="0"/>
                <w:sz w:val="21"/>
                <w:szCs w:val="20"/>
              </w:rPr>
              <w:t>测定</w:t>
            </w:r>
            <w:r>
              <w:rPr>
                <w:rFonts w:hint="eastAsia"/>
                <w:kern w:val="0"/>
                <w:sz w:val="21"/>
                <w:szCs w:val="20"/>
              </w:rPr>
              <w:t xml:space="preserve"> 离子</w:t>
            </w:r>
            <w:r>
              <w:rPr>
                <w:kern w:val="0"/>
                <w:sz w:val="21"/>
                <w:szCs w:val="20"/>
              </w:rPr>
              <w:t>色谱法</w:t>
            </w:r>
            <w:r>
              <w:rPr>
                <w:rFonts w:hint="eastAsia"/>
                <w:kern w:val="0"/>
                <w:sz w:val="21"/>
                <w:szCs w:val="20"/>
              </w:rPr>
              <w:t>》</w:t>
            </w:r>
          </w:p>
        </w:tc>
        <w:tc>
          <w:tcPr>
            <w:tcW w:w="2278"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HJ</w:t>
            </w:r>
            <w:r>
              <w:rPr>
                <w:kern w:val="0"/>
                <w:sz w:val="21"/>
                <w:szCs w:val="20"/>
              </w:rPr>
              <w:t>84-2016</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0.016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8</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亚硝酸盐氮</w:t>
            </w:r>
          </w:p>
        </w:tc>
        <w:tc>
          <w:tcPr>
            <w:tcW w:w="2696" w:type="dxa"/>
            <w:vMerge w:val="continue"/>
            <w:shd w:val="clear" w:color="auto" w:fill="auto"/>
            <w:vAlign w:val="center"/>
          </w:tcPr>
          <w:p>
            <w:pPr>
              <w:autoSpaceDE w:val="0"/>
              <w:autoSpaceDN w:val="0"/>
              <w:spacing w:line="240" w:lineRule="auto"/>
              <w:ind w:firstLine="420"/>
              <w:jc w:val="center"/>
              <w:textAlignment w:val="bottom"/>
              <w:rPr>
                <w:kern w:val="0"/>
                <w:sz w:val="21"/>
                <w:szCs w:val="20"/>
                <w:highlight w:val="yellow"/>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0.016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9</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SO</w:t>
            </w:r>
            <w:r>
              <w:rPr>
                <w:kern w:val="0"/>
                <w:sz w:val="21"/>
                <w:szCs w:val="20"/>
                <w:vertAlign w:val="subscript"/>
              </w:rPr>
              <w:t>4</w:t>
            </w:r>
            <w:r>
              <w:rPr>
                <w:kern w:val="0"/>
                <w:sz w:val="21"/>
                <w:szCs w:val="20"/>
                <w:vertAlign w:val="superscript"/>
              </w:rPr>
              <w:t>2-</w:t>
            </w:r>
          </w:p>
        </w:tc>
        <w:tc>
          <w:tcPr>
            <w:tcW w:w="2696" w:type="dxa"/>
            <w:vMerge w:val="continue"/>
            <w:shd w:val="clear" w:color="auto" w:fill="auto"/>
            <w:vAlign w:val="center"/>
          </w:tcPr>
          <w:p>
            <w:pPr>
              <w:autoSpaceDE w:val="0"/>
              <w:autoSpaceDN w:val="0"/>
              <w:spacing w:line="240" w:lineRule="auto"/>
              <w:ind w:firstLine="420"/>
              <w:jc w:val="center"/>
              <w:textAlignment w:val="bottom"/>
              <w:rPr>
                <w:kern w:val="0"/>
                <w:sz w:val="21"/>
                <w:szCs w:val="20"/>
                <w:highlight w:val="yellow"/>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0.018mg/L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氟化物</w:t>
            </w:r>
          </w:p>
        </w:tc>
        <w:tc>
          <w:tcPr>
            <w:tcW w:w="2696" w:type="dxa"/>
            <w:vMerge w:val="continue"/>
            <w:shd w:val="clear" w:color="auto" w:fill="auto"/>
            <w:vAlign w:val="center"/>
          </w:tcPr>
          <w:p>
            <w:pPr>
              <w:autoSpaceDE w:val="0"/>
              <w:autoSpaceDN w:val="0"/>
              <w:spacing w:line="240" w:lineRule="auto"/>
              <w:ind w:firstLine="420"/>
              <w:jc w:val="center"/>
              <w:textAlignment w:val="bottom"/>
              <w:rPr>
                <w:kern w:val="0"/>
                <w:sz w:val="21"/>
                <w:szCs w:val="20"/>
                <w:highlight w:val="yellow"/>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0.006mg/L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11</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Cl</w:t>
            </w:r>
            <w:r>
              <w:rPr>
                <w:kern w:val="0"/>
                <w:sz w:val="21"/>
                <w:szCs w:val="20"/>
                <w:vertAlign w:val="superscript"/>
              </w:rPr>
              <w:t>-</w:t>
            </w:r>
          </w:p>
        </w:tc>
        <w:tc>
          <w:tcPr>
            <w:tcW w:w="2696"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2278"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0.007mg/L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12</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总硬度</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乙二胺四乙酸二钠滴定法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GB 7477-1987</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13</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溶解性总固体</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称量法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GB/T 5750.4-2006（8.1）</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14</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pH</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电极法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GB 1147-2020</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氨氮</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rFonts w:hint="eastAsia"/>
                <w:kern w:val="0"/>
                <w:sz w:val="21"/>
                <w:szCs w:val="20"/>
              </w:rPr>
              <w:t>纳氏试剂分光光度法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HJ 535-2009</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0.025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16</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氰化物</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异烟酸-巴比妥酸分光光度法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HJ 484-2009</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0.001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17</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砷</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原子荧光法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HJ694-2014</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0.3μg/L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18</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汞</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原子荧光法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HJ694-2014</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0.04μg/L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19</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铬（六价）</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二苯碳酰二肼分光光度法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GB/T 7467-1987</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0.004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20</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铅</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rFonts w:hint="eastAsia"/>
                <w:kern w:val="0"/>
                <w:sz w:val="21"/>
                <w:szCs w:val="20"/>
              </w:rPr>
              <w:t>无火焰原子吸收分光光度法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GB/T 5750.6-2006(11.1)</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2.5μg/L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21</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镉</w:t>
            </w:r>
          </w:p>
        </w:tc>
        <w:tc>
          <w:tcPr>
            <w:tcW w:w="2696" w:type="dxa"/>
            <w:shd w:val="clear" w:color="auto" w:fill="auto"/>
            <w:vAlign w:val="center"/>
          </w:tcPr>
          <w:p>
            <w:pPr>
              <w:tabs>
                <w:tab w:val="left" w:pos="2340"/>
              </w:tabs>
              <w:adjustRightInd/>
              <w:spacing w:line="240" w:lineRule="auto"/>
              <w:ind w:firstLine="0" w:firstLineChars="0"/>
              <w:jc w:val="center"/>
              <w:rPr>
                <w:rFonts w:hAnsi="宋体"/>
                <w:kern w:val="0"/>
                <w:sz w:val="21"/>
                <w:szCs w:val="20"/>
                <w:highlight w:val="yellow"/>
              </w:rPr>
            </w:pPr>
            <w:r>
              <w:rPr>
                <w:rFonts w:hint="eastAsia" w:hAnsi="宋体"/>
                <w:kern w:val="0"/>
                <w:sz w:val="21"/>
                <w:szCs w:val="20"/>
              </w:rPr>
              <w:t>无火焰原子吸收分光光度法</w:t>
            </w:r>
          </w:p>
        </w:tc>
        <w:tc>
          <w:tcPr>
            <w:tcW w:w="227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GB/T 5750.6-2006(9.1)</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0.5μg/L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22</w:t>
            </w:r>
          </w:p>
        </w:tc>
        <w:tc>
          <w:tcPr>
            <w:tcW w:w="1457"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铁</w:t>
            </w:r>
          </w:p>
        </w:tc>
        <w:tc>
          <w:tcPr>
            <w:tcW w:w="2696"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火焰原子吸收分光光度法</w:t>
            </w:r>
          </w:p>
        </w:tc>
        <w:tc>
          <w:tcPr>
            <w:tcW w:w="227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GB11911-1989</w:t>
            </w:r>
          </w:p>
        </w:tc>
        <w:tc>
          <w:tcPr>
            <w:tcW w:w="1294"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23</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锰</w:t>
            </w:r>
          </w:p>
        </w:tc>
        <w:tc>
          <w:tcPr>
            <w:tcW w:w="2696" w:type="dxa"/>
            <w:shd w:val="clear" w:color="auto" w:fill="auto"/>
            <w:vAlign w:val="center"/>
          </w:tcPr>
          <w:p>
            <w:pPr>
              <w:tabs>
                <w:tab w:val="left" w:pos="2340"/>
              </w:tabs>
              <w:adjustRightInd/>
              <w:spacing w:line="240" w:lineRule="auto"/>
              <w:ind w:firstLine="0" w:firstLineChars="0"/>
              <w:jc w:val="center"/>
              <w:rPr>
                <w:rFonts w:hAnsi="宋体"/>
                <w:kern w:val="0"/>
                <w:sz w:val="21"/>
                <w:szCs w:val="20"/>
                <w:highlight w:val="yellow"/>
              </w:rPr>
            </w:pPr>
            <w:r>
              <w:rPr>
                <w:rFonts w:hint="eastAsia" w:hAnsi="宋体"/>
                <w:kern w:val="0"/>
                <w:sz w:val="21"/>
                <w:szCs w:val="20"/>
              </w:rPr>
              <w:t>火焰原子吸收分光光度法</w:t>
            </w:r>
          </w:p>
        </w:tc>
        <w:tc>
          <w:tcPr>
            <w:tcW w:w="227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lang w:bidi="ar"/>
              </w:rPr>
              <w:t>GB 11911-1989</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24</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总大肠菌群</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多管发酵法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GB/T 5750.12-2006</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51"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25</w:t>
            </w:r>
          </w:p>
        </w:tc>
        <w:tc>
          <w:tcPr>
            <w:tcW w:w="145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挥发酚</w:t>
            </w:r>
          </w:p>
        </w:tc>
        <w:tc>
          <w:tcPr>
            <w:tcW w:w="269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4-氨基安替比林分光光度法</w:t>
            </w:r>
          </w:p>
        </w:tc>
        <w:tc>
          <w:tcPr>
            <w:tcW w:w="2278"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HJ 503-2009</w:t>
            </w:r>
          </w:p>
        </w:tc>
        <w:tc>
          <w:tcPr>
            <w:tcW w:w="1294" w:type="dxa"/>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0.0003mg/L</w:t>
            </w:r>
          </w:p>
        </w:tc>
      </w:tr>
    </w:tbl>
    <w:p>
      <w:pPr>
        <w:pStyle w:val="5"/>
      </w:pPr>
      <w:r>
        <w:rPr>
          <w:rFonts w:hint="eastAsia"/>
        </w:rPr>
        <w:t>评价</w:t>
      </w:r>
      <w:r>
        <w:t>标准及方法</w:t>
      </w:r>
    </w:p>
    <w:p>
      <w:pPr>
        <w:pStyle w:val="79"/>
        <w:ind w:firstLine="480"/>
      </w:pPr>
      <w:r>
        <w:rPr>
          <w:rFonts w:hint="eastAsia"/>
        </w:rPr>
        <w:t>（1）</w:t>
      </w:r>
      <w:r>
        <w:t>评价标准</w:t>
      </w:r>
    </w:p>
    <w:p>
      <w:pPr>
        <w:pStyle w:val="79"/>
        <w:ind w:firstLine="480"/>
        <w:rPr>
          <w:rFonts w:cs="Times New Roman"/>
        </w:rPr>
      </w:pPr>
      <w:r>
        <w:rPr>
          <w:rFonts w:cs="Times New Roman"/>
        </w:rPr>
        <w:t>地下水水质执行《地下水质量标准》(</w:t>
      </w:r>
      <w:r>
        <w:rPr>
          <w:rFonts w:cs="Times New Roman"/>
          <w:bCs/>
        </w:rPr>
        <w:t>GB/T 14848-2017</w:t>
      </w:r>
      <w:r>
        <w:rPr>
          <w:rFonts w:cs="Times New Roman"/>
        </w:rPr>
        <w:t>)中</w:t>
      </w:r>
      <w:r>
        <w:rPr>
          <w:rFonts w:hint="eastAsia" w:ascii="宋体" w:hAnsi="宋体" w:cs="宋体"/>
        </w:rPr>
        <w:t>Ⅲ</w:t>
      </w:r>
      <w:r>
        <w:rPr>
          <w:rFonts w:cs="Times New Roman"/>
        </w:rPr>
        <w:t>类标准。</w:t>
      </w:r>
    </w:p>
    <w:p>
      <w:pPr>
        <w:pStyle w:val="79"/>
        <w:ind w:firstLine="480"/>
      </w:pPr>
      <w:r>
        <w:rPr>
          <w:rFonts w:hint="eastAsia"/>
        </w:rPr>
        <w:t>（2）</w:t>
      </w:r>
      <w:r>
        <w:t>评价方法</w:t>
      </w:r>
    </w:p>
    <w:p>
      <w:pPr>
        <w:pStyle w:val="79"/>
        <w:ind w:firstLine="480"/>
        <w:rPr>
          <w:rFonts w:cs="Times New Roman"/>
        </w:rPr>
      </w:pPr>
      <w:r>
        <w:rPr>
          <w:rFonts w:cs="Times New Roman"/>
        </w:rPr>
        <w:t>采用标准指数法进行评价，标准指数大于1，表明该水质因子已超过了规定的水质标准。指数值越大，超标越严重。标准指数计算公式为：</w:t>
      </w:r>
    </w:p>
    <w:p>
      <w:pPr>
        <w:pStyle w:val="79"/>
        <w:ind w:firstLine="480"/>
        <w:jc w:val="center"/>
        <w:rPr>
          <w:rFonts w:cs="Times New Roman"/>
        </w:rPr>
      </w:pPr>
      <w:r>
        <w:rPr>
          <w:rFonts w:cs="Times New Roman"/>
        </w:rPr>
        <w:t>P</w:t>
      </w:r>
      <w:r>
        <w:rPr>
          <w:rFonts w:cs="Times New Roman"/>
          <w:vertAlign w:val="subscript"/>
        </w:rPr>
        <w:t>i</w:t>
      </w:r>
      <w:r>
        <w:rPr>
          <w:rFonts w:cs="Times New Roman"/>
        </w:rPr>
        <w:t>=C</w:t>
      </w:r>
      <w:r>
        <w:rPr>
          <w:rFonts w:cs="Times New Roman"/>
          <w:vertAlign w:val="subscript"/>
        </w:rPr>
        <w:t>i</w:t>
      </w:r>
      <w:r>
        <w:rPr>
          <w:rFonts w:cs="Times New Roman"/>
        </w:rPr>
        <w:t>/C</w:t>
      </w:r>
      <w:r>
        <w:rPr>
          <w:rFonts w:cs="Times New Roman"/>
          <w:vertAlign w:val="subscript"/>
        </w:rPr>
        <w:t>si</w:t>
      </w:r>
    </w:p>
    <w:p>
      <w:pPr>
        <w:pStyle w:val="79"/>
        <w:ind w:firstLine="480"/>
        <w:rPr>
          <w:rFonts w:cs="Times New Roman"/>
        </w:rPr>
      </w:pPr>
      <w:r>
        <w:rPr>
          <w:rFonts w:cs="Times New Roman"/>
        </w:rPr>
        <w:t>式中：P</w:t>
      </w:r>
      <w:r>
        <w:rPr>
          <w:rFonts w:cs="Times New Roman"/>
          <w:vertAlign w:val="subscript"/>
        </w:rPr>
        <w:t>i</w:t>
      </w:r>
      <w:r>
        <w:rPr>
          <w:rFonts w:cs="Times New Roman"/>
        </w:rPr>
        <w:t>—第i个水质因子的标准指数，无量纲；</w:t>
      </w:r>
    </w:p>
    <w:p>
      <w:pPr>
        <w:pStyle w:val="79"/>
        <w:ind w:firstLine="1200" w:firstLineChars="500"/>
        <w:rPr>
          <w:rFonts w:cs="Times New Roman"/>
        </w:rPr>
      </w:pPr>
      <w:r>
        <w:rPr>
          <w:rFonts w:cs="Times New Roman"/>
        </w:rPr>
        <w:t>C</w:t>
      </w:r>
      <w:r>
        <w:rPr>
          <w:rFonts w:cs="Times New Roman"/>
          <w:vertAlign w:val="subscript"/>
        </w:rPr>
        <w:t>i</w:t>
      </w:r>
      <w:r>
        <w:rPr>
          <w:rFonts w:cs="Times New Roman"/>
        </w:rPr>
        <w:t>—第i个水质因子的监测浓度值，mg/L；</w:t>
      </w:r>
    </w:p>
    <w:p>
      <w:pPr>
        <w:pStyle w:val="79"/>
        <w:ind w:firstLine="1200" w:firstLineChars="500"/>
        <w:rPr>
          <w:rFonts w:cs="Times New Roman"/>
        </w:rPr>
      </w:pPr>
      <w:r>
        <w:rPr>
          <w:rFonts w:cs="Times New Roman"/>
        </w:rPr>
        <w:t>C</w:t>
      </w:r>
      <w:r>
        <w:rPr>
          <w:rFonts w:cs="Times New Roman"/>
          <w:vertAlign w:val="subscript"/>
        </w:rPr>
        <w:t>si</w:t>
      </w:r>
      <w:r>
        <w:rPr>
          <w:rFonts w:cs="Times New Roman"/>
        </w:rPr>
        <w:t>—第i个水质因子的标准浓度值，mg/L。</w:t>
      </w:r>
    </w:p>
    <w:p>
      <w:pPr>
        <w:pStyle w:val="79"/>
        <w:ind w:firstLine="480"/>
        <w:rPr>
          <w:rFonts w:cs="Times New Roman"/>
        </w:rPr>
      </w:pPr>
      <w:r>
        <w:rPr>
          <w:rFonts w:cs="Times New Roman"/>
        </w:rPr>
        <w:t>对于pH为：</w:t>
      </w:r>
    </w:p>
    <w:p>
      <w:pPr>
        <w:pStyle w:val="79"/>
        <w:ind w:firstLine="480"/>
        <w:jc w:val="center"/>
        <w:rPr>
          <w:rFonts w:cs="Times New Roman"/>
        </w:rPr>
      </w:pP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sty m:val="p"/>
              </m:rPr>
              <w:rPr>
                <w:rFonts w:ascii="Cambria Math" w:hAnsi="Cambria Math" w:cs="Times New Roman"/>
              </w:rPr>
              <m:t>pH</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7.0-pH</m:t>
            </m:r>
            <m:ctrlPr>
              <w:rPr>
                <w:rFonts w:ascii="Cambria Math" w:hAnsi="Cambria Math" w:cs="Times New Roman"/>
              </w:rPr>
            </m:ctrlPr>
          </m:num>
          <m:den>
            <m:r>
              <m:rPr>
                <m:sty m:val="p"/>
              </m:rPr>
              <w:rPr>
                <w:rFonts w:ascii="Cambria Math" w:hAnsi="Cambria Math" w:cs="Times New Roman"/>
              </w:rPr>
              <m:t>7.0-</m:t>
            </m:r>
            <m:sSub>
              <m:sSubPr>
                <m:ctrlPr>
                  <w:rPr>
                    <w:rFonts w:ascii="Cambria Math" w:hAnsi="Cambria Math" w:cs="Times New Roman"/>
                  </w:rPr>
                </m:ctrlPr>
              </m:sSubPr>
              <m:e>
                <m:r>
                  <m:rPr>
                    <m:sty m:val="p"/>
                  </m:rPr>
                  <w:rPr>
                    <w:rFonts w:ascii="Cambria Math" w:hAnsi="Cambria Math" w:cs="Times New Roman"/>
                  </w:rPr>
                  <m:t>pH</m:t>
                </m:r>
                <m:ctrlPr>
                  <w:rPr>
                    <w:rFonts w:ascii="Cambria Math" w:hAnsi="Cambria Math" w:cs="Times New Roman"/>
                  </w:rPr>
                </m:ctrlPr>
              </m:e>
              <m:sub>
                <m:r>
                  <m:rPr>
                    <m:sty m:val="p"/>
                  </m:rPr>
                  <w:rPr>
                    <w:rFonts w:ascii="Cambria Math" w:hAnsi="Cambria Math" w:cs="Times New Roman"/>
                  </w:rPr>
                  <m:t>sd</m:t>
                </m:r>
                <m:ctrlPr>
                  <w:rPr>
                    <w:rFonts w:ascii="Cambria Math" w:hAnsi="Cambria Math" w:cs="Times New Roman"/>
                  </w:rPr>
                </m:ctrlPr>
              </m:sub>
            </m:sSub>
            <m:ctrlPr>
              <w:rPr>
                <w:rFonts w:ascii="Cambria Math" w:hAnsi="Cambria Math" w:cs="Times New Roman"/>
              </w:rPr>
            </m:ctrlPr>
          </m:den>
        </m:f>
        <m:r>
          <m:rPr>
            <m:sty m:val="p"/>
          </m:rPr>
          <w:rPr>
            <w:rFonts w:ascii="Cambria Math" w:hAnsi="Cambria Math" w:cs="Times New Roman"/>
          </w:rPr>
          <m:t xml:space="preserve">    </m:t>
        </m:r>
      </m:oMath>
      <w:r>
        <w:rPr>
          <w:rFonts w:cs="Times New Roman"/>
        </w:rPr>
        <w:t>(pH≤7.0时)</w:t>
      </w:r>
    </w:p>
    <w:p>
      <w:pPr>
        <w:pStyle w:val="79"/>
        <w:ind w:firstLine="480"/>
        <w:jc w:val="center"/>
        <w:rPr>
          <w:rFonts w:cs="Times New Roman"/>
        </w:rPr>
      </w:pP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sty m:val="p"/>
              </m:rPr>
              <w:rPr>
                <w:rFonts w:ascii="Cambria Math" w:hAnsi="Cambria Math" w:cs="Times New Roman"/>
              </w:rPr>
              <m:t>pH</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pH-7.0</m:t>
            </m:r>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pH</m:t>
                </m:r>
                <m:ctrlPr>
                  <w:rPr>
                    <w:rFonts w:ascii="Cambria Math" w:hAnsi="Cambria Math" w:cs="Times New Roman"/>
                  </w:rPr>
                </m:ctrlPr>
              </m:e>
              <m:sub>
                <m:r>
                  <m:rPr>
                    <m:sty m:val="p"/>
                  </m:rPr>
                  <w:rPr>
                    <w:rFonts w:ascii="Cambria Math" w:hAnsi="Cambria Math" w:cs="Times New Roman"/>
                  </w:rPr>
                  <m:t>su</m:t>
                </m:r>
                <m:ctrlPr>
                  <w:rPr>
                    <w:rFonts w:ascii="Cambria Math" w:hAnsi="Cambria Math" w:cs="Times New Roman"/>
                  </w:rPr>
                </m:ctrlPr>
              </m:sub>
            </m:sSub>
            <m:r>
              <m:rPr>
                <m:sty m:val="p"/>
              </m:rPr>
              <w:rPr>
                <w:rFonts w:ascii="Cambria Math" w:hAnsi="Cambria Math" w:cs="Times New Roman"/>
              </w:rPr>
              <m:t>-7.0</m:t>
            </m:r>
            <m:ctrlPr>
              <w:rPr>
                <w:rFonts w:ascii="Cambria Math" w:hAnsi="Cambria Math" w:cs="Times New Roman"/>
              </w:rPr>
            </m:ctrlPr>
          </m:den>
        </m:f>
        <m:r>
          <m:rPr>
            <m:sty m:val="p"/>
          </m:rPr>
          <w:rPr>
            <w:rFonts w:ascii="Cambria Math" w:hAnsi="Cambria Math" w:cs="Times New Roman"/>
          </w:rPr>
          <m:t xml:space="preserve"> </m:t>
        </m:r>
      </m:oMath>
      <w:r>
        <w:rPr>
          <w:rFonts w:cs="Times New Roman"/>
        </w:rPr>
        <w:t xml:space="preserve"> (pH＞7.0时)</w:t>
      </w:r>
    </w:p>
    <w:p>
      <w:pPr>
        <w:pStyle w:val="79"/>
        <w:ind w:firstLine="480"/>
        <w:rPr>
          <w:rFonts w:cs="Times New Roman"/>
        </w:rPr>
      </w:pPr>
      <w:r>
        <w:rPr>
          <w:rFonts w:cs="Times New Roman"/>
        </w:rPr>
        <w:t>式中：P</w:t>
      </w:r>
      <w:r>
        <w:rPr>
          <w:rFonts w:cs="Times New Roman"/>
          <w:vertAlign w:val="subscript"/>
        </w:rPr>
        <w:t>pH</w:t>
      </w:r>
      <w:r>
        <w:rPr>
          <w:rFonts w:cs="Times New Roman"/>
        </w:rPr>
        <w:t>—pH的标准指数，无量纲；</w:t>
      </w:r>
    </w:p>
    <w:p>
      <w:pPr>
        <w:pStyle w:val="79"/>
        <w:ind w:firstLine="1320" w:firstLineChars="550"/>
        <w:rPr>
          <w:rFonts w:cs="Times New Roman"/>
        </w:rPr>
      </w:pPr>
      <w:r>
        <w:rPr>
          <w:rFonts w:cs="Times New Roman"/>
        </w:rPr>
        <w:t>pH —pH监测值；</w:t>
      </w:r>
      <w:r>
        <w:rPr>
          <w:rFonts w:hint="eastAsia" w:cs="Times New Roman"/>
        </w:rPr>
        <w:t xml:space="preserve">  </w:t>
      </w:r>
      <w:r>
        <w:rPr>
          <w:rFonts w:cs="Times New Roman"/>
        </w:rPr>
        <w:t>pH</w:t>
      </w:r>
      <w:r>
        <w:rPr>
          <w:rFonts w:cs="Times New Roman"/>
          <w:vertAlign w:val="subscript"/>
        </w:rPr>
        <w:t>su</w:t>
      </w:r>
      <w:r>
        <w:rPr>
          <w:rFonts w:cs="Times New Roman"/>
        </w:rPr>
        <w:t>—标准中pH的上限值；</w:t>
      </w:r>
    </w:p>
    <w:p>
      <w:pPr>
        <w:pStyle w:val="79"/>
        <w:ind w:firstLine="1320" w:firstLineChars="550"/>
        <w:rPr>
          <w:rFonts w:cs="Times New Roman"/>
        </w:rPr>
      </w:pPr>
      <w:r>
        <w:rPr>
          <w:rFonts w:cs="Times New Roman"/>
        </w:rPr>
        <w:t>pH</w:t>
      </w:r>
      <w:r>
        <w:rPr>
          <w:rFonts w:cs="Times New Roman"/>
          <w:vertAlign w:val="subscript"/>
        </w:rPr>
        <w:t>sd</w:t>
      </w:r>
      <w:r>
        <w:rPr>
          <w:rFonts w:cs="Times New Roman"/>
        </w:rPr>
        <w:t>—标准中pH的下限值；</w:t>
      </w:r>
    </w:p>
    <w:p>
      <w:pPr>
        <w:pStyle w:val="5"/>
      </w:pPr>
      <w:r>
        <w:rPr>
          <w:rFonts w:hint="eastAsia"/>
        </w:rPr>
        <w:t>监测</w:t>
      </w:r>
      <w:r>
        <w:t>结果及评价</w:t>
      </w:r>
    </w:p>
    <w:p>
      <w:pPr>
        <w:ind w:firstLine="480"/>
      </w:pPr>
      <w:r>
        <w:rPr>
          <w:rFonts w:hint="eastAsia"/>
        </w:rPr>
        <w:t>本项目地下水环境现状监测及评价结果见表</w:t>
      </w:r>
      <w:r>
        <w:t>4.2-11</w:t>
      </w:r>
      <w:r>
        <w:rPr>
          <w:rFonts w:hint="eastAsia"/>
        </w:rPr>
        <w:t>~表</w:t>
      </w:r>
      <w:r>
        <w:t>4.2-12</w:t>
      </w:r>
      <w:r>
        <w:rPr>
          <w:rFonts w:hint="eastAsia"/>
        </w:rPr>
        <w:t>。</w:t>
      </w:r>
    </w:p>
    <w:p>
      <w:pPr>
        <w:spacing w:line="240" w:lineRule="auto"/>
        <w:ind w:firstLine="0" w:firstLineChars="0"/>
        <w:jc w:val="center"/>
        <w:rPr>
          <w:b/>
          <w:sz w:val="21"/>
          <w:szCs w:val="21"/>
        </w:rPr>
      </w:pPr>
      <w:bookmarkStart w:id="121" w:name="_Ref27042777"/>
      <w:r>
        <w:rPr>
          <w:rFonts w:hint="eastAsia"/>
          <w:b/>
          <w:sz w:val="21"/>
          <w:szCs w:val="24"/>
        </w:rPr>
        <w:t>4.2-11</w:t>
      </w:r>
      <w:bookmarkEnd w:id="121"/>
      <w:r>
        <w:rPr>
          <w:b/>
          <w:sz w:val="21"/>
          <w:szCs w:val="21"/>
        </w:rPr>
        <w:t xml:space="preserve">  地下水水位监测结果一览表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2248"/>
        <w:gridCol w:w="1471"/>
        <w:gridCol w:w="1478"/>
        <w:gridCol w:w="1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9"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监测点位置</w:t>
            </w:r>
          </w:p>
        </w:tc>
        <w:tc>
          <w:tcPr>
            <w:tcW w:w="2248" w:type="dxa"/>
            <w:vAlign w:val="center"/>
          </w:tcPr>
          <w:p>
            <w:pPr>
              <w:autoSpaceDE w:val="0"/>
              <w:autoSpaceDN w:val="0"/>
              <w:snapToGrid/>
              <w:spacing w:line="240" w:lineRule="auto"/>
              <w:ind w:firstLine="0" w:firstLineChars="0"/>
              <w:jc w:val="center"/>
              <w:textAlignment w:val="bottom"/>
              <w:rPr>
                <w:bCs/>
                <w:kern w:val="0"/>
                <w:sz w:val="21"/>
                <w:szCs w:val="20"/>
              </w:rPr>
            </w:pPr>
            <w:r>
              <w:rPr>
                <w:bCs/>
                <w:kern w:val="0"/>
                <w:sz w:val="21"/>
                <w:szCs w:val="20"/>
              </w:rPr>
              <w:t>水井坐标</w:t>
            </w:r>
          </w:p>
        </w:tc>
        <w:tc>
          <w:tcPr>
            <w:tcW w:w="1471" w:type="dxa"/>
            <w:vAlign w:val="center"/>
          </w:tcPr>
          <w:p>
            <w:pPr>
              <w:autoSpaceDE w:val="0"/>
              <w:autoSpaceDN w:val="0"/>
              <w:snapToGrid/>
              <w:spacing w:line="240" w:lineRule="auto"/>
              <w:ind w:firstLine="0" w:firstLineChars="0"/>
              <w:jc w:val="center"/>
              <w:textAlignment w:val="bottom"/>
              <w:rPr>
                <w:bCs/>
                <w:kern w:val="0"/>
                <w:sz w:val="21"/>
                <w:szCs w:val="20"/>
              </w:rPr>
            </w:pPr>
            <w:r>
              <w:rPr>
                <w:rFonts w:hint="eastAsia"/>
                <w:bCs/>
                <w:kern w:val="0"/>
                <w:sz w:val="21"/>
                <w:szCs w:val="20"/>
              </w:rPr>
              <w:t>海拔（m）</w:t>
            </w:r>
          </w:p>
        </w:tc>
        <w:tc>
          <w:tcPr>
            <w:tcW w:w="1478" w:type="dxa"/>
            <w:vAlign w:val="center"/>
          </w:tcPr>
          <w:p>
            <w:pPr>
              <w:autoSpaceDE w:val="0"/>
              <w:autoSpaceDN w:val="0"/>
              <w:snapToGrid/>
              <w:spacing w:line="240" w:lineRule="auto"/>
              <w:ind w:firstLine="0" w:firstLineChars="0"/>
              <w:jc w:val="center"/>
              <w:textAlignment w:val="bottom"/>
              <w:rPr>
                <w:bCs/>
                <w:kern w:val="0"/>
                <w:sz w:val="21"/>
                <w:szCs w:val="20"/>
              </w:rPr>
            </w:pPr>
            <w:r>
              <w:rPr>
                <w:rFonts w:hint="eastAsia"/>
                <w:bCs/>
                <w:kern w:val="0"/>
                <w:sz w:val="21"/>
                <w:szCs w:val="20"/>
              </w:rPr>
              <w:t>水位</w:t>
            </w:r>
            <w:r>
              <w:rPr>
                <w:bCs/>
                <w:kern w:val="0"/>
                <w:sz w:val="21"/>
                <w:szCs w:val="20"/>
              </w:rPr>
              <w:t>（m）</w:t>
            </w:r>
          </w:p>
        </w:tc>
        <w:tc>
          <w:tcPr>
            <w:tcW w:w="1230" w:type="dxa"/>
            <w:vAlign w:val="center"/>
          </w:tcPr>
          <w:p>
            <w:pPr>
              <w:autoSpaceDE w:val="0"/>
              <w:autoSpaceDN w:val="0"/>
              <w:snapToGrid/>
              <w:spacing w:line="240" w:lineRule="auto"/>
              <w:ind w:firstLine="0" w:firstLineChars="0"/>
              <w:jc w:val="center"/>
              <w:textAlignment w:val="bottom"/>
              <w:rPr>
                <w:bCs/>
                <w:kern w:val="0"/>
                <w:sz w:val="21"/>
                <w:szCs w:val="20"/>
              </w:rPr>
            </w:pPr>
            <w:r>
              <w:rPr>
                <w:rFonts w:hint="eastAsia"/>
                <w:bCs/>
                <w:kern w:val="0"/>
                <w:sz w:val="21"/>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9"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 xml:space="preserve">W1 </w:t>
            </w:r>
            <w:r>
              <w:rPr>
                <w:rFonts w:hint="eastAsia"/>
                <w:kern w:val="0"/>
                <w:sz w:val="21"/>
                <w:szCs w:val="20"/>
              </w:rPr>
              <w:t>潘家庄</w:t>
            </w:r>
          </w:p>
        </w:tc>
        <w:tc>
          <w:tcPr>
            <w:tcW w:w="2248" w:type="dxa"/>
            <w:vAlign w:val="center"/>
          </w:tcPr>
          <w:p>
            <w:pPr>
              <w:pStyle w:val="89"/>
            </w:pPr>
            <w:r>
              <w:t>N32°55′56.942″；E109°36′44.517″</w:t>
            </w:r>
          </w:p>
        </w:tc>
        <w:tc>
          <w:tcPr>
            <w:tcW w:w="1471"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336</w:t>
            </w:r>
          </w:p>
        </w:tc>
        <w:tc>
          <w:tcPr>
            <w:tcW w:w="147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3.5</w:t>
            </w:r>
          </w:p>
        </w:tc>
        <w:tc>
          <w:tcPr>
            <w:tcW w:w="123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snapToGrid w:val="0"/>
                <w:kern w:val="0"/>
                <w:sz w:val="21"/>
                <w:szCs w:val="20"/>
              </w:rPr>
              <w:t>水质/水位监测点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9"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 xml:space="preserve">W2 </w:t>
            </w:r>
            <w:r>
              <w:rPr>
                <w:rFonts w:hint="eastAsia"/>
                <w:kern w:val="0"/>
                <w:sz w:val="21"/>
                <w:szCs w:val="20"/>
              </w:rPr>
              <w:t>潘家坡</w:t>
            </w:r>
          </w:p>
        </w:tc>
        <w:tc>
          <w:tcPr>
            <w:tcW w:w="2248" w:type="dxa"/>
            <w:vAlign w:val="center"/>
          </w:tcPr>
          <w:p>
            <w:pPr>
              <w:pStyle w:val="89"/>
            </w:pPr>
            <w:r>
              <w:t>N32°56′9.228″</w:t>
            </w:r>
            <w:r>
              <w:rPr>
                <w:rFonts w:hint="eastAsia"/>
              </w:rPr>
              <w:t>；</w:t>
            </w:r>
            <w:r>
              <w:t>E1</w:t>
            </w:r>
            <w:r>
              <w:rPr>
                <w:rFonts w:hint="eastAsia"/>
              </w:rPr>
              <w:t>0</w:t>
            </w:r>
            <w:r>
              <w:t>9°37′2.342″</w:t>
            </w:r>
          </w:p>
        </w:tc>
        <w:tc>
          <w:tcPr>
            <w:tcW w:w="1471"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530</w:t>
            </w:r>
          </w:p>
        </w:tc>
        <w:tc>
          <w:tcPr>
            <w:tcW w:w="147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0.6</w:t>
            </w:r>
          </w:p>
        </w:tc>
        <w:tc>
          <w:tcPr>
            <w:tcW w:w="123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9"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 xml:space="preserve">W3 </w:t>
            </w:r>
            <w:r>
              <w:rPr>
                <w:rFonts w:hint="eastAsia"/>
                <w:kern w:val="0"/>
                <w:sz w:val="21"/>
                <w:szCs w:val="20"/>
              </w:rPr>
              <w:t>潘家庄</w:t>
            </w:r>
          </w:p>
        </w:tc>
        <w:tc>
          <w:tcPr>
            <w:tcW w:w="2248" w:type="dxa"/>
            <w:vAlign w:val="center"/>
          </w:tcPr>
          <w:p>
            <w:pPr>
              <w:pStyle w:val="89"/>
              <w:rPr>
                <w:highlight w:val="yellow"/>
              </w:rPr>
            </w:pPr>
            <w:r>
              <w:t>N32°55′51.512″</w:t>
            </w:r>
            <w:r>
              <w:rPr>
                <w:rFonts w:hint="eastAsia"/>
              </w:rPr>
              <w:t>；</w:t>
            </w:r>
            <w:r>
              <w:t>E1</w:t>
            </w:r>
            <w:r>
              <w:rPr>
                <w:rFonts w:hint="eastAsia"/>
              </w:rPr>
              <w:t>0</w:t>
            </w:r>
            <w:r>
              <w:t>9°36′49.210″</w:t>
            </w:r>
          </w:p>
        </w:tc>
        <w:tc>
          <w:tcPr>
            <w:tcW w:w="1471"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320</w:t>
            </w:r>
          </w:p>
        </w:tc>
        <w:tc>
          <w:tcPr>
            <w:tcW w:w="147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0.6</w:t>
            </w:r>
          </w:p>
        </w:tc>
        <w:tc>
          <w:tcPr>
            <w:tcW w:w="123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9"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W4</w:t>
            </w:r>
            <w:r>
              <w:rPr>
                <w:kern w:val="0"/>
                <w:sz w:val="21"/>
                <w:szCs w:val="20"/>
              </w:rPr>
              <w:t xml:space="preserve"> </w:t>
            </w:r>
            <w:r>
              <w:rPr>
                <w:rFonts w:hint="eastAsia"/>
                <w:kern w:val="0"/>
                <w:sz w:val="21"/>
                <w:szCs w:val="20"/>
              </w:rPr>
              <w:t>潘家坡</w:t>
            </w:r>
          </w:p>
        </w:tc>
        <w:tc>
          <w:tcPr>
            <w:tcW w:w="2248" w:type="dxa"/>
            <w:vAlign w:val="center"/>
          </w:tcPr>
          <w:p>
            <w:pPr>
              <w:pStyle w:val="89"/>
              <w:rPr>
                <w:highlight w:val="yellow"/>
              </w:rPr>
            </w:pPr>
            <w:r>
              <w:t>N32°56′6.69″；E109°37′17.77″</w:t>
            </w:r>
          </w:p>
        </w:tc>
        <w:tc>
          <w:tcPr>
            <w:tcW w:w="1471"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607</w:t>
            </w:r>
          </w:p>
        </w:tc>
        <w:tc>
          <w:tcPr>
            <w:tcW w:w="147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0.7</w:t>
            </w:r>
          </w:p>
        </w:tc>
        <w:tc>
          <w:tcPr>
            <w:tcW w:w="1230" w:type="dxa"/>
            <w:vMerge w:val="restart"/>
            <w:vAlign w:val="center"/>
          </w:tcPr>
          <w:p>
            <w:pPr>
              <w:autoSpaceDE w:val="0"/>
              <w:autoSpaceDN w:val="0"/>
              <w:snapToGrid/>
              <w:spacing w:line="240" w:lineRule="auto"/>
              <w:ind w:firstLine="0" w:firstLineChars="0"/>
              <w:jc w:val="center"/>
              <w:textAlignment w:val="bottom"/>
              <w:rPr>
                <w:snapToGrid w:val="0"/>
                <w:kern w:val="0"/>
                <w:sz w:val="21"/>
                <w:szCs w:val="20"/>
              </w:rPr>
            </w:pPr>
            <w:r>
              <w:rPr>
                <w:rFonts w:hint="eastAsia"/>
                <w:snapToGrid w:val="0"/>
                <w:kern w:val="0"/>
                <w:sz w:val="21"/>
                <w:szCs w:val="20"/>
              </w:rPr>
              <w:t>水位</w:t>
            </w:r>
            <w:r>
              <w:rPr>
                <w:snapToGrid w:val="0"/>
                <w:kern w:val="0"/>
                <w:sz w:val="21"/>
                <w:szCs w:val="20"/>
              </w:rPr>
              <w:t>监测点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9"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W5潘家坡</w:t>
            </w:r>
          </w:p>
        </w:tc>
        <w:tc>
          <w:tcPr>
            <w:tcW w:w="2248" w:type="dxa"/>
            <w:vAlign w:val="center"/>
          </w:tcPr>
          <w:p>
            <w:pPr>
              <w:pStyle w:val="89"/>
              <w:rPr>
                <w:highlight w:val="yellow"/>
              </w:rPr>
            </w:pPr>
            <w:r>
              <w:t>N32°56′10.54″</w:t>
            </w:r>
            <w:r>
              <w:rPr>
                <w:rFonts w:hint="eastAsia"/>
              </w:rPr>
              <w:t>；</w:t>
            </w:r>
            <w:r>
              <w:t>E1</w:t>
            </w:r>
            <w:r>
              <w:rPr>
                <w:rFonts w:hint="eastAsia"/>
              </w:rPr>
              <w:t>0</w:t>
            </w:r>
            <w:r>
              <w:t>9°36′52.40″</w:t>
            </w:r>
          </w:p>
        </w:tc>
        <w:tc>
          <w:tcPr>
            <w:tcW w:w="1471"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514</w:t>
            </w:r>
          </w:p>
        </w:tc>
        <w:tc>
          <w:tcPr>
            <w:tcW w:w="147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0.8</w:t>
            </w:r>
          </w:p>
        </w:tc>
        <w:tc>
          <w:tcPr>
            <w:tcW w:w="1230" w:type="dxa"/>
            <w:vMerge w:val="continue"/>
            <w:vAlign w:val="center"/>
          </w:tcPr>
          <w:p>
            <w:pPr>
              <w:autoSpaceDE w:val="0"/>
              <w:autoSpaceDN w:val="0"/>
              <w:snapToGrid/>
              <w:spacing w:line="240" w:lineRule="auto"/>
              <w:ind w:firstLine="0" w:firstLineChars="0"/>
              <w:jc w:val="center"/>
              <w:textAlignment w:val="bottom"/>
              <w:rPr>
                <w:snapToGrid w:val="0"/>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9"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W6李家坪</w:t>
            </w:r>
          </w:p>
        </w:tc>
        <w:tc>
          <w:tcPr>
            <w:tcW w:w="2248" w:type="dxa"/>
            <w:vAlign w:val="center"/>
          </w:tcPr>
          <w:p>
            <w:pPr>
              <w:pStyle w:val="89"/>
              <w:rPr>
                <w:highlight w:val="yellow"/>
              </w:rPr>
            </w:pPr>
            <w:r>
              <w:t>N32°56′25.10″</w:t>
            </w:r>
            <w:r>
              <w:rPr>
                <w:rFonts w:hint="eastAsia"/>
              </w:rPr>
              <w:t>；</w:t>
            </w:r>
            <w:r>
              <w:t>E1</w:t>
            </w:r>
            <w:r>
              <w:rPr>
                <w:rFonts w:hint="eastAsia"/>
              </w:rPr>
              <w:t>0</w:t>
            </w:r>
            <w:r>
              <w:t>9°36′30.29″</w:t>
            </w:r>
          </w:p>
        </w:tc>
        <w:tc>
          <w:tcPr>
            <w:tcW w:w="1471"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618</w:t>
            </w:r>
          </w:p>
        </w:tc>
        <w:tc>
          <w:tcPr>
            <w:tcW w:w="147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0.5</w:t>
            </w:r>
          </w:p>
        </w:tc>
        <w:tc>
          <w:tcPr>
            <w:tcW w:w="1230" w:type="dxa"/>
            <w:vMerge w:val="continue"/>
            <w:vAlign w:val="center"/>
          </w:tcPr>
          <w:p>
            <w:pPr>
              <w:autoSpaceDE w:val="0"/>
              <w:autoSpaceDN w:val="0"/>
              <w:snapToGrid/>
              <w:spacing w:line="240" w:lineRule="auto"/>
              <w:ind w:firstLine="0" w:firstLineChars="0"/>
              <w:jc w:val="center"/>
              <w:textAlignment w:val="bottom"/>
              <w:rPr>
                <w:snapToGrid w:val="0"/>
                <w:kern w:val="0"/>
                <w:sz w:val="21"/>
                <w:szCs w:val="20"/>
              </w:rPr>
            </w:pPr>
          </w:p>
        </w:tc>
      </w:tr>
    </w:tbl>
    <w:p>
      <w:pPr>
        <w:ind w:firstLine="480"/>
        <w:sectPr>
          <w:headerReference r:id="rId39" w:type="default"/>
          <w:headerReference r:id="rId40" w:type="even"/>
          <w:pgSz w:w="11906" w:h="16838"/>
          <w:pgMar w:top="1440" w:right="1800" w:bottom="1440" w:left="1800" w:header="992" w:footer="992" w:gutter="0"/>
          <w:pgNumType w:fmt="numberInDash"/>
          <w:cols w:space="425" w:num="1"/>
          <w:docGrid w:type="lines" w:linePitch="326" w:charSpace="0"/>
        </w:sectPr>
      </w:pPr>
    </w:p>
    <w:p>
      <w:pPr>
        <w:spacing w:line="240" w:lineRule="auto"/>
        <w:ind w:firstLine="0" w:firstLineChars="0"/>
        <w:jc w:val="center"/>
        <w:rPr>
          <w:b/>
          <w:sz w:val="21"/>
          <w:szCs w:val="24"/>
        </w:rPr>
      </w:pPr>
      <w:r>
        <w:rPr>
          <w:b/>
          <w:sz w:val="21"/>
          <w:szCs w:val="24"/>
        </w:rPr>
        <w:t xml:space="preserve">表4.2-12   地下水质量现状监测及评价结果   </w:t>
      </w:r>
      <w:r>
        <w:rPr>
          <w:b/>
          <w:bCs/>
          <w:sz w:val="21"/>
          <w:szCs w:val="24"/>
        </w:rPr>
        <w:t>单位：mg/L，pH无量纲</w:t>
      </w:r>
    </w:p>
    <w:tbl>
      <w:tblPr>
        <w:tblStyle w:val="27"/>
        <w:tblW w:w="13928" w:type="dxa"/>
        <w:jc w:val="center"/>
        <w:tblInd w:w="0" w:type="dxa"/>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844"/>
        <w:gridCol w:w="2267"/>
        <w:gridCol w:w="2125"/>
        <w:gridCol w:w="2128"/>
        <w:gridCol w:w="1674"/>
        <w:gridCol w:w="1883"/>
        <w:gridCol w:w="1312"/>
      </w:tblGrid>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jc w:val="center"/>
        </w:trPr>
        <w:tc>
          <w:tcPr>
            <w:tcW w:w="695"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1844"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监测项目</w:t>
            </w:r>
          </w:p>
        </w:tc>
        <w:tc>
          <w:tcPr>
            <w:tcW w:w="6520" w:type="dxa"/>
            <w:gridSpan w:val="3"/>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监测结果（mg/L）</w:t>
            </w:r>
          </w:p>
        </w:tc>
        <w:tc>
          <w:tcPr>
            <w:tcW w:w="1674"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标准（mg/L）</w:t>
            </w:r>
          </w:p>
        </w:tc>
        <w:tc>
          <w:tcPr>
            <w:tcW w:w="1883"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单因子指数</w:t>
            </w:r>
          </w:p>
        </w:tc>
        <w:tc>
          <w:tcPr>
            <w:tcW w:w="1312"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达标情况</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jc w:val="center"/>
        </w:trPr>
        <w:tc>
          <w:tcPr>
            <w:tcW w:w="695"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84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6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W1</w:t>
            </w:r>
            <w:r>
              <w:rPr>
                <w:rFonts w:hint="eastAsia"/>
                <w:kern w:val="0"/>
                <w:sz w:val="21"/>
                <w:szCs w:val="20"/>
              </w:rPr>
              <w:t>潘家庄</w:t>
            </w:r>
          </w:p>
        </w:tc>
        <w:tc>
          <w:tcPr>
            <w:tcW w:w="212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W2</w:t>
            </w:r>
            <w:r>
              <w:rPr>
                <w:rFonts w:hint="eastAsia"/>
                <w:kern w:val="0"/>
                <w:sz w:val="21"/>
                <w:szCs w:val="20"/>
              </w:rPr>
              <w:t>潘家坡监测井</w:t>
            </w:r>
          </w:p>
        </w:tc>
        <w:tc>
          <w:tcPr>
            <w:tcW w:w="212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W3</w:t>
            </w:r>
            <w:r>
              <w:rPr>
                <w:rFonts w:hint="eastAsia"/>
                <w:kern w:val="0"/>
                <w:sz w:val="21"/>
                <w:szCs w:val="20"/>
              </w:rPr>
              <w:t>潘家庄</w:t>
            </w:r>
            <w:r>
              <w:rPr>
                <w:kern w:val="0"/>
                <w:sz w:val="21"/>
                <w:szCs w:val="20"/>
              </w:rPr>
              <w:t>监测井</w:t>
            </w:r>
          </w:p>
        </w:tc>
        <w:tc>
          <w:tcPr>
            <w:tcW w:w="1674" w:type="dxa"/>
            <w:vMerge w:val="continue"/>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883" w:type="dxa"/>
            <w:vMerge w:val="continue"/>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312" w:type="dxa"/>
            <w:vMerge w:val="continue"/>
            <w:vAlign w:val="center"/>
          </w:tcPr>
          <w:p>
            <w:pPr>
              <w:autoSpaceDE w:val="0"/>
              <w:autoSpaceDN w:val="0"/>
              <w:snapToGrid/>
              <w:spacing w:line="240" w:lineRule="auto"/>
              <w:ind w:firstLine="0" w:firstLineChars="0"/>
              <w:jc w:val="center"/>
              <w:textAlignment w:val="bottom"/>
              <w:rPr>
                <w:kern w:val="0"/>
                <w:sz w:val="21"/>
                <w:szCs w:val="20"/>
                <w:highlight w:val="yellow"/>
              </w:rPr>
            </w:pP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pH</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8.2</w:t>
            </w:r>
            <w:r>
              <w:rPr>
                <w:kern w:val="0"/>
                <w:sz w:val="22"/>
                <w:szCs w:val="20"/>
              </w:rPr>
              <w:t>~8.4</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8.1</w:t>
            </w:r>
            <w:r>
              <w:rPr>
                <w:kern w:val="0"/>
                <w:sz w:val="22"/>
                <w:szCs w:val="20"/>
              </w:rPr>
              <w:t>~8.3</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8.4~</w:t>
            </w:r>
            <w:r>
              <w:rPr>
                <w:rFonts w:hint="eastAsia"/>
                <w:kern w:val="0"/>
                <w:sz w:val="22"/>
                <w:szCs w:val="20"/>
              </w:rPr>
              <w:t>8.5</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6.5-8.5</w:t>
            </w:r>
          </w:p>
        </w:tc>
        <w:tc>
          <w:tcPr>
            <w:tcW w:w="1883" w:type="dxa"/>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0.73~1</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K</w:t>
            </w:r>
            <w:r>
              <w:rPr>
                <w:kern w:val="0"/>
                <w:sz w:val="21"/>
                <w:szCs w:val="20"/>
                <w:vertAlign w:val="superscript"/>
              </w:rPr>
              <w:t>+</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1.41~</w:t>
            </w:r>
            <w:r>
              <w:rPr>
                <w:rFonts w:hint="eastAsia"/>
                <w:kern w:val="0"/>
                <w:sz w:val="22"/>
                <w:szCs w:val="20"/>
              </w:rPr>
              <w:t>1.47</w:t>
            </w:r>
            <w:r>
              <w:rPr>
                <w:kern w:val="0"/>
                <w:sz w:val="22"/>
                <w:szCs w:val="20"/>
              </w:rPr>
              <w:t xml:space="preserve">   </w:t>
            </w:r>
          </w:p>
        </w:tc>
        <w:tc>
          <w:tcPr>
            <w:tcW w:w="2125" w:type="dxa"/>
            <w:vAlign w:val="center"/>
          </w:tcPr>
          <w:p>
            <w:pPr>
              <w:autoSpaceDE w:val="0"/>
              <w:autoSpaceDN w:val="0"/>
              <w:snapToGrid/>
              <w:spacing w:line="240" w:lineRule="auto"/>
              <w:ind w:firstLine="0" w:firstLineChars="0"/>
              <w:jc w:val="center"/>
              <w:textAlignment w:val="bottom"/>
              <w:rPr>
                <w:kern w:val="0"/>
                <w:sz w:val="21"/>
                <w:szCs w:val="20"/>
                <w:highlight w:val="yellow"/>
              </w:rPr>
            </w:pPr>
            <w:r>
              <w:rPr>
                <w:rFonts w:hint="eastAsia"/>
                <w:kern w:val="0"/>
                <w:sz w:val="21"/>
                <w:szCs w:val="20"/>
              </w:rPr>
              <w:t>1.31</w:t>
            </w:r>
            <w:r>
              <w:rPr>
                <w:kern w:val="0"/>
                <w:sz w:val="21"/>
                <w:szCs w:val="20"/>
              </w:rPr>
              <w:t>~1.32</w:t>
            </w:r>
          </w:p>
        </w:tc>
        <w:tc>
          <w:tcPr>
            <w:tcW w:w="212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1.38~</w:t>
            </w:r>
            <w:r>
              <w:rPr>
                <w:rFonts w:hint="eastAsia"/>
                <w:kern w:val="0"/>
                <w:sz w:val="21"/>
                <w:szCs w:val="20"/>
              </w:rPr>
              <w:t>1.</w:t>
            </w:r>
            <w:r>
              <w:rPr>
                <w:kern w:val="0"/>
                <w:sz w:val="21"/>
                <w:szCs w:val="20"/>
              </w:rPr>
              <w:t>40</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Na</w:t>
            </w:r>
            <w:r>
              <w:rPr>
                <w:kern w:val="0"/>
                <w:sz w:val="21"/>
                <w:szCs w:val="20"/>
                <w:vertAlign w:val="superscript"/>
              </w:rPr>
              <w:t>+</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12.0~</w:t>
            </w:r>
            <w:r>
              <w:rPr>
                <w:rFonts w:hint="eastAsia"/>
                <w:kern w:val="0"/>
                <w:sz w:val="22"/>
                <w:szCs w:val="20"/>
              </w:rPr>
              <w:t>12.2</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13.3</w:t>
            </w:r>
            <w:r>
              <w:rPr>
                <w:kern w:val="0"/>
                <w:sz w:val="22"/>
                <w:szCs w:val="20"/>
              </w:rPr>
              <w:t xml:space="preserve">~13.4 </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11.0</w:t>
            </w:r>
            <w:r>
              <w:rPr>
                <w:kern w:val="0"/>
                <w:sz w:val="22"/>
                <w:szCs w:val="20"/>
              </w:rPr>
              <w:t>~11.1</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≤200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0.055~0.067</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Ca</w:t>
            </w:r>
            <w:r>
              <w:rPr>
                <w:kern w:val="0"/>
                <w:sz w:val="21"/>
                <w:szCs w:val="20"/>
                <w:vertAlign w:val="superscript"/>
              </w:rPr>
              <w:t>2+</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57.0~</w:t>
            </w:r>
            <w:r>
              <w:rPr>
                <w:rFonts w:hint="eastAsia"/>
                <w:kern w:val="0"/>
                <w:sz w:val="22"/>
                <w:szCs w:val="20"/>
              </w:rPr>
              <w:t>57.9</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69.</w:t>
            </w:r>
            <w:r>
              <w:rPr>
                <w:kern w:val="0"/>
                <w:sz w:val="22"/>
                <w:szCs w:val="20"/>
              </w:rPr>
              <w:t xml:space="preserve">1~ 69.5 </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47.</w:t>
            </w:r>
            <w:r>
              <w:rPr>
                <w:kern w:val="0"/>
                <w:sz w:val="22"/>
                <w:szCs w:val="20"/>
              </w:rPr>
              <w:t>4~47.7</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Mg</w:t>
            </w:r>
            <w:r>
              <w:rPr>
                <w:kern w:val="0"/>
                <w:sz w:val="21"/>
                <w:szCs w:val="20"/>
                <w:vertAlign w:val="superscript"/>
              </w:rPr>
              <w:t>2+</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24.7~25.1</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14.4</w:t>
            </w:r>
            <w:r>
              <w:rPr>
                <w:kern w:val="0"/>
                <w:sz w:val="22"/>
                <w:szCs w:val="20"/>
              </w:rPr>
              <w:t>~14.5</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36.</w:t>
            </w:r>
            <w:r>
              <w:rPr>
                <w:kern w:val="0"/>
                <w:sz w:val="22"/>
                <w:szCs w:val="20"/>
              </w:rPr>
              <w:t>1~ 36.4</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氯化物</w:t>
            </w:r>
            <w:r>
              <w:rPr>
                <w:kern w:val="0"/>
                <w:sz w:val="21"/>
                <w:szCs w:val="20"/>
              </w:rPr>
              <w:t>（Cl</w:t>
            </w:r>
            <w:r>
              <w:rPr>
                <w:kern w:val="0"/>
                <w:sz w:val="21"/>
                <w:szCs w:val="20"/>
                <w:vertAlign w:val="superscript"/>
              </w:rPr>
              <w:t>-</w:t>
            </w:r>
            <w:r>
              <w:rPr>
                <w:kern w:val="0"/>
                <w:sz w:val="21"/>
                <w:szCs w:val="20"/>
              </w:rPr>
              <w:t>）</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4.75</w:t>
            </w:r>
            <w:r>
              <w:rPr>
                <w:kern w:val="0"/>
                <w:sz w:val="22"/>
                <w:szCs w:val="20"/>
              </w:rPr>
              <w:t>~5.07</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5.50</w:t>
            </w:r>
            <w:r>
              <w:rPr>
                <w:kern w:val="0"/>
                <w:sz w:val="22"/>
                <w:szCs w:val="20"/>
              </w:rPr>
              <w:t>~5.88</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4.09~</w:t>
            </w:r>
            <w:r>
              <w:rPr>
                <w:rFonts w:hint="eastAsia"/>
                <w:kern w:val="0"/>
                <w:sz w:val="22"/>
                <w:szCs w:val="20"/>
              </w:rPr>
              <w:t>4.18</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≤250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0.016~0.023</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硫酸盐（SO</w:t>
            </w:r>
            <w:r>
              <w:rPr>
                <w:rFonts w:hint="eastAsia"/>
                <w:kern w:val="0"/>
                <w:sz w:val="21"/>
                <w:szCs w:val="20"/>
                <w:vertAlign w:val="subscript"/>
              </w:rPr>
              <w:t>4</w:t>
            </w:r>
            <w:r>
              <w:rPr>
                <w:rFonts w:hint="eastAsia"/>
                <w:kern w:val="0"/>
                <w:sz w:val="21"/>
                <w:szCs w:val="20"/>
                <w:vertAlign w:val="superscript"/>
              </w:rPr>
              <w:t>2-</w:t>
            </w:r>
            <w:r>
              <w:rPr>
                <w:rFonts w:hint="eastAsia"/>
                <w:kern w:val="0"/>
                <w:sz w:val="21"/>
                <w:szCs w:val="20"/>
              </w:rPr>
              <w:t>）</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22.1</w:t>
            </w:r>
            <w:r>
              <w:rPr>
                <w:kern w:val="0"/>
                <w:sz w:val="22"/>
                <w:szCs w:val="20"/>
              </w:rPr>
              <w:t>~21.9</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37.</w:t>
            </w:r>
            <w:r>
              <w:rPr>
                <w:kern w:val="0"/>
                <w:sz w:val="22"/>
                <w:szCs w:val="20"/>
              </w:rPr>
              <w:t>2~37.5</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8.83</w:t>
            </w:r>
            <w:r>
              <w:rPr>
                <w:kern w:val="0"/>
                <w:sz w:val="22"/>
                <w:szCs w:val="20"/>
              </w:rPr>
              <w:t>~9.24</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≤250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0.035~0.15</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硝酸盐氮</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0.887~</w:t>
            </w:r>
            <w:r>
              <w:rPr>
                <w:rFonts w:hint="eastAsia"/>
                <w:kern w:val="0"/>
                <w:sz w:val="22"/>
                <w:szCs w:val="20"/>
              </w:rPr>
              <w:t>1.08</w:t>
            </w:r>
          </w:p>
        </w:tc>
        <w:tc>
          <w:tcPr>
            <w:tcW w:w="212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1.16~</w:t>
            </w:r>
            <w:r>
              <w:rPr>
                <w:rFonts w:hint="eastAsia"/>
                <w:kern w:val="0"/>
                <w:sz w:val="21"/>
                <w:szCs w:val="20"/>
              </w:rPr>
              <w:t>1.25</w:t>
            </w:r>
          </w:p>
        </w:tc>
        <w:tc>
          <w:tcPr>
            <w:tcW w:w="212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0.762~</w:t>
            </w:r>
            <w:r>
              <w:rPr>
                <w:rFonts w:hint="eastAsia"/>
                <w:kern w:val="0"/>
                <w:sz w:val="21"/>
                <w:szCs w:val="20"/>
              </w:rPr>
              <w:t>0.8</w:t>
            </w:r>
            <w:r>
              <w:rPr>
                <w:kern w:val="0"/>
                <w:sz w:val="21"/>
                <w:szCs w:val="20"/>
              </w:rPr>
              <w:t>59</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≤20</w:t>
            </w:r>
          </w:p>
        </w:tc>
        <w:tc>
          <w:tcPr>
            <w:tcW w:w="1883" w:type="dxa"/>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0.038~0.063</w:t>
            </w:r>
          </w:p>
        </w:tc>
        <w:tc>
          <w:tcPr>
            <w:tcW w:w="1312" w:type="dxa"/>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亚硝酸盐氮</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0.036~</w:t>
            </w:r>
            <w:r>
              <w:rPr>
                <w:rFonts w:hint="eastAsia"/>
                <w:kern w:val="0"/>
                <w:sz w:val="22"/>
                <w:szCs w:val="20"/>
              </w:rPr>
              <w:t>0.053</w:t>
            </w:r>
          </w:p>
        </w:tc>
        <w:tc>
          <w:tcPr>
            <w:tcW w:w="2125"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0.024</w:t>
            </w:r>
            <w:r>
              <w:rPr>
                <w:kern w:val="0"/>
                <w:sz w:val="21"/>
                <w:szCs w:val="20"/>
              </w:rPr>
              <w:t>~0.061</w:t>
            </w:r>
          </w:p>
        </w:tc>
        <w:tc>
          <w:tcPr>
            <w:tcW w:w="2128" w:type="dxa"/>
          </w:tcPr>
          <w:p>
            <w:pPr>
              <w:autoSpaceDE w:val="0"/>
              <w:autoSpaceDN w:val="0"/>
              <w:snapToGrid/>
              <w:spacing w:line="240" w:lineRule="auto"/>
              <w:ind w:firstLine="0" w:firstLineChars="0"/>
              <w:jc w:val="center"/>
              <w:textAlignment w:val="bottom"/>
              <w:rPr>
                <w:kern w:val="0"/>
                <w:sz w:val="21"/>
                <w:szCs w:val="20"/>
              </w:rPr>
            </w:pPr>
            <w:r>
              <w:rPr>
                <w:kern w:val="0"/>
                <w:sz w:val="21"/>
                <w:szCs w:val="20"/>
              </w:rPr>
              <w:t>0.055~</w:t>
            </w:r>
            <w:r>
              <w:rPr>
                <w:rFonts w:hint="eastAsia"/>
                <w:kern w:val="0"/>
                <w:sz w:val="21"/>
                <w:szCs w:val="20"/>
              </w:rPr>
              <w:t xml:space="preserve">0.076 </w:t>
            </w:r>
            <w:r>
              <w:rPr>
                <w:kern w:val="0"/>
                <w:sz w:val="21"/>
                <w:szCs w:val="20"/>
              </w:rPr>
              <w:t xml:space="preserve"> </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0.024~0.076</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氟化物</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0.659~0.696</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0.676</w:t>
            </w:r>
            <w:r>
              <w:rPr>
                <w:kern w:val="0"/>
                <w:sz w:val="22"/>
                <w:szCs w:val="20"/>
              </w:rPr>
              <w:t>~0.742</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0.4</w:t>
            </w:r>
            <w:r>
              <w:rPr>
                <w:kern w:val="0"/>
                <w:sz w:val="22"/>
                <w:szCs w:val="20"/>
              </w:rPr>
              <w:t>42~ 0.484</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0.442~0.742</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氰化物</w:t>
            </w:r>
          </w:p>
        </w:tc>
        <w:tc>
          <w:tcPr>
            <w:tcW w:w="2267"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kern w:val="0"/>
                <w:sz w:val="22"/>
                <w:szCs w:val="20"/>
              </w:rPr>
              <w:t>0.001ND</w:t>
            </w:r>
          </w:p>
        </w:tc>
        <w:tc>
          <w:tcPr>
            <w:tcW w:w="2125" w:type="dxa"/>
          </w:tcPr>
          <w:p>
            <w:pPr>
              <w:pStyle w:val="89"/>
            </w:pPr>
            <w:r>
              <w:t>0.001ND</w:t>
            </w:r>
          </w:p>
        </w:tc>
        <w:tc>
          <w:tcPr>
            <w:tcW w:w="2128" w:type="dxa"/>
          </w:tcPr>
          <w:p>
            <w:pPr>
              <w:pStyle w:val="89"/>
            </w:pPr>
            <w:r>
              <w:t>0.001ND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≤0.05</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碳酸</w:t>
            </w:r>
            <w:r>
              <w:rPr>
                <w:kern w:val="0"/>
                <w:sz w:val="21"/>
                <w:szCs w:val="20"/>
              </w:rPr>
              <w:t>根CO</w:t>
            </w:r>
            <w:r>
              <w:rPr>
                <w:kern w:val="0"/>
                <w:sz w:val="21"/>
                <w:szCs w:val="20"/>
                <w:vertAlign w:val="subscript"/>
              </w:rPr>
              <w:t>3</w:t>
            </w:r>
            <w:r>
              <w:rPr>
                <w:kern w:val="0"/>
                <w:sz w:val="21"/>
                <w:szCs w:val="20"/>
                <w:vertAlign w:val="superscript"/>
              </w:rPr>
              <w:t>2-</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13</w:t>
            </w:r>
            <w:r>
              <w:rPr>
                <w:kern w:val="0"/>
                <w:sz w:val="22"/>
                <w:szCs w:val="20"/>
              </w:rPr>
              <w:t>~16</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5~</w:t>
            </w:r>
            <w:r>
              <w:rPr>
                <w:rFonts w:hint="eastAsia"/>
                <w:kern w:val="0"/>
                <w:sz w:val="22"/>
                <w:szCs w:val="20"/>
              </w:rPr>
              <w:t>7</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27~</w:t>
            </w:r>
            <w:r>
              <w:rPr>
                <w:rFonts w:hint="eastAsia"/>
                <w:kern w:val="0"/>
                <w:sz w:val="22"/>
                <w:szCs w:val="20"/>
              </w:rPr>
              <w:t>29</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重碳酸</w:t>
            </w:r>
            <w:r>
              <w:rPr>
                <w:kern w:val="0"/>
                <w:sz w:val="21"/>
                <w:szCs w:val="20"/>
              </w:rPr>
              <w:t>根HCO</w:t>
            </w:r>
            <w:r>
              <w:rPr>
                <w:kern w:val="0"/>
                <w:sz w:val="21"/>
                <w:szCs w:val="20"/>
                <w:vertAlign w:val="subscript"/>
              </w:rPr>
              <w:t>3</w:t>
            </w:r>
            <w:r>
              <w:rPr>
                <w:kern w:val="0"/>
                <w:sz w:val="21"/>
                <w:szCs w:val="20"/>
                <w:vertAlign w:val="superscript"/>
              </w:rPr>
              <w:t>-</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276~279</w:t>
            </w:r>
          </w:p>
        </w:tc>
        <w:tc>
          <w:tcPr>
            <w:tcW w:w="2125"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kern w:val="0"/>
                <w:sz w:val="22"/>
                <w:szCs w:val="20"/>
              </w:rPr>
              <w:t xml:space="preserve">254~256 </w:t>
            </w:r>
          </w:p>
        </w:tc>
        <w:tc>
          <w:tcPr>
            <w:tcW w:w="2128"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kern w:val="0"/>
                <w:sz w:val="22"/>
                <w:szCs w:val="20"/>
              </w:rPr>
              <w:t xml:space="preserve">275~279 </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总硬度</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250~</w:t>
            </w:r>
            <w:r>
              <w:rPr>
                <w:rFonts w:hint="eastAsia"/>
                <w:kern w:val="0"/>
                <w:sz w:val="22"/>
                <w:szCs w:val="20"/>
              </w:rPr>
              <w:t>265</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24</w:t>
            </w:r>
            <w:r>
              <w:rPr>
                <w:kern w:val="0"/>
                <w:sz w:val="22"/>
                <w:szCs w:val="20"/>
              </w:rPr>
              <w:t xml:space="preserve">0~260 </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242~</w:t>
            </w:r>
            <w:r>
              <w:rPr>
                <w:rFonts w:hint="eastAsia"/>
                <w:kern w:val="0"/>
                <w:sz w:val="22"/>
                <w:szCs w:val="20"/>
              </w:rPr>
              <w:t>254</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≤450</w:t>
            </w:r>
          </w:p>
        </w:tc>
        <w:tc>
          <w:tcPr>
            <w:tcW w:w="1883" w:type="dxa"/>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0.53~0.59</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溶解性总固体</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30</w:t>
            </w:r>
            <w:r>
              <w:rPr>
                <w:kern w:val="0"/>
                <w:sz w:val="22"/>
                <w:szCs w:val="20"/>
              </w:rPr>
              <w:t>0~316</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28</w:t>
            </w:r>
            <w:r>
              <w:rPr>
                <w:kern w:val="0"/>
                <w:sz w:val="22"/>
                <w:szCs w:val="20"/>
              </w:rPr>
              <w:t>0~300</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278</w:t>
            </w:r>
            <w:r>
              <w:rPr>
                <w:kern w:val="0"/>
                <w:sz w:val="22"/>
                <w:szCs w:val="20"/>
              </w:rPr>
              <w:t>~302</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≤1000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0.28~0.32</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氨氮</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0.046</w:t>
            </w:r>
            <w:r>
              <w:rPr>
                <w:kern w:val="0"/>
                <w:sz w:val="22"/>
                <w:szCs w:val="20"/>
              </w:rPr>
              <w:t>~0.053</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0.060</w:t>
            </w:r>
            <w:r>
              <w:rPr>
                <w:kern w:val="0"/>
                <w:sz w:val="22"/>
                <w:szCs w:val="20"/>
              </w:rPr>
              <w:t>~0.063</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w:t>
            </w:r>
            <w:r>
              <w:rPr>
                <w:kern w:val="0"/>
                <w:sz w:val="22"/>
                <w:szCs w:val="20"/>
              </w:rPr>
              <w:t>41~0.071</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≤0.5</w:t>
            </w:r>
          </w:p>
        </w:tc>
        <w:tc>
          <w:tcPr>
            <w:tcW w:w="1883" w:type="dxa"/>
            <w:vAlign w:val="center"/>
          </w:tcPr>
          <w:p>
            <w:pPr>
              <w:autoSpaceDE w:val="0"/>
              <w:autoSpaceDN w:val="0"/>
              <w:snapToGrid/>
              <w:spacing w:line="240" w:lineRule="auto"/>
              <w:ind w:firstLine="0" w:firstLineChars="0"/>
              <w:jc w:val="center"/>
              <w:textAlignment w:val="bottom"/>
              <w:rPr>
                <w:kern w:val="0"/>
                <w:sz w:val="21"/>
                <w:szCs w:val="20"/>
                <w:highlight w:val="yellow"/>
              </w:rPr>
            </w:pPr>
            <w:r>
              <w:rPr>
                <w:kern w:val="0"/>
                <w:sz w:val="21"/>
                <w:szCs w:val="20"/>
              </w:rPr>
              <w:t>0.082~0.142</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汞μ</w:t>
            </w:r>
            <w:r>
              <w:rPr>
                <w:rFonts w:hint="eastAsia"/>
                <w:kern w:val="0"/>
                <w:sz w:val="21"/>
                <w:szCs w:val="20"/>
              </w:rPr>
              <w:t>g/L</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0.04</w:t>
            </w:r>
            <w:r>
              <w:rPr>
                <w:kern w:val="0"/>
                <w:sz w:val="22"/>
                <w:szCs w:val="20"/>
              </w:rPr>
              <w:t>ND</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0.04ND</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0.04ND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≤0.001mg/L</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砷μ</w:t>
            </w:r>
            <w:r>
              <w:rPr>
                <w:rFonts w:hint="eastAsia"/>
                <w:kern w:val="0"/>
                <w:sz w:val="21"/>
                <w:szCs w:val="20"/>
              </w:rPr>
              <w:t>g/L</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0.3</w:t>
            </w:r>
            <w:r>
              <w:rPr>
                <w:kern w:val="0"/>
                <w:sz w:val="22"/>
                <w:szCs w:val="20"/>
              </w:rPr>
              <w:t>ND</w:t>
            </w:r>
          </w:p>
        </w:tc>
        <w:tc>
          <w:tcPr>
            <w:tcW w:w="2125"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rFonts w:hint="eastAsia"/>
                <w:kern w:val="0"/>
                <w:sz w:val="22"/>
                <w:szCs w:val="20"/>
              </w:rPr>
              <w:t>0.3</w:t>
            </w:r>
            <w:r>
              <w:rPr>
                <w:kern w:val="0"/>
                <w:sz w:val="22"/>
                <w:szCs w:val="20"/>
              </w:rPr>
              <w:t>ND</w:t>
            </w:r>
          </w:p>
        </w:tc>
        <w:tc>
          <w:tcPr>
            <w:tcW w:w="2128"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rFonts w:hint="eastAsia"/>
                <w:kern w:val="0"/>
                <w:sz w:val="22"/>
                <w:szCs w:val="20"/>
              </w:rPr>
              <w:t>0.3</w:t>
            </w:r>
            <w:r>
              <w:rPr>
                <w:kern w:val="0"/>
                <w:sz w:val="22"/>
                <w:szCs w:val="20"/>
              </w:rPr>
              <w:t>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≤0.01mg/L</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六价铬</w:t>
            </w:r>
          </w:p>
        </w:tc>
        <w:tc>
          <w:tcPr>
            <w:tcW w:w="2267"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kern w:val="0"/>
                <w:sz w:val="22"/>
                <w:szCs w:val="20"/>
              </w:rPr>
              <w:t>0.004ND</w:t>
            </w:r>
          </w:p>
        </w:tc>
        <w:tc>
          <w:tcPr>
            <w:tcW w:w="2125"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kern w:val="0"/>
                <w:sz w:val="22"/>
                <w:szCs w:val="20"/>
              </w:rPr>
              <w:t>0.004ND</w:t>
            </w:r>
          </w:p>
        </w:tc>
        <w:tc>
          <w:tcPr>
            <w:tcW w:w="2128"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kern w:val="0"/>
                <w:sz w:val="22"/>
                <w:szCs w:val="20"/>
              </w:rPr>
              <w:t>0.004ND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≤0.05</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铁</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1"/>
                <w:szCs w:val="20"/>
              </w:rPr>
              <w:t>0.03ND</w:t>
            </w:r>
          </w:p>
        </w:tc>
        <w:tc>
          <w:tcPr>
            <w:tcW w:w="2125" w:type="dxa"/>
          </w:tcPr>
          <w:p>
            <w:pPr>
              <w:autoSpaceDE w:val="0"/>
              <w:autoSpaceDN w:val="0"/>
              <w:snapToGrid/>
              <w:spacing w:line="240" w:lineRule="auto"/>
              <w:ind w:firstLine="0" w:firstLineChars="0"/>
              <w:jc w:val="center"/>
              <w:textAlignment w:val="bottom"/>
              <w:rPr>
                <w:kern w:val="0"/>
                <w:sz w:val="22"/>
                <w:szCs w:val="20"/>
              </w:rPr>
            </w:pPr>
            <w:r>
              <w:rPr>
                <w:kern w:val="0"/>
                <w:sz w:val="21"/>
                <w:szCs w:val="20"/>
              </w:rPr>
              <w:t>0.03ND</w:t>
            </w:r>
          </w:p>
        </w:tc>
        <w:tc>
          <w:tcPr>
            <w:tcW w:w="2128" w:type="dxa"/>
          </w:tcPr>
          <w:p>
            <w:pPr>
              <w:autoSpaceDE w:val="0"/>
              <w:autoSpaceDN w:val="0"/>
              <w:snapToGrid/>
              <w:spacing w:line="240" w:lineRule="auto"/>
              <w:ind w:firstLine="0" w:firstLineChars="0"/>
              <w:jc w:val="center"/>
              <w:textAlignment w:val="bottom"/>
              <w:rPr>
                <w:b/>
                <w:kern w:val="0"/>
                <w:sz w:val="22"/>
                <w:szCs w:val="20"/>
              </w:rPr>
            </w:pPr>
            <w:r>
              <w:rPr>
                <w:kern w:val="0"/>
                <w:sz w:val="21"/>
                <w:szCs w:val="20"/>
              </w:rPr>
              <w:t>0.03ND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≤0.3</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铅</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0.001ND</w:t>
            </w:r>
          </w:p>
        </w:tc>
        <w:tc>
          <w:tcPr>
            <w:tcW w:w="2125" w:type="dxa"/>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0.001ND</w:t>
            </w:r>
          </w:p>
        </w:tc>
        <w:tc>
          <w:tcPr>
            <w:tcW w:w="2128" w:type="dxa"/>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0.001ND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≤0.01</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镉</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0.0001ND</w:t>
            </w:r>
          </w:p>
        </w:tc>
        <w:tc>
          <w:tcPr>
            <w:tcW w:w="2125"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rFonts w:hint="eastAsia"/>
                <w:kern w:val="0"/>
                <w:sz w:val="22"/>
                <w:szCs w:val="20"/>
              </w:rPr>
              <w:t>0.0001ND</w:t>
            </w:r>
          </w:p>
        </w:tc>
        <w:tc>
          <w:tcPr>
            <w:tcW w:w="2128" w:type="dxa"/>
            <w:vAlign w:val="center"/>
          </w:tcPr>
          <w:p>
            <w:pPr>
              <w:autoSpaceDE w:val="0"/>
              <w:autoSpaceDN w:val="0"/>
              <w:snapToGrid/>
              <w:spacing w:line="240" w:lineRule="auto"/>
              <w:ind w:firstLine="0" w:firstLineChars="0"/>
              <w:jc w:val="center"/>
              <w:textAlignment w:val="bottom"/>
              <w:rPr>
                <w:kern w:val="0"/>
                <w:sz w:val="22"/>
                <w:szCs w:val="20"/>
                <w:highlight w:val="yellow"/>
              </w:rPr>
            </w:pPr>
            <w:r>
              <w:rPr>
                <w:rFonts w:hint="eastAsia"/>
                <w:kern w:val="0"/>
                <w:sz w:val="22"/>
                <w:szCs w:val="20"/>
              </w:rPr>
              <w:t>0.0001ND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≤0.005</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锰</w:t>
            </w:r>
          </w:p>
        </w:tc>
        <w:tc>
          <w:tcPr>
            <w:tcW w:w="2267" w:type="dxa"/>
            <w:vAlign w:val="center"/>
          </w:tcPr>
          <w:p>
            <w:pPr>
              <w:pStyle w:val="89"/>
            </w:pPr>
            <w:r>
              <w:t>0.01</w:t>
            </w:r>
            <w:r>
              <w:rPr>
                <w:rFonts w:hint="eastAsia"/>
              </w:rPr>
              <w:t>ND</w:t>
            </w:r>
          </w:p>
        </w:tc>
        <w:tc>
          <w:tcPr>
            <w:tcW w:w="2125" w:type="dxa"/>
          </w:tcPr>
          <w:p>
            <w:pPr>
              <w:pStyle w:val="89"/>
            </w:pPr>
            <w:r>
              <w:t>0.01</w:t>
            </w:r>
            <w:r>
              <w:rPr>
                <w:rFonts w:hint="eastAsia"/>
              </w:rPr>
              <w:t>ND</w:t>
            </w:r>
          </w:p>
        </w:tc>
        <w:tc>
          <w:tcPr>
            <w:tcW w:w="2128" w:type="dxa"/>
          </w:tcPr>
          <w:p>
            <w:pPr>
              <w:pStyle w:val="89"/>
            </w:pPr>
            <w:r>
              <w:t>0.01</w:t>
            </w:r>
            <w:r>
              <w:rPr>
                <w:rFonts w:hint="eastAsia"/>
              </w:rPr>
              <w:t>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≤0.10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总大肠菌群</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w:t>
            </w:r>
            <w:r>
              <w:rPr>
                <w:kern w:val="0"/>
                <w:sz w:val="22"/>
                <w:szCs w:val="20"/>
              </w:rPr>
              <w:t>ND</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w:t>
            </w:r>
            <w:r>
              <w:rPr>
                <w:kern w:val="0"/>
                <w:sz w:val="22"/>
                <w:szCs w:val="20"/>
              </w:rPr>
              <w:t>ND</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w:t>
            </w:r>
            <w:r>
              <w:rPr>
                <w:kern w:val="0"/>
                <w:sz w:val="22"/>
                <w:szCs w:val="20"/>
              </w:rPr>
              <w:t>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≤3.0</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95" w:type="dxa"/>
            <w:vAlign w:val="center"/>
          </w:tcPr>
          <w:p>
            <w:pPr>
              <w:numPr>
                <w:ilvl w:val="0"/>
                <w:numId w:val="15"/>
              </w:numPr>
              <w:autoSpaceDE w:val="0"/>
              <w:autoSpaceDN w:val="0"/>
              <w:adjustRightInd/>
              <w:snapToGrid/>
              <w:spacing w:line="240" w:lineRule="auto"/>
              <w:ind w:firstLineChars="0"/>
              <w:jc w:val="center"/>
              <w:textAlignment w:val="bottom"/>
              <w:rPr>
                <w:kern w:val="0"/>
                <w:sz w:val="21"/>
                <w:szCs w:val="20"/>
              </w:rPr>
            </w:pPr>
          </w:p>
        </w:tc>
        <w:tc>
          <w:tcPr>
            <w:tcW w:w="1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挥发酚</w:t>
            </w:r>
          </w:p>
        </w:tc>
        <w:tc>
          <w:tcPr>
            <w:tcW w:w="2267"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0.0003ND</w:t>
            </w:r>
          </w:p>
        </w:tc>
        <w:tc>
          <w:tcPr>
            <w:tcW w:w="2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0.0003ND</w:t>
            </w:r>
          </w:p>
        </w:tc>
        <w:tc>
          <w:tcPr>
            <w:tcW w:w="2128"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0.0003ND</w:t>
            </w:r>
          </w:p>
        </w:tc>
        <w:tc>
          <w:tcPr>
            <w:tcW w:w="167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≤0.002</w:t>
            </w:r>
          </w:p>
        </w:tc>
        <w:tc>
          <w:tcPr>
            <w:tcW w:w="18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31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bl>
    <w:p>
      <w:pPr>
        <w:ind w:firstLine="480"/>
      </w:pPr>
      <w:r>
        <w:rPr>
          <w:rFonts w:hint="eastAsia"/>
        </w:rPr>
        <w:t>以上监测结果可知，项目所在地地下水水质各项监测因子均能满足《地下水质量标准》（GB/T14848-2017）Ⅲ类标准限值。</w:t>
      </w:r>
    </w:p>
    <w:p>
      <w:pPr>
        <w:ind w:firstLine="480"/>
      </w:pPr>
    </w:p>
    <w:p>
      <w:pPr>
        <w:ind w:firstLine="480"/>
      </w:pPr>
    </w:p>
    <w:p>
      <w:pPr>
        <w:ind w:firstLine="480"/>
      </w:pPr>
    </w:p>
    <w:p>
      <w:pPr>
        <w:ind w:firstLine="480"/>
        <w:sectPr>
          <w:pgSz w:w="16838" w:h="11906" w:orient="landscape"/>
          <w:pgMar w:top="1800" w:right="1440" w:bottom="1800" w:left="1440" w:header="992" w:footer="992" w:gutter="0"/>
          <w:pgNumType w:fmt="numberInDash"/>
          <w:cols w:space="425" w:num="1"/>
          <w:docGrid w:type="lines" w:linePitch="326" w:charSpace="0"/>
        </w:sectPr>
      </w:pPr>
    </w:p>
    <w:p>
      <w:pPr>
        <w:pStyle w:val="4"/>
      </w:pPr>
      <w:r>
        <w:rPr>
          <w:rFonts w:hint="eastAsia"/>
        </w:rPr>
        <w:t>土壤</w:t>
      </w:r>
      <w:r>
        <w:t>环境质量现状</w:t>
      </w:r>
    </w:p>
    <w:p>
      <w:pPr>
        <w:pStyle w:val="5"/>
      </w:pPr>
      <w:r>
        <w:rPr>
          <w:rFonts w:hint="eastAsia"/>
        </w:rPr>
        <w:t>监测</w:t>
      </w:r>
      <w:r>
        <w:t>点位</w:t>
      </w:r>
      <w:r>
        <w:rPr>
          <w:rFonts w:hint="eastAsia"/>
        </w:rPr>
        <w:t>及</w:t>
      </w:r>
      <w:r>
        <w:t>时间</w:t>
      </w:r>
    </w:p>
    <w:p>
      <w:pPr>
        <w:pStyle w:val="79"/>
        <w:ind w:firstLine="480"/>
        <w:rPr>
          <w:rFonts w:cs="Times New Roman"/>
        </w:rPr>
      </w:pPr>
      <w:r>
        <w:rPr>
          <w:rFonts w:hint="eastAsia"/>
        </w:rPr>
        <w:t>在</w:t>
      </w:r>
      <w:r>
        <w:t>项目</w:t>
      </w:r>
      <w:r>
        <w:rPr>
          <w:rFonts w:hint="eastAsia"/>
        </w:rPr>
        <w:t>场地内采3个</w:t>
      </w:r>
      <w:r>
        <w:t>表层样</w:t>
      </w:r>
      <w:r>
        <w:rPr>
          <w:rFonts w:hint="eastAsia"/>
        </w:rPr>
        <w:t>（</w:t>
      </w:r>
      <w:r>
        <w:t>0~0.2m</w:t>
      </w:r>
      <w:r>
        <w:rPr>
          <w:rFonts w:hint="eastAsia"/>
        </w:rPr>
        <w:t>），采样点分别为圈舍北侧、圈舍南侧及圈舍东侧。监测</w:t>
      </w:r>
      <w:r>
        <w:t>时间为</w:t>
      </w:r>
      <w:r>
        <w:rPr>
          <w:rFonts w:hint="eastAsia"/>
        </w:rPr>
        <w:t>2020年11月11日。</w:t>
      </w:r>
      <w:r>
        <w:rPr>
          <w:rFonts w:cs="Times New Roman"/>
        </w:rPr>
        <w:t>监测点位见</w:t>
      </w:r>
      <w:r>
        <w:rPr>
          <w:rFonts w:hint="eastAsia"/>
        </w:rPr>
        <w:t>表4.2-13</w:t>
      </w:r>
      <w:r>
        <w:rPr>
          <w:rFonts w:hint="eastAsia" w:cs="Times New Roman"/>
        </w:rPr>
        <w:t>，</w:t>
      </w:r>
      <w:r>
        <w:rPr>
          <w:rFonts w:cs="Times New Roman"/>
        </w:rPr>
        <w:t>监测点位图见</w:t>
      </w:r>
      <w:r>
        <w:rPr>
          <w:rFonts w:hint="eastAsia"/>
        </w:rPr>
        <w:t>图4.2-1</w:t>
      </w:r>
      <w:r>
        <w:rPr>
          <w:rFonts w:hint="eastAsia" w:cs="Times New Roman"/>
        </w:rPr>
        <w:t>。</w:t>
      </w:r>
    </w:p>
    <w:p>
      <w:pPr>
        <w:pStyle w:val="85"/>
        <w:rPr>
          <w:rFonts w:hAnsi="Times New Roman"/>
          <w:szCs w:val="20"/>
        </w:rPr>
      </w:pPr>
      <w:bookmarkStart w:id="122" w:name="_Ref26778069"/>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4.2</w:t>
      </w:r>
      <w:r>
        <w:rPr>
          <w:rFonts w:hAnsi="Times New Roman"/>
        </w:rPr>
        <w:fldChar w:fldCharType="end"/>
      </w:r>
      <w:r>
        <w:rPr>
          <w:rFonts w:hAnsi="Times New Roman"/>
        </w:rPr>
        <w:noBreakHyphen/>
      </w:r>
      <w:bookmarkEnd w:id="122"/>
      <w:r>
        <w:rPr>
          <w:rFonts w:hAnsi="Times New Roman"/>
        </w:rPr>
        <w:t>13 项目土壤监测布点</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515"/>
        <w:gridCol w:w="2892"/>
        <w:gridCol w:w="3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53" w:type="dxa"/>
            <w:shd w:val="clear" w:color="auto" w:fill="auto"/>
            <w:vAlign w:val="center"/>
          </w:tcPr>
          <w:p>
            <w:pPr>
              <w:pStyle w:val="89"/>
              <w:rPr>
                <w:szCs w:val="21"/>
              </w:rPr>
            </w:pPr>
            <w:r>
              <w:rPr>
                <w:szCs w:val="21"/>
              </w:rPr>
              <w:t>编号</w:t>
            </w:r>
          </w:p>
        </w:tc>
        <w:tc>
          <w:tcPr>
            <w:tcW w:w="1515" w:type="dxa"/>
            <w:vAlign w:val="center"/>
          </w:tcPr>
          <w:p>
            <w:pPr>
              <w:pStyle w:val="89"/>
              <w:rPr>
                <w:szCs w:val="21"/>
              </w:rPr>
            </w:pPr>
            <w:r>
              <w:rPr>
                <w:szCs w:val="21"/>
              </w:rPr>
              <w:t>监测点位置</w:t>
            </w:r>
          </w:p>
        </w:tc>
        <w:tc>
          <w:tcPr>
            <w:tcW w:w="2892" w:type="dxa"/>
            <w:vAlign w:val="center"/>
          </w:tcPr>
          <w:p>
            <w:pPr>
              <w:pStyle w:val="89"/>
              <w:rPr>
                <w:szCs w:val="21"/>
              </w:rPr>
            </w:pPr>
            <w:r>
              <w:rPr>
                <w:rFonts w:hint="eastAsia"/>
                <w:szCs w:val="21"/>
              </w:rPr>
              <w:t>样品描述</w:t>
            </w:r>
          </w:p>
        </w:tc>
        <w:tc>
          <w:tcPr>
            <w:tcW w:w="3216" w:type="dxa"/>
            <w:shd w:val="clear" w:color="auto" w:fill="auto"/>
            <w:vAlign w:val="center"/>
          </w:tcPr>
          <w:p>
            <w:pPr>
              <w:pStyle w:val="89"/>
              <w:rPr>
                <w:szCs w:val="21"/>
                <w:highlight w:val="yellow"/>
              </w:rPr>
            </w:pPr>
            <w:r>
              <w:rPr>
                <w:rFonts w:hint="eastAsia"/>
                <w:szCs w:val="21"/>
              </w:rPr>
              <w:t>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53" w:type="dxa"/>
            <w:shd w:val="clear" w:color="auto" w:fill="auto"/>
            <w:vAlign w:val="center"/>
          </w:tcPr>
          <w:p>
            <w:pPr>
              <w:pStyle w:val="89"/>
              <w:rPr>
                <w:szCs w:val="21"/>
              </w:rPr>
            </w:pPr>
            <w:r>
              <w:rPr>
                <w:szCs w:val="21"/>
              </w:rPr>
              <w:t>1#</w:t>
            </w:r>
          </w:p>
        </w:tc>
        <w:tc>
          <w:tcPr>
            <w:tcW w:w="1515" w:type="dxa"/>
            <w:vAlign w:val="center"/>
          </w:tcPr>
          <w:p>
            <w:pPr>
              <w:pStyle w:val="89"/>
              <w:rPr>
                <w:szCs w:val="21"/>
              </w:rPr>
            </w:pPr>
            <w:r>
              <w:rPr>
                <w:rFonts w:hint="eastAsia"/>
                <w:szCs w:val="21"/>
              </w:rPr>
              <w:t>圈舍北侧</w:t>
            </w:r>
          </w:p>
        </w:tc>
        <w:tc>
          <w:tcPr>
            <w:tcW w:w="2892" w:type="dxa"/>
            <w:vMerge w:val="restart"/>
            <w:vAlign w:val="center"/>
          </w:tcPr>
          <w:p>
            <w:pPr>
              <w:autoSpaceDE w:val="0"/>
              <w:autoSpaceDN w:val="0"/>
              <w:snapToGrid/>
              <w:spacing w:line="240" w:lineRule="auto"/>
              <w:ind w:firstLine="0" w:firstLineChars="0"/>
              <w:jc w:val="center"/>
              <w:rPr>
                <w:kern w:val="0"/>
                <w:sz w:val="21"/>
                <w:szCs w:val="21"/>
                <w:lang w:val="zh-CN"/>
              </w:rPr>
            </w:pPr>
            <w:r>
              <w:rPr>
                <w:kern w:val="0"/>
                <w:sz w:val="21"/>
                <w:szCs w:val="21"/>
                <w:lang w:val="zh-CN"/>
              </w:rPr>
              <w:t>棕色、壤土、干、无植物根系、无砂砾、无其他异物</w:t>
            </w:r>
          </w:p>
        </w:tc>
        <w:tc>
          <w:tcPr>
            <w:tcW w:w="3216" w:type="dxa"/>
            <w:shd w:val="clear" w:color="auto" w:fill="auto"/>
            <w:vAlign w:val="center"/>
          </w:tcPr>
          <w:p>
            <w:pPr>
              <w:pStyle w:val="89"/>
              <w:rPr>
                <w:szCs w:val="21"/>
              </w:rPr>
            </w:pPr>
            <w:r>
              <w:rPr>
                <w:szCs w:val="21"/>
              </w:rPr>
              <w:t>109°36'50.3928"</w:t>
            </w:r>
            <w:r>
              <w:rPr>
                <w:rFonts w:hint="eastAsia"/>
                <w:szCs w:val="21"/>
              </w:rPr>
              <w:t>；</w:t>
            </w:r>
            <w:r>
              <w:rPr>
                <w:szCs w:val="21"/>
              </w:rPr>
              <w:t>32°56'8.9324"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53" w:type="dxa"/>
            <w:shd w:val="clear" w:color="auto" w:fill="auto"/>
            <w:vAlign w:val="center"/>
          </w:tcPr>
          <w:p>
            <w:pPr>
              <w:pStyle w:val="89"/>
              <w:rPr>
                <w:szCs w:val="21"/>
              </w:rPr>
            </w:pPr>
            <w:r>
              <w:rPr>
                <w:szCs w:val="21"/>
              </w:rPr>
              <w:t>2#</w:t>
            </w:r>
          </w:p>
        </w:tc>
        <w:tc>
          <w:tcPr>
            <w:tcW w:w="1515" w:type="dxa"/>
            <w:vAlign w:val="center"/>
          </w:tcPr>
          <w:p>
            <w:pPr>
              <w:pStyle w:val="89"/>
              <w:rPr>
                <w:szCs w:val="21"/>
              </w:rPr>
            </w:pPr>
            <w:r>
              <w:rPr>
                <w:rFonts w:hint="eastAsia"/>
                <w:szCs w:val="21"/>
              </w:rPr>
              <w:t>圈舍南侧</w:t>
            </w:r>
          </w:p>
        </w:tc>
        <w:tc>
          <w:tcPr>
            <w:tcW w:w="2892" w:type="dxa"/>
            <w:vMerge w:val="continue"/>
            <w:vAlign w:val="center"/>
          </w:tcPr>
          <w:p>
            <w:pPr>
              <w:pStyle w:val="89"/>
              <w:rPr>
                <w:szCs w:val="21"/>
              </w:rPr>
            </w:pPr>
          </w:p>
        </w:tc>
        <w:tc>
          <w:tcPr>
            <w:tcW w:w="3216" w:type="dxa"/>
            <w:shd w:val="clear" w:color="auto" w:fill="auto"/>
            <w:vAlign w:val="center"/>
          </w:tcPr>
          <w:p>
            <w:pPr>
              <w:pStyle w:val="89"/>
              <w:rPr>
                <w:szCs w:val="21"/>
              </w:rPr>
            </w:pPr>
            <w:r>
              <w:rPr>
                <w:szCs w:val="21"/>
              </w:rPr>
              <w:t>109°36'48.7127"</w:t>
            </w:r>
            <w:r>
              <w:rPr>
                <w:rFonts w:hint="eastAsia"/>
                <w:szCs w:val="21"/>
              </w:rPr>
              <w:t>；</w:t>
            </w:r>
            <w:r>
              <w:rPr>
                <w:szCs w:val="21"/>
              </w:rPr>
              <w:t>32°56'9.0621"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53" w:type="dxa"/>
            <w:shd w:val="clear" w:color="auto" w:fill="auto"/>
            <w:vAlign w:val="center"/>
          </w:tcPr>
          <w:p>
            <w:pPr>
              <w:pStyle w:val="89"/>
              <w:rPr>
                <w:szCs w:val="21"/>
              </w:rPr>
            </w:pPr>
            <w:r>
              <w:rPr>
                <w:szCs w:val="21"/>
              </w:rPr>
              <w:t>3#</w:t>
            </w:r>
          </w:p>
        </w:tc>
        <w:tc>
          <w:tcPr>
            <w:tcW w:w="1515" w:type="dxa"/>
            <w:vAlign w:val="center"/>
          </w:tcPr>
          <w:p>
            <w:pPr>
              <w:pStyle w:val="89"/>
              <w:rPr>
                <w:szCs w:val="21"/>
              </w:rPr>
            </w:pPr>
            <w:r>
              <w:rPr>
                <w:rFonts w:hint="eastAsia"/>
                <w:szCs w:val="21"/>
              </w:rPr>
              <w:t>圈舍东侧</w:t>
            </w:r>
          </w:p>
        </w:tc>
        <w:tc>
          <w:tcPr>
            <w:tcW w:w="2892" w:type="dxa"/>
            <w:vMerge w:val="continue"/>
            <w:vAlign w:val="center"/>
          </w:tcPr>
          <w:p>
            <w:pPr>
              <w:pStyle w:val="89"/>
              <w:rPr>
                <w:szCs w:val="21"/>
              </w:rPr>
            </w:pPr>
          </w:p>
        </w:tc>
        <w:tc>
          <w:tcPr>
            <w:tcW w:w="3216" w:type="dxa"/>
            <w:shd w:val="clear" w:color="auto" w:fill="auto"/>
            <w:vAlign w:val="center"/>
          </w:tcPr>
          <w:p>
            <w:pPr>
              <w:pStyle w:val="89"/>
              <w:rPr>
                <w:szCs w:val="21"/>
              </w:rPr>
            </w:pPr>
            <w:r>
              <w:rPr>
                <w:szCs w:val="21"/>
              </w:rPr>
              <w:t>109°36'48.7899"</w:t>
            </w:r>
            <w:r>
              <w:rPr>
                <w:rFonts w:hint="eastAsia"/>
                <w:szCs w:val="21"/>
              </w:rPr>
              <w:t>；</w:t>
            </w:r>
            <w:r>
              <w:rPr>
                <w:szCs w:val="21"/>
              </w:rPr>
              <w:t>32°56'8.5272"</w:t>
            </w:r>
          </w:p>
        </w:tc>
      </w:tr>
    </w:tbl>
    <w:p>
      <w:pPr>
        <w:pStyle w:val="5"/>
      </w:pPr>
      <w:r>
        <w:rPr>
          <w:rFonts w:hint="eastAsia"/>
        </w:rPr>
        <w:t>监测</w:t>
      </w:r>
      <w:r>
        <w:t>因</w:t>
      </w:r>
      <w:r>
        <w:rPr>
          <w:rFonts w:hint="eastAsia"/>
        </w:rPr>
        <w:t>子</w:t>
      </w:r>
    </w:p>
    <w:p>
      <w:pPr>
        <w:ind w:firstLine="480"/>
        <w:rPr>
          <w:kern w:val="0"/>
        </w:rPr>
      </w:pPr>
      <w:r>
        <w:rPr>
          <w:rFonts w:hint="eastAsia"/>
          <w:kern w:val="0"/>
        </w:rPr>
        <w:t>①1</w:t>
      </w:r>
      <w:r>
        <w:rPr>
          <w:kern w:val="0"/>
        </w:rPr>
        <w:t>#</w:t>
      </w:r>
      <w:r>
        <w:rPr>
          <w:rFonts w:hint="eastAsia"/>
          <w:kern w:val="0"/>
        </w:rPr>
        <w:t>表层样</w:t>
      </w:r>
      <w:r>
        <w:rPr>
          <w:kern w:val="0"/>
        </w:rPr>
        <w:t>监测点</w:t>
      </w:r>
      <w:r>
        <w:rPr>
          <w:rFonts w:hint="eastAsia"/>
          <w:kern w:val="0"/>
        </w:rPr>
        <w:t>：</w:t>
      </w:r>
      <w:r>
        <w:rPr>
          <w:kern w:val="0"/>
        </w:rPr>
        <w:t>监测</w:t>
      </w:r>
      <w:r>
        <w:rPr>
          <w:rFonts w:hint="eastAsia"/>
          <w:kern w:val="0"/>
        </w:rPr>
        <w:t>基本</w:t>
      </w:r>
      <w:r>
        <w:rPr>
          <w:kern w:val="0"/>
        </w:rPr>
        <w:t>因子砷、镉、六价铬、铜、铅、汞、镍</w:t>
      </w:r>
      <w:r>
        <w:rPr>
          <w:rFonts w:hint="eastAsia"/>
          <w:kern w:val="0"/>
        </w:rPr>
        <w:t>、</w:t>
      </w:r>
      <w:r>
        <w:rPr>
          <w:kern w:val="0"/>
        </w:rPr>
        <w:t>锌8</w:t>
      </w:r>
      <w:r>
        <w:rPr>
          <w:rFonts w:hint="eastAsia"/>
          <w:kern w:val="0"/>
        </w:rPr>
        <w:t>项和</w:t>
      </w:r>
      <w:r>
        <w:rPr>
          <w:kern w:val="0"/>
        </w:rPr>
        <w:t>pH。</w:t>
      </w:r>
    </w:p>
    <w:p>
      <w:pPr>
        <w:ind w:firstLine="480"/>
      </w:pPr>
      <w:r>
        <w:rPr>
          <w:rFonts w:hint="eastAsia"/>
        </w:rPr>
        <w:t>②其余</w:t>
      </w:r>
      <w:r>
        <w:t>表层样监测点：监测特征因子</w:t>
      </w:r>
    </w:p>
    <w:p>
      <w:pPr>
        <w:ind w:firstLine="480"/>
        <w:rPr>
          <w:kern w:val="0"/>
        </w:rPr>
      </w:pPr>
      <w:r>
        <w:rPr>
          <w:rFonts w:hint="eastAsia"/>
        </w:rPr>
        <w:t>特征</w:t>
      </w:r>
      <w:r>
        <w:t>因子为：</w:t>
      </w:r>
      <w:r>
        <w:rPr>
          <w:rFonts w:hint="eastAsia"/>
        </w:rPr>
        <w:t>pH</w:t>
      </w:r>
      <w:r>
        <w:t>、</w:t>
      </w:r>
      <w:r>
        <w:rPr>
          <w:rFonts w:hint="eastAsia"/>
        </w:rPr>
        <w:t>锌</w:t>
      </w:r>
      <w:r>
        <w:t>、</w:t>
      </w:r>
      <w:r>
        <w:rPr>
          <w:kern w:val="0"/>
        </w:rPr>
        <w:t>砷、镉、六价铬、铜、铅、汞、镍</w:t>
      </w:r>
      <w:r>
        <w:rPr>
          <w:rFonts w:hint="eastAsia"/>
          <w:kern w:val="0"/>
        </w:rPr>
        <w:t>。</w:t>
      </w:r>
    </w:p>
    <w:p>
      <w:pPr>
        <w:pStyle w:val="5"/>
      </w:pPr>
      <w:r>
        <w:rPr>
          <w:rFonts w:hint="eastAsia"/>
        </w:rPr>
        <w:t>采样</w:t>
      </w:r>
      <w:r>
        <w:t>及分析</w:t>
      </w:r>
      <w:r>
        <w:rPr>
          <w:rFonts w:hint="eastAsia"/>
        </w:rPr>
        <w:t>方法</w:t>
      </w:r>
    </w:p>
    <w:p>
      <w:pPr>
        <w:pStyle w:val="79"/>
        <w:ind w:firstLine="480"/>
        <w:rPr>
          <w:rFonts w:cs="Times New Roman"/>
        </w:rPr>
      </w:pPr>
      <w:r>
        <w:rPr>
          <w:rFonts w:hint="eastAsia" w:cs="Times New Roman"/>
        </w:rPr>
        <w:t>监测分析方法见表4.2-1</w:t>
      </w:r>
      <w:r>
        <w:rPr>
          <w:rFonts w:cs="Times New Roman"/>
        </w:rPr>
        <w:t>4</w:t>
      </w:r>
      <w:r>
        <w:rPr>
          <w:rFonts w:hint="eastAsia" w:cs="Times New Roman"/>
        </w:rPr>
        <w:t>。</w:t>
      </w:r>
    </w:p>
    <w:p>
      <w:pPr>
        <w:pStyle w:val="85"/>
        <w:rPr>
          <w:rFonts w:hAnsi="Times New Roman"/>
        </w:rPr>
      </w:pPr>
      <w:r>
        <w:rPr>
          <w:rFonts w:hint="eastAsia" w:hAnsi="Times New Roman"/>
        </w:rPr>
        <w:t>表4.2-</w:t>
      </w:r>
      <w:r>
        <w:rPr>
          <w:rFonts w:hAnsi="Times New Roman"/>
        </w:rPr>
        <w:t xml:space="preserve">14  </w:t>
      </w:r>
      <w:r>
        <w:rPr>
          <w:rFonts w:hint="eastAsia" w:hAnsi="Times New Roman"/>
        </w:rPr>
        <w:t>监测分析方法</w:t>
      </w:r>
    </w:p>
    <w:tbl>
      <w:tblPr>
        <w:tblStyle w:val="28"/>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5041"/>
        <w:gridCol w:w="11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pStyle w:val="79"/>
              <w:spacing w:line="240" w:lineRule="exact"/>
              <w:ind w:firstLine="0" w:firstLineChars="0"/>
              <w:jc w:val="center"/>
              <w:rPr>
                <w:rFonts w:cs="Times New Roman"/>
                <w:sz w:val="21"/>
                <w:szCs w:val="21"/>
              </w:rPr>
            </w:pPr>
            <w:r>
              <w:rPr>
                <w:rFonts w:hint="eastAsia" w:cs="Times New Roman"/>
                <w:sz w:val="21"/>
                <w:szCs w:val="21"/>
              </w:rPr>
              <w:t>监测项目</w:t>
            </w:r>
          </w:p>
        </w:tc>
        <w:tc>
          <w:tcPr>
            <w:tcW w:w="5041" w:type="dxa"/>
            <w:vAlign w:val="center"/>
          </w:tcPr>
          <w:p>
            <w:pPr>
              <w:pStyle w:val="79"/>
              <w:spacing w:line="240" w:lineRule="exact"/>
              <w:ind w:firstLine="0" w:firstLineChars="0"/>
              <w:jc w:val="center"/>
              <w:rPr>
                <w:rFonts w:cs="Times New Roman"/>
                <w:sz w:val="21"/>
                <w:szCs w:val="21"/>
              </w:rPr>
            </w:pPr>
            <w:r>
              <w:rPr>
                <w:rFonts w:hint="eastAsia" w:cs="Times New Roman"/>
                <w:sz w:val="21"/>
                <w:szCs w:val="21"/>
              </w:rPr>
              <w:t>分析方法</w:t>
            </w:r>
          </w:p>
        </w:tc>
        <w:tc>
          <w:tcPr>
            <w:tcW w:w="1173" w:type="dxa"/>
            <w:vAlign w:val="center"/>
          </w:tcPr>
          <w:p>
            <w:pPr>
              <w:pStyle w:val="79"/>
              <w:spacing w:line="240" w:lineRule="exact"/>
              <w:ind w:firstLine="0" w:firstLineChars="0"/>
              <w:jc w:val="center"/>
              <w:rPr>
                <w:rFonts w:cs="Times New Roman"/>
                <w:sz w:val="21"/>
                <w:szCs w:val="21"/>
              </w:rPr>
            </w:pPr>
            <w:r>
              <w:rPr>
                <w:rFonts w:hint="eastAsia" w:cs="Times New Roman"/>
                <w:sz w:val="21"/>
                <w:szCs w:val="21"/>
              </w:rPr>
              <w:t>检出限</w:t>
            </w:r>
          </w:p>
          <w:p>
            <w:pPr>
              <w:pStyle w:val="79"/>
              <w:spacing w:line="240" w:lineRule="exact"/>
              <w:ind w:firstLine="0" w:firstLineChars="0"/>
              <w:jc w:val="center"/>
              <w:rPr>
                <w:rFonts w:cs="Times New Roman"/>
                <w:sz w:val="21"/>
                <w:szCs w:val="21"/>
              </w:rPr>
            </w:pPr>
            <w:r>
              <w:rPr>
                <w:rFonts w:hint="eastAsia" w:cs="Times New Roman"/>
                <w:sz w:val="21"/>
                <w:szCs w:val="21"/>
              </w:rPr>
              <w:t>（</w:t>
            </w:r>
            <w:r>
              <w:rPr>
                <w:kern w:val="0"/>
                <w:sz w:val="21"/>
                <w:szCs w:val="21"/>
                <w:lang w:val="zh-CN"/>
              </w:rPr>
              <w:t>mg/kg</w:t>
            </w:r>
            <w:r>
              <w:rPr>
                <w:rFonts w:hint="eastAsia"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pH</w:t>
            </w:r>
          </w:p>
        </w:tc>
        <w:tc>
          <w:tcPr>
            <w:tcW w:w="5041" w:type="dxa"/>
            <w:vAlign w:val="center"/>
          </w:tcPr>
          <w:p>
            <w:pPr>
              <w:autoSpaceDE w:val="0"/>
              <w:autoSpaceDN w:val="0"/>
              <w:spacing w:line="240" w:lineRule="exact"/>
              <w:ind w:firstLine="199" w:firstLineChars="95"/>
              <w:jc w:val="center"/>
              <w:rPr>
                <w:kern w:val="0"/>
                <w:sz w:val="21"/>
                <w:szCs w:val="21"/>
                <w:lang w:val="zh-CN"/>
              </w:rPr>
            </w:pPr>
            <w:r>
              <w:rPr>
                <w:kern w:val="0"/>
                <w:sz w:val="21"/>
                <w:szCs w:val="21"/>
                <w:lang w:val="zh-CN"/>
              </w:rPr>
              <w:t>《土壤pH值的测定》NY/T1121.2</w:t>
            </w: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砷</w:t>
            </w:r>
          </w:p>
        </w:tc>
        <w:tc>
          <w:tcPr>
            <w:tcW w:w="5041"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《土壤质量总汞、总砷、总铅的测定原子荧光法第2部分：土壤中总砷的测定》GB/T22105.2</w:t>
            </w: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镉</w:t>
            </w:r>
          </w:p>
        </w:tc>
        <w:tc>
          <w:tcPr>
            <w:tcW w:w="5041"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《土壤质量铅、镉的测定石墨炉原子吸收分光光度法》GB/T17141</w:t>
            </w: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0.0l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铅</w:t>
            </w:r>
          </w:p>
        </w:tc>
        <w:tc>
          <w:tcPr>
            <w:tcW w:w="5041"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《土壤和沉积物六价铬的测定碱溶液提取</w:t>
            </w: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六价铬</w:t>
            </w:r>
          </w:p>
        </w:tc>
        <w:tc>
          <w:tcPr>
            <w:tcW w:w="5041" w:type="dxa"/>
            <w:vAlign w:val="center"/>
          </w:tcPr>
          <w:p>
            <w:pPr>
              <w:autoSpaceDE w:val="0"/>
              <w:autoSpaceDN w:val="0"/>
              <w:spacing w:line="240" w:lineRule="exact"/>
              <w:ind w:firstLine="420"/>
              <w:jc w:val="center"/>
              <w:rPr>
                <w:kern w:val="0"/>
                <w:sz w:val="21"/>
                <w:szCs w:val="21"/>
                <w:lang w:val="zh-CN"/>
              </w:rPr>
            </w:pPr>
            <w:r>
              <w:rPr>
                <w:kern w:val="0"/>
                <w:sz w:val="21"/>
                <w:szCs w:val="21"/>
                <w:lang w:val="zh-CN"/>
              </w:rPr>
              <w:t>《土壤质量总汞、总砷、总铅的测定原子荧光法第1部分：土壤中总汞的测定》GB/T22105.1</w:t>
            </w: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汞*</w:t>
            </w:r>
          </w:p>
        </w:tc>
        <w:tc>
          <w:tcPr>
            <w:tcW w:w="5041" w:type="dxa"/>
            <w:vAlign w:val="center"/>
          </w:tcPr>
          <w:p>
            <w:pPr>
              <w:spacing w:line="240" w:lineRule="exact"/>
              <w:ind w:firstLine="0" w:firstLineChars="0"/>
              <w:jc w:val="center"/>
              <w:rPr>
                <w:kern w:val="0"/>
                <w:sz w:val="21"/>
                <w:szCs w:val="21"/>
                <w:lang w:val="zh-CN"/>
              </w:rPr>
            </w:pPr>
            <w:r>
              <w:rPr>
                <w:kern w:val="0"/>
                <w:sz w:val="21"/>
                <w:szCs w:val="21"/>
                <w:lang w:val="zh-CN"/>
              </w:rPr>
              <w:t>《土壤和沉积物铜、锌、铅、镍、铬的测定火焰原子吸收分光光度法》HJ491</w:t>
            </w: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镍</w:t>
            </w:r>
          </w:p>
        </w:tc>
        <w:tc>
          <w:tcPr>
            <w:tcW w:w="5041" w:type="dxa"/>
            <w:vMerge w:val="restart"/>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《土壤和沉积物铜、锌、铅、镍、铬的测定火焰原子吸收分光光度法》HJ491-2019</w:t>
            </w: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铜</w:t>
            </w:r>
          </w:p>
        </w:tc>
        <w:tc>
          <w:tcPr>
            <w:tcW w:w="5041" w:type="dxa"/>
            <w:vMerge w:val="continue"/>
            <w:vAlign w:val="center"/>
          </w:tcPr>
          <w:p>
            <w:pPr>
              <w:pStyle w:val="79"/>
              <w:spacing w:line="240" w:lineRule="exact"/>
              <w:ind w:firstLine="0" w:firstLineChars="0"/>
              <w:jc w:val="center"/>
              <w:rPr>
                <w:rFonts w:cs="Times New Roman"/>
                <w:sz w:val="21"/>
                <w:szCs w:val="21"/>
              </w:rPr>
            </w:pP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62"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锌</w:t>
            </w:r>
          </w:p>
        </w:tc>
        <w:tc>
          <w:tcPr>
            <w:tcW w:w="5041" w:type="dxa"/>
            <w:vMerge w:val="continue"/>
            <w:vAlign w:val="center"/>
          </w:tcPr>
          <w:p>
            <w:pPr>
              <w:pStyle w:val="79"/>
              <w:spacing w:line="240" w:lineRule="exact"/>
              <w:ind w:firstLine="0" w:firstLineChars="0"/>
              <w:jc w:val="center"/>
              <w:rPr>
                <w:rFonts w:cs="Times New Roman"/>
                <w:sz w:val="21"/>
                <w:szCs w:val="21"/>
              </w:rPr>
            </w:pPr>
          </w:p>
        </w:tc>
        <w:tc>
          <w:tcPr>
            <w:tcW w:w="1173" w:type="dxa"/>
            <w:vAlign w:val="center"/>
          </w:tcPr>
          <w:p>
            <w:pPr>
              <w:autoSpaceDE w:val="0"/>
              <w:autoSpaceDN w:val="0"/>
              <w:spacing w:line="240" w:lineRule="exact"/>
              <w:ind w:firstLine="0" w:firstLineChars="0"/>
              <w:jc w:val="center"/>
              <w:rPr>
                <w:kern w:val="0"/>
                <w:sz w:val="21"/>
                <w:szCs w:val="21"/>
                <w:lang w:val="zh-CN"/>
              </w:rPr>
            </w:pPr>
            <w:r>
              <w:rPr>
                <w:kern w:val="0"/>
                <w:sz w:val="21"/>
                <w:szCs w:val="21"/>
                <w:lang w:val="zh-CN"/>
              </w:rPr>
              <w:t>1</w:t>
            </w:r>
          </w:p>
        </w:tc>
      </w:tr>
    </w:tbl>
    <w:p>
      <w:pPr>
        <w:pStyle w:val="5"/>
      </w:pPr>
      <w:r>
        <w:rPr>
          <w:rFonts w:hint="eastAsia"/>
        </w:rPr>
        <w:t>监测</w:t>
      </w:r>
      <w:r>
        <w:t>结果</w:t>
      </w:r>
    </w:p>
    <w:p>
      <w:pPr>
        <w:pStyle w:val="79"/>
        <w:ind w:firstLine="480"/>
      </w:pPr>
      <w:r>
        <w:t>根据对土壤样品分析，具体结果见表4.2-15。</w:t>
      </w:r>
    </w:p>
    <w:p>
      <w:pPr>
        <w:pStyle w:val="79"/>
        <w:ind w:firstLine="480"/>
      </w:pPr>
      <w:r>
        <w:rPr>
          <w:rFonts w:hint="eastAsia"/>
        </w:rPr>
        <w:t>项目区土壤环境质量背景值中基本项目和特征</w:t>
      </w:r>
      <w:r>
        <w:t>因子</w:t>
      </w:r>
      <w:r>
        <w:rPr>
          <w:rFonts w:hint="eastAsia"/>
        </w:rPr>
        <w:t>值均满足《土壤环境质量标准农用地土壤污染风险管控标准》（GB</w:t>
      </w:r>
      <w:r>
        <w:t>15618</w:t>
      </w:r>
      <w:r>
        <w:rPr>
          <w:rFonts w:hint="eastAsia"/>
        </w:rPr>
        <w:t>-2018）中风险筛选值标准要求，项目所在地土壤环境质量较好。</w:t>
      </w:r>
    </w:p>
    <w:p>
      <w:pPr>
        <w:spacing w:line="240" w:lineRule="auto"/>
        <w:ind w:firstLine="0" w:firstLineChars="0"/>
        <w:jc w:val="center"/>
        <w:rPr>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4.2</w:t>
      </w:r>
      <w:r>
        <w:rPr>
          <w:b/>
          <w:sz w:val="21"/>
          <w:szCs w:val="24"/>
        </w:rPr>
        <w:fldChar w:fldCharType="end"/>
      </w:r>
      <w:r>
        <w:rPr>
          <w:b/>
          <w:sz w:val="21"/>
          <w:szCs w:val="24"/>
        </w:rPr>
        <w:noBreakHyphen/>
      </w:r>
      <w:r>
        <w:rPr>
          <w:b/>
          <w:sz w:val="21"/>
          <w:szCs w:val="24"/>
        </w:rPr>
        <w:t>15 土壤</w:t>
      </w:r>
      <w:r>
        <w:rPr>
          <w:rFonts w:hint="eastAsia"/>
          <w:b/>
          <w:sz w:val="21"/>
          <w:szCs w:val="24"/>
        </w:rPr>
        <w:t>特征因子</w:t>
      </w:r>
      <w:r>
        <w:rPr>
          <w:b/>
          <w:sz w:val="21"/>
          <w:szCs w:val="24"/>
        </w:rPr>
        <w:t>监测结果</w:t>
      </w:r>
    </w:p>
    <w:tbl>
      <w:tblPr>
        <w:tblStyle w:val="28"/>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266"/>
        <w:gridCol w:w="1424"/>
        <w:gridCol w:w="1390"/>
        <w:gridCol w:w="1566"/>
        <w:gridCol w:w="1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Merge w:val="restart"/>
            <w:vAlign w:val="center"/>
          </w:tcPr>
          <w:p>
            <w:pPr>
              <w:spacing w:line="240" w:lineRule="auto"/>
              <w:ind w:firstLine="0" w:firstLineChars="0"/>
              <w:jc w:val="center"/>
              <w:rPr>
                <w:sz w:val="21"/>
                <w:szCs w:val="21"/>
              </w:rPr>
            </w:pPr>
            <w:r>
              <w:rPr>
                <w:sz w:val="21"/>
                <w:szCs w:val="21"/>
              </w:rPr>
              <w:t>监测项目</w:t>
            </w:r>
          </w:p>
        </w:tc>
        <w:tc>
          <w:tcPr>
            <w:tcW w:w="4080" w:type="dxa"/>
            <w:gridSpan w:val="3"/>
          </w:tcPr>
          <w:p>
            <w:pPr>
              <w:spacing w:line="240" w:lineRule="auto"/>
              <w:ind w:firstLine="0" w:firstLineChars="0"/>
              <w:jc w:val="center"/>
              <w:rPr>
                <w:sz w:val="21"/>
                <w:szCs w:val="21"/>
              </w:rPr>
            </w:pPr>
            <w:r>
              <w:rPr>
                <w:sz w:val="21"/>
                <w:szCs w:val="21"/>
              </w:rPr>
              <w:t>监测值（mg/kg）</w:t>
            </w:r>
          </w:p>
        </w:tc>
        <w:tc>
          <w:tcPr>
            <w:tcW w:w="1566" w:type="dxa"/>
            <w:vMerge w:val="restart"/>
            <w:vAlign w:val="center"/>
          </w:tcPr>
          <w:p>
            <w:pPr>
              <w:spacing w:line="240" w:lineRule="auto"/>
              <w:ind w:firstLine="0" w:firstLineChars="0"/>
              <w:jc w:val="center"/>
              <w:rPr>
                <w:sz w:val="21"/>
                <w:szCs w:val="21"/>
              </w:rPr>
            </w:pPr>
            <w:r>
              <w:rPr>
                <w:sz w:val="21"/>
                <w:szCs w:val="21"/>
              </w:rPr>
              <w:t>标准值</w:t>
            </w:r>
          </w:p>
          <w:p>
            <w:pPr>
              <w:spacing w:line="240" w:lineRule="auto"/>
              <w:ind w:firstLine="0" w:firstLineChars="0"/>
              <w:jc w:val="center"/>
              <w:rPr>
                <w:sz w:val="21"/>
                <w:szCs w:val="21"/>
              </w:rPr>
            </w:pPr>
            <w:r>
              <w:rPr>
                <w:sz w:val="21"/>
                <w:szCs w:val="21"/>
              </w:rPr>
              <w:t>（mg/kg）</w:t>
            </w:r>
          </w:p>
        </w:tc>
        <w:tc>
          <w:tcPr>
            <w:tcW w:w="1266" w:type="dxa"/>
            <w:vMerge w:val="restart"/>
            <w:vAlign w:val="center"/>
          </w:tcPr>
          <w:p>
            <w:pPr>
              <w:spacing w:line="240" w:lineRule="auto"/>
              <w:ind w:firstLine="0" w:firstLineChars="0"/>
              <w:jc w:val="center"/>
              <w:rPr>
                <w:sz w:val="21"/>
                <w:szCs w:val="21"/>
              </w:rPr>
            </w:pPr>
            <w:r>
              <w:rPr>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Merge w:val="continue"/>
            <w:vAlign w:val="center"/>
          </w:tcPr>
          <w:p>
            <w:pPr>
              <w:spacing w:line="240" w:lineRule="auto"/>
              <w:ind w:firstLine="0" w:firstLineChars="0"/>
              <w:jc w:val="center"/>
              <w:rPr>
                <w:sz w:val="21"/>
                <w:szCs w:val="21"/>
              </w:rPr>
            </w:pPr>
          </w:p>
        </w:tc>
        <w:tc>
          <w:tcPr>
            <w:tcW w:w="1266" w:type="dxa"/>
          </w:tcPr>
          <w:p>
            <w:pPr>
              <w:spacing w:line="240" w:lineRule="auto"/>
              <w:ind w:firstLine="0" w:firstLineChars="0"/>
              <w:jc w:val="center"/>
              <w:rPr>
                <w:sz w:val="21"/>
                <w:szCs w:val="21"/>
              </w:rPr>
            </w:pPr>
            <w:r>
              <w:rPr>
                <w:rFonts w:hint="eastAsia"/>
                <w:sz w:val="21"/>
                <w:szCs w:val="21"/>
              </w:rPr>
              <w:t>1#圈</w:t>
            </w:r>
            <w:r>
              <w:rPr>
                <w:sz w:val="21"/>
                <w:szCs w:val="21"/>
              </w:rPr>
              <w:t>舍北侧</w:t>
            </w:r>
          </w:p>
        </w:tc>
        <w:tc>
          <w:tcPr>
            <w:tcW w:w="1424" w:type="dxa"/>
            <w:vAlign w:val="center"/>
          </w:tcPr>
          <w:p>
            <w:pPr>
              <w:spacing w:line="240" w:lineRule="auto"/>
              <w:ind w:firstLine="0" w:firstLineChars="0"/>
              <w:jc w:val="center"/>
              <w:rPr>
                <w:sz w:val="21"/>
                <w:szCs w:val="21"/>
              </w:rPr>
            </w:pPr>
            <w:r>
              <w:rPr>
                <w:sz w:val="21"/>
                <w:szCs w:val="21"/>
              </w:rPr>
              <w:t>2#圈舍南侧</w:t>
            </w:r>
          </w:p>
        </w:tc>
        <w:tc>
          <w:tcPr>
            <w:tcW w:w="1390" w:type="dxa"/>
            <w:vAlign w:val="center"/>
          </w:tcPr>
          <w:p>
            <w:pPr>
              <w:spacing w:line="240" w:lineRule="auto"/>
              <w:ind w:firstLine="0" w:firstLineChars="0"/>
              <w:jc w:val="center"/>
              <w:rPr>
                <w:sz w:val="21"/>
                <w:szCs w:val="21"/>
              </w:rPr>
            </w:pPr>
            <w:r>
              <w:rPr>
                <w:sz w:val="21"/>
                <w:szCs w:val="21"/>
              </w:rPr>
              <w:t>3#圈舍东侧</w:t>
            </w:r>
          </w:p>
        </w:tc>
        <w:tc>
          <w:tcPr>
            <w:tcW w:w="1566" w:type="dxa"/>
            <w:vMerge w:val="continue"/>
            <w:vAlign w:val="center"/>
          </w:tcPr>
          <w:p>
            <w:pPr>
              <w:spacing w:line="240" w:lineRule="auto"/>
              <w:ind w:firstLine="0" w:firstLineChars="0"/>
              <w:jc w:val="center"/>
              <w:rPr>
                <w:sz w:val="21"/>
                <w:szCs w:val="21"/>
              </w:rPr>
            </w:pPr>
          </w:p>
        </w:tc>
        <w:tc>
          <w:tcPr>
            <w:tcW w:w="1266" w:type="dxa"/>
            <w:vMerge w:val="continue"/>
            <w:vAlign w:val="center"/>
          </w:tcPr>
          <w:p>
            <w:pPr>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rPr>
                <w:kern w:val="0"/>
                <w:sz w:val="21"/>
                <w:szCs w:val="21"/>
                <w:lang w:val="zh-CN"/>
              </w:rPr>
            </w:pPr>
            <w:r>
              <w:rPr>
                <w:kern w:val="0"/>
                <w:sz w:val="21"/>
                <w:szCs w:val="21"/>
                <w:lang w:val="zh-CN"/>
              </w:rPr>
              <w:t>pH（无量纲）</w:t>
            </w:r>
          </w:p>
        </w:tc>
        <w:tc>
          <w:tcPr>
            <w:tcW w:w="1266" w:type="dxa"/>
            <w:vAlign w:val="center"/>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8.31</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8.36</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8.29</w:t>
            </w:r>
          </w:p>
        </w:tc>
        <w:tc>
          <w:tcPr>
            <w:tcW w:w="1566" w:type="dxa"/>
            <w:vAlign w:val="center"/>
          </w:tcPr>
          <w:p>
            <w:pPr>
              <w:spacing w:line="240" w:lineRule="auto"/>
              <w:ind w:firstLine="0" w:firstLineChars="0"/>
              <w:jc w:val="center"/>
              <w:rPr>
                <w:sz w:val="21"/>
                <w:szCs w:val="21"/>
              </w:rPr>
            </w:pPr>
            <w:r>
              <w:rPr>
                <w:rFonts w:hint="eastAsia"/>
                <w:sz w:val="21"/>
                <w:szCs w:val="21"/>
              </w:rPr>
              <w:t>/</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铜</w:t>
            </w:r>
          </w:p>
        </w:tc>
        <w:tc>
          <w:tcPr>
            <w:tcW w:w="1266" w:type="dxa"/>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14</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17</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17</w:t>
            </w:r>
          </w:p>
        </w:tc>
        <w:tc>
          <w:tcPr>
            <w:tcW w:w="1566" w:type="dxa"/>
            <w:vAlign w:val="center"/>
          </w:tcPr>
          <w:p>
            <w:pPr>
              <w:spacing w:line="240" w:lineRule="auto"/>
              <w:ind w:firstLine="0" w:firstLineChars="0"/>
              <w:jc w:val="center"/>
              <w:rPr>
                <w:sz w:val="21"/>
                <w:szCs w:val="21"/>
              </w:rPr>
            </w:pPr>
            <w:r>
              <w:rPr>
                <w:sz w:val="21"/>
                <w:szCs w:val="21"/>
              </w:rPr>
              <w:t>200</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锌</w:t>
            </w:r>
          </w:p>
        </w:tc>
        <w:tc>
          <w:tcPr>
            <w:tcW w:w="1266" w:type="dxa"/>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97</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98</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97</w:t>
            </w:r>
          </w:p>
        </w:tc>
        <w:tc>
          <w:tcPr>
            <w:tcW w:w="1566" w:type="dxa"/>
            <w:vAlign w:val="center"/>
          </w:tcPr>
          <w:p>
            <w:pPr>
              <w:spacing w:line="240" w:lineRule="auto"/>
              <w:ind w:firstLine="0" w:firstLineChars="0"/>
              <w:jc w:val="center"/>
              <w:rPr>
                <w:sz w:val="21"/>
                <w:szCs w:val="21"/>
              </w:rPr>
            </w:pPr>
            <w:r>
              <w:rPr>
                <w:rFonts w:hint="eastAsia"/>
                <w:sz w:val="21"/>
                <w:szCs w:val="21"/>
              </w:rPr>
              <w:t>300</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铅</w:t>
            </w:r>
          </w:p>
        </w:tc>
        <w:tc>
          <w:tcPr>
            <w:tcW w:w="1266" w:type="dxa"/>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2.9</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3.0</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3.3</w:t>
            </w:r>
          </w:p>
        </w:tc>
        <w:tc>
          <w:tcPr>
            <w:tcW w:w="1566" w:type="dxa"/>
            <w:vAlign w:val="center"/>
          </w:tcPr>
          <w:p>
            <w:pPr>
              <w:spacing w:line="240" w:lineRule="auto"/>
              <w:ind w:firstLine="0" w:firstLineChars="0"/>
              <w:jc w:val="center"/>
              <w:rPr>
                <w:sz w:val="21"/>
                <w:szCs w:val="21"/>
              </w:rPr>
            </w:pPr>
            <w:r>
              <w:rPr>
                <w:sz w:val="21"/>
                <w:szCs w:val="21"/>
              </w:rPr>
              <w:t>170</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镉</w:t>
            </w:r>
          </w:p>
        </w:tc>
        <w:tc>
          <w:tcPr>
            <w:tcW w:w="1266" w:type="dxa"/>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0.44</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0.57</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0.53</w:t>
            </w:r>
          </w:p>
        </w:tc>
        <w:tc>
          <w:tcPr>
            <w:tcW w:w="1566" w:type="dxa"/>
            <w:vAlign w:val="center"/>
          </w:tcPr>
          <w:p>
            <w:pPr>
              <w:spacing w:line="240" w:lineRule="auto"/>
              <w:ind w:firstLine="0" w:firstLineChars="0"/>
              <w:jc w:val="center"/>
              <w:rPr>
                <w:sz w:val="21"/>
                <w:szCs w:val="21"/>
              </w:rPr>
            </w:pPr>
            <w:r>
              <w:rPr>
                <w:sz w:val="21"/>
                <w:szCs w:val="21"/>
              </w:rPr>
              <w:t>0.6</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铬</w:t>
            </w:r>
          </w:p>
        </w:tc>
        <w:tc>
          <w:tcPr>
            <w:tcW w:w="1266" w:type="dxa"/>
          </w:tcPr>
          <w:p>
            <w:pPr>
              <w:autoSpaceDE w:val="0"/>
              <w:autoSpaceDN w:val="0"/>
              <w:spacing w:line="240" w:lineRule="auto"/>
              <w:ind w:firstLine="0" w:firstLineChars="0"/>
              <w:jc w:val="center"/>
              <w:rPr>
                <w:kern w:val="0"/>
                <w:sz w:val="21"/>
                <w:szCs w:val="21"/>
                <w:lang w:val="zh-CN"/>
              </w:rPr>
            </w:pPr>
            <w:r>
              <w:rPr>
                <w:kern w:val="0"/>
                <w:sz w:val="21"/>
                <w:szCs w:val="21"/>
                <w:lang w:val="zh-CN"/>
              </w:rPr>
              <w:t>0.5ND</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0.5ND</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0.5ND</w:t>
            </w:r>
          </w:p>
        </w:tc>
        <w:tc>
          <w:tcPr>
            <w:tcW w:w="1566" w:type="dxa"/>
            <w:vAlign w:val="center"/>
          </w:tcPr>
          <w:p>
            <w:pPr>
              <w:spacing w:line="240" w:lineRule="auto"/>
              <w:ind w:firstLine="0" w:firstLineChars="0"/>
              <w:jc w:val="center"/>
              <w:rPr>
                <w:sz w:val="21"/>
                <w:szCs w:val="21"/>
              </w:rPr>
            </w:pPr>
            <w:r>
              <w:rPr>
                <w:sz w:val="21"/>
                <w:szCs w:val="21"/>
              </w:rPr>
              <w:t>250</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砷</w:t>
            </w:r>
          </w:p>
        </w:tc>
        <w:tc>
          <w:tcPr>
            <w:tcW w:w="1266" w:type="dxa"/>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3.63</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4.36</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5.16</w:t>
            </w:r>
          </w:p>
        </w:tc>
        <w:tc>
          <w:tcPr>
            <w:tcW w:w="1566" w:type="dxa"/>
            <w:vAlign w:val="center"/>
          </w:tcPr>
          <w:p>
            <w:pPr>
              <w:spacing w:line="240" w:lineRule="auto"/>
              <w:ind w:firstLine="0" w:firstLineChars="0"/>
              <w:jc w:val="center"/>
              <w:rPr>
                <w:sz w:val="21"/>
                <w:szCs w:val="21"/>
              </w:rPr>
            </w:pPr>
            <w:r>
              <w:rPr>
                <w:sz w:val="21"/>
                <w:szCs w:val="21"/>
              </w:rPr>
              <w:t>25</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汞*</w:t>
            </w:r>
          </w:p>
        </w:tc>
        <w:tc>
          <w:tcPr>
            <w:tcW w:w="1266" w:type="dxa"/>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0.076</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0.113</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0.095</w:t>
            </w:r>
          </w:p>
        </w:tc>
        <w:tc>
          <w:tcPr>
            <w:tcW w:w="1566" w:type="dxa"/>
            <w:vAlign w:val="center"/>
          </w:tcPr>
          <w:p>
            <w:pPr>
              <w:spacing w:line="240" w:lineRule="auto"/>
              <w:ind w:firstLine="0" w:firstLineChars="0"/>
              <w:jc w:val="center"/>
              <w:rPr>
                <w:sz w:val="21"/>
                <w:szCs w:val="21"/>
              </w:rPr>
            </w:pPr>
            <w:r>
              <w:rPr>
                <w:sz w:val="21"/>
                <w:szCs w:val="21"/>
              </w:rPr>
              <w:t>3.4</w:t>
            </w:r>
          </w:p>
        </w:tc>
        <w:tc>
          <w:tcPr>
            <w:tcW w:w="1266" w:type="dxa"/>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4" w:type="dxa"/>
            <w:vAlign w:val="center"/>
          </w:tcPr>
          <w:p>
            <w:pPr>
              <w:spacing w:line="240" w:lineRule="auto"/>
              <w:ind w:firstLine="0" w:firstLineChars="0"/>
              <w:jc w:val="center"/>
              <w:rPr>
                <w:sz w:val="21"/>
                <w:szCs w:val="21"/>
              </w:rPr>
            </w:pPr>
            <w:r>
              <w:rPr>
                <w:kern w:val="0"/>
                <w:sz w:val="21"/>
                <w:szCs w:val="21"/>
                <w:lang w:val="zh-CN"/>
              </w:rPr>
              <w:t>镍</w:t>
            </w:r>
          </w:p>
        </w:tc>
        <w:tc>
          <w:tcPr>
            <w:tcW w:w="1266" w:type="dxa"/>
          </w:tcPr>
          <w:p>
            <w:pPr>
              <w:autoSpaceDE w:val="0"/>
              <w:autoSpaceDN w:val="0"/>
              <w:spacing w:line="240" w:lineRule="auto"/>
              <w:ind w:firstLine="0" w:firstLineChars="0"/>
              <w:jc w:val="center"/>
              <w:rPr>
                <w:kern w:val="0"/>
                <w:sz w:val="21"/>
                <w:szCs w:val="21"/>
                <w:lang w:val="zh-CN"/>
              </w:rPr>
            </w:pPr>
            <w:r>
              <w:rPr>
                <w:rFonts w:hint="eastAsia"/>
                <w:kern w:val="0"/>
                <w:sz w:val="21"/>
                <w:szCs w:val="21"/>
                <w:lang w:val="zh-CN"/>
              </w:rPr>
              <w:t>17</w:t>
            </w:r>
          </w:p>
        </w:tc>
        <w:tc>
          <w:tcPr>
            <w:tcW w:w="1424"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15</w:t>
            </w:r>
          </w:p>
        </w:tc>
        <w:tc>
          <w:tcPr>
            <w:tcW w:w="1390" w:type="dxa"/>
            <w:vAlign w:val="center"/>
          </w:tcPr>
          <w:p>
            <w:pPr>
              <w:autoSpaceDE w:val="0"/>
              <w:autoSpaceDN w:val="0"/>
              <w:spacing w:line="240" w:lineRule="auto"/>
              <w:ind w:firstLine="0" w:firstLineChars="0"/>
              <w:jc w:val="center"/>
              <w:rPr>
                <w:kern w:val="0"/>
                <w:sz w:val="21"/>
                <w:szCs w:val="21"/>
                <w:lang w:val="zh-CN"/>
              </w:rPr>
            </w:pPr>
            <w:r>
              <w:rPr>
                <w:kern w:val="0"/>
                <w:sz w:val="21"/>
                <w:szCs w:val="21"/>
                <w:lang w:val="zh-CN"/>
              </w:rPr>
              <w:t>17</w:t>
            </w:r>
          </w:p>
        </w:tc>
        <w:tc>
          <w:tcPr>
            <w:tcW w:w="1566" w:type="dxa"/>
            <w:vAlign w:val="center"/>
          </w:tcPr>
          <w:p>
            <w:pPr>
              <w:spacing w:line="240" w:lineRule="auto"/>
              <w:ind w:firstLine="0" w:firstLineChars="0"/>
              <w:jc w:val="center"/>
              <w:rPr>
                <w:sz w:val="21"/>
                <w:szCs w:val="21"/>
              </w:rPr>
            </w:pPr>
            <w:r>
              <w:rPr>
                <w:sz w:val="21"/>
                <w:szCs w:val="21"/>
              </w:rPr>
              <w:t>190</w:t>
            </w:r>
          </w:p>
        </w:tc>
        <w:tc>
          <w:tcPr>
            <w:tcW w:w="1266" w:type="dxa"/>
            <w:vAlign w:val="center"/>
          </w:tcPr>
          <w:p>
            <w:pPr>
              <w:spacing w:line="240" w:lineRule="auto"/>
              <w:ind w:firstLine="0" w:firstLineChars="0"/>
              <w:jc w:val="center"/>
              <w:rPr>
                <w:sz w:val="21"/>
                <w:szCs w:val="21"/>
              </w:rPr>
            </w:pPr>
            <w:r>
              <w:rPr>
                <w:sz w:val="21"/>
                <w:szCs w:val="21"/>
              </w:rPr>
              <w:t>达标</w:t>
            </w:r>
          </w:p>
        </w:tc>
      </w:tr>
    </w:tbl>
    <w:p>
      <w:pPr>
        <w:ind w:firstLine="480"/>
        <w:rPr>
          <w:rFonts w:eastAsiaTheme="minorEastAsia"/>
        </w:rPr>
      </w:pPr>
    </w:p>
    <w:p>
      <w:pPr>
        <w:pStyle w:val="3"/>
      </w:pPr>
      <w:bookmarkStart w:id="123" w:name="_Toc488102170"/>
      <w:bookmarkStart w:id="124" w:name="_Toc108422234"/>
      <w:r>
        <w:rPr>
          <w:rFonts w:hint="eastAsia"/>
        </w:rPr>
        <w:t>区域污染源调查</w:t>
      </w:r>
      <w:bookmarkEnd w:id="123"/>
      <w:bookmarkEnd w:id="124"/>
    </w:p>
    <w:p>
      <w:pPr>
        <w:pStyle w:val="4"/>
      </w:pPr>
      <w:r>
        <w:rPr>
          <w:rFonts w:hint="eastAsia"/>
        </w:rPr>
        <w:t>大气污染源调查</w:t>
      </w:r>
    </w:p>
    <w:p>
      <w:pPr>
        <w:ind w:firstLine="480"/>
      </w:pPr>
      <w:r>
        <w:rPr>
          <w:rFonts w:hint="eastAsia"/>
        </w:rPr>
        <w:t>项目厂址位于旬阳市关口镇关坪村，所在区域为农村地区，评价范围内无工业企业等污染源。</w:t>
      </w:r>
    </w:p>
    <w:p>
      <w:pPr>
        <w:pStyle w:val="4"/>
      </w:pPr>
      <w:r>
        <w:rPr>
          <w:rFonts w:hint="eastAsia"/>
        </w:rPr>
        <w:t>水污染源调查</w:t>
      </w:r>
    </w:p>
    <w:p>
      <w:pPr>
        <w:ind w:firstLine="480"/>
      </w:pPr>
      <w:r>
        <w:rPr>
          <w:rFonts w:hint="eastAsia"/>
        </w:rPr>
        <w:t>评价区域内无工业企业等污染源，主要水污染源为周围村庄居民生活污水。</w:t>
      </w:r>
    </w:p>
    <w:p>
      <w:pPr>
        <w:pStyle w:val="4"/>
      </w:pPr>
      <w:r>
        <w:rPr>
          <w:rFonts w:hint="eastAsia"/>
        </w:rPr>
        <w:t>噪声污染源调查</w:t>
      </w:r>
    </w:p>
    <w:p>
      <w:pPr>
        <w:pStyle w:val="79"/>
        <w:ind w:firstLine="480"/>
      </w:pPr>
      <w:r>
        <w:t>本次评价噪声调查范围主要为厂址四周200m的范围，场址所在地为农村地区，评价范围内无噪声污染源。</w:t>
      </w:r>
    </w:p>
    <w:p>
      <w:pPr>
        <w:ind w:firstLine="480"/>
      </w:pPr>
    </w:p>
    <w:p>
      <w:pPr>
        <w:ind w:firstLine="480"/>
        <w:sectPr>
          <w:headerReference r:id="rId41" w:type="default"/>
          <w:headerReference r:id="rId42" w:type="even"/>
          <w:pgSz w:w="11906" w:h="16838"/>
          <w:pgMar w:top="1440" w:right="1800" w:bottom="1440" w:left="1800" w:header="992" w:footer="992" w:gutter="0"/>
          <w:pgNumType w:fmt="numberInDash"/>
          <w:cols w:space="425" w:num="1"/>
          <w:docGrid w:type="lines" w:linePitch="326" w:charSpace="0"/>
        </w:sectPr>
      </w:pPr>
    </w:p>
    <w:p>
      <w:pPr>
        <w:pStyle w:val="2"/>
      </w:pPr>
      <w:bookmarkStart w:id="125" w:name="_Toc108422235"/>
      <w:bookmarkStart w:id="126" w:name="_Toc488102171"/>
      <w:r>
        <w:rPr>
          <w:rFonts w:hint="eastAsia"/>
        </w:rPr>
        <w:t>环境影响预测与评价</w:t>
      </w:r>
      <w:bookmarkEnd w:id="125"/>
      <w:bookmarkEnd w:id="126"/>
    </w:p>
    <w:p>
      <w:pPr>
        <w:pStyle w:val="3"/>
      </w:pPr>
      <w:bookmarkStart w:id="127" w:name="_Toc108422236"/>
      <w:bookmarkStart w:id="128" w:name="_Toc488102172"/>
      <w:r>
        <w:rPr>
          <w:rFonts w:hint="eastAsia"/>
        </w:rPr>
        <w:t>施工期环境影响分析</w:t>
      </w:r>
      <w:bookmarkEnd w:id="127"/>
      <w:bookmarkEnd w:id="128"/>
    </w:p>
    <w:p>
      <w:pPr>
        <w:ind w:firstLine="480"/>
      </w:pPr>
      <w:r>
        <w:t>本项目</w:t>
      </w:r>
      <w:r>
        <w:rPr>
          <w:rFonts w:hint="eastAsia"/>
        </w:rPr>
        <w:t>为新建项目</w:t>
      </w:r>
      <w:r>
        <w:t>，</w:t>
      </w:r>
      <w:r>
        <w:rPr>
          <w:rFonts w:hint="eastAsia"/>
        </w:rPr>
        <w:t>项目</w:t>
      </w:r>
      <w:r>
        <w:t>属于“</w:t>
      </w:r>
      <w:r>
        <w:rPr>
          <w:rFonts w:hint="eastAsia"/>
        </w:rPr>
        <w:t>未批</w:t>
      </w:r>
      <w:r>
        <w:t>先建项目”</w:t>
      </w:r>
      <w:r>
        <w:rPr>
          <w:rFonts w:hint="eastAsia"/>
        </w:rPr>
        <w:t>，</w:t>
      </w:r>
      <w:r>
        <w:t>根据</w:t>
      </w:r>
      <w:r>
        <w:rPr>
          <w:rFonts w:hint="eastAsia"/>
        </w:rPr>
        <w:t>现场调查项目</w:t>
      </w:r>
      <w:r>
        <w:t>施工期已经结束，</w:t>
      </w:r>
      <w:r>
        <w:rPr>
          <w:rFonts w:hint="eastAsia"/>
        </w:rPr>
        <w:t>无遗留施工期环境问题，本次评价不再对施工期进行影响</w:t>
      </w:r>
      <w:r>
        <w:t>分析</w:t>
      </w:r>
      <w:r>
        <w:rPr>
          <w:rFonts w:hint="eastAsia"/>
        </w:rPr>
        <w:t>。</w:t>
      </w:r>
    </w:p>
    <w:p>
      <w:pPr>
        <w:pStyle w:val="3"/>
      </w:pPr>
      <w:bookmarkStart w:id="129" w:name="_Toc108422237"/>
      <w:r>
        <w:rPr>
          <w:rFonts w:hint="eastAsia"/>
        </w:rPr>
        <w:t>运营期</w:t>
      </w:r>
      <w:r>
        <w:t>环境影响预测与评价</w:t>
      </w:r>
      <w:bookmarkEnd w:id="129"/>
    </w:p>
    <w:p>
      <w:pPr>
        <w:pStyle w:val="4"/>
      </w:pPr>
      <w:bookmarkStart w:id="130" w:name="_Toc488102173"/>
      <w:r>
        <w:rPr>
          <w:rFonts w:hint="eastAsia"/>
        </w:rPr>
        <w:t>大气环境影响预测与评价</w:t>
      </w:r>
      <w:bookmarkEnd w:id="130"/>
    </w:p>
    <w:p>
      <w:pPr>
        <w:pStyle w:val="5"/>
      </w:pPr>
      <w:r>
        <w:rPr>
          <w:rFonts w:hint="eastAsia"/>
        </w:rPr>
        <w:t>污染源</w:t>
      </w:r>
      <w:r>
        <w:t>参数</w:t>
      </w:r>
    </w:p>
    <w:p>
      <w:pPr>
        <w:pStyle w:val="79"/>
        <w:ind w:firstLine="480"/>
      </w:pPr>
      <w:r>
        <w:rPr>
          <w:rFonts w:hint="eastAsia"/>
        </w:rPr>
        <w:t>（1）污染物</w:t>
      </w:r>
      <w:r>
        <w:t>排放因子</w:t>
      </w:r>
    </w:p>
    <w:p>
      <w:pPr>
        <w:pStyle w:val="79"/>
        <w:ind w:firstLine="480"/>
        <w:rPr>
          <w:rFonts w:cs="Times New Roman"/>
        </w:rPr>
      </w:pPr>
      <w:r>
        <w:rPr>
          <w:rFonts w:hint="eastAsia"/>
        </w:rPr>
        <w:t>项目运营期废气主要为猪舍养殖过程、堆粪区</w:t>
      </w:r>
      <w:r>
        <w:t>堆粪、</w:t>
      </w:r>
      <w:r>
        <w:rPr>
          <w:rFonts w:hint="eastAsia"/>
        </w:rPr>
        <w:t>污水处理过程过程产生的恶臭气体，沼气</w:t>
      </w:r>
      <w:r>
        <w:t>燃烧废气、</w:t>
      </w:r>
      <w:r>
        <w:rPr>
          <w:rFonts w:hint="eastAsia"/>
        </w:rPr>
        <w:t>饲料</w:t>
      </w:r>
      <w:r>
        <w:t>破碎粉尘、</w:t>
      </w:r>
      <w:r>
        <w:rPr>
          <w:rFonts w:hint="eastAsia"/>
        </w:rPr>
        <w:t>食堂油烟等。</w:t>
      </w:r>
      <w:r>
        <w:rPr>
          <w:rFonts w:cs="Times New Roman"/>
        </w:rPr>
        <w:t>为了解项目投产后对周围环境的影响，根据影响最大原则，本次预测选取的预测因子为</w:t>
      </w:r>
      <w:r>
        <w:rPr>
          <w:rFonts w:hint="eastAsia"/>
        </w:rPr>
        <w:t>NH</w:t>
      </w:r>
      <w:r>
        <w:rPr>
          <w:rFonts w:hint="eastAsia"/>
          <w:vertAlign w:val="subscript"/>
        </w:rPr>
        <w:t>3</w:t>
      </w:r>
      <w:r>
        <w:rPr>
          <w:rFonts w:cs="Times New Roman"/>
        </w:rPr>
        <w:t>、H</w:t>
      </w:r>
      <w:r>
        <w:rPr>
          <w:rFonts w:cs="Times New Roman"/>
          <w:vertAlign w:val="subscript"/>
        </w:rPr>
        <w:t>2</w:t>
      </w:r>
      <w:r>
        <w:rPr>
          <w:rFonts w:cs="Times New Roman"/>
        </w:rPr>
        <w:t>S。</w:t>
      </w:r>
    </w:p>
    <w:p>
      <w:pPr>
        <w:pStyle w:val="79"/>
        <w:ind w:firstLine="480"/>
        <w:rPr>
          <w:rFonts w:cs="Times New Roman"/>
        </w:rPr>
      </w:pPr>
      <w:r>
        <w:rPr>
          <w:rFonts w:hint="eastAsia" w:cs="Times New Roman"/>
        </w:rPr>
        <w:t>（2）污染物</w:t>
      </w:r>
      <w:r>
        <w:rPr>
          <w:rFonts w:cs="Times New Roman"/>
        </w:rPr>
        <w:t>排放参数</w:t>
      </w:r>
    </w:p>
    <w:p>
      <w:pPr>
        <w:pStyle w:val="79"/>
        <w:ind w:firstLine="480"/>
      </w:pPr>
      <w:r>
        <w:rPr>
          <w:rFonts w:cs="Times New Roman"/>
        </w:rPr>
        <w:t>根据工程分析，</w:t>
      </w:r>
      <w:r>
        <w:rPr>
          <w:rFonts w:hint="eastAsia" w:cs="Times New Roman"/>
        </w:rPr>
        <w:t>项目</w:t>
      </w:r>
      <w:r>
        <w:t>矩形面源主要为</w:t>
      </w:r>
      <w:r>
        <w:rPr>
          <w:rFonts w:hint="eastAsia"/>
        </w:rPr>
        <w:t>猪舍，</w:t>
      </w:r>
      <w:r>
        <w:t>堆粪区</w:t>
      </w:r>
      <w:r>
        <w:rPr>
          <w:rFonts w:hint="eastAsia"/>
        </w:rPr>
        <w:t>，污水处理</w:t>
      </w:r>
      <w:r>
        <w:t>设施，</w:t>
      </w:r>
      <w:r>
        <w:rPr>
          <w:rFonts w:hint="eastAsia"/>
        </w:rPr>
        <w:t>项目</w:t>
      </w:r>
      <w:r>
        <w:t>污染源参数见</w:t>
      </w:r>
      <w:r>
        <w:rPr>
          <w:rFonts w:hint="eastAsia"/>
        </w:rPr>
        <w:t>表</w:t>
      </w:r>
      <w:r>
        <w:t>5</w:t>
      </w:r>
      <w:r>
        <w:rPr>
          <w:rFonts w:hint="eastAsia"/>
        </w:rPr>
        <w:t>.2-</w:t>
      </w:r>
      <w:r>
        <w:t>1</w:t>
      </w:r>
      <w:r>
        <w:rPr>
          <w:rFonts w:hint="eastAsia"/>
        </w:rPr>
        <w:t>。项目</w:t>
      </w:r>
      <w:r>
        <w:t>点源为沼气</w:t>
      </w:r>
      <w:r>
        <w:rPr>
          <w:rFonts w:hint="eastAsia"/>
        </w:rPr>
        <w:t>火炬</w:t>
      </w:r>
      <w:r>
        <w:t>燃烧排气筒P1，点源参数见表</w:t>
      </w:r>
      <w:r>
        <w:rPr>
          <w:rFonts w:hint="eastAsia"/>
        </w:rPr>
        <w:t>5.2-2。</w:t>
      </w:r>
    </w:p>
    <w:p>
      <w:pPr>
        <w:pStyle w:val="79"/>
        <w:ind w:firstLine="480"/>
        <w:rPr>
          <w:rFonts w:cs="Times New Roman"/>
        </w:rPr>
      </w:pPr>
    </w:p>
    <w:p>
      <w:pPr>
        <w:pStyle w:val="79"/>
        <w:ind w:firstLine="480"/>
        <w:rPr>
          <w:rFonts w:cs="Times New Roman"/>
        </w:rPr>
        <w:sectPr>
          <w:headerReference r:id="rId43" w:type="default"/>
          <w:headerReference r:id="rId44" w:type="even"/>
          <w:pgSz w:w="11906" w:h="16838"/>
          <w:pgMar w:top="1418" w:right="1797" w:bottom="1418" w:left="1797" w:header="992" w:footer="992" w:gutter="0"/>
          <w:pgNumType w:fmt="numberInDash"/>
          <w:cols w:space="425" w:num="1"/>
          <w:docGrid w:type="lines" w:linePitch="326" w:charSpace="0"/>
        </w:sectPr>
      </w:pPr>
    </w:p>
    <w:p>
      <w:pPr>
        <w:pStyle w:val="85"/>
        <w:rPr>
          <w:rFonts w:hAnsi="Times New Roman"/>
        </w:rPr>
      </w:pPr>
      <w:bookmarkStart w:id="131" w:name="_Ref37949154"/>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bookmarkEnd w:id="131"/>
      <w:r>
        <w:rPr>
          <w:rFonts w:hAnsi="Times New Roman"/>
        </w:rPr>
        <w:t xml:space="preserve">1  </w:t>
      </w:r>
      <w:r>
        <w:rPr>
          <w:rFonts w:hAnsi="Times New Roman"/>
          <w:snapToGrid w:val="0"/>
        </w:rPr>
        <w:t>项目矩形面源参数表</w:t>
      </w:r>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419"/>
        <w:gridCol w:w="1214"/>
        <w:gridCol w:w="1109"/>
        <w:gridCol w:w="1026"/>
        <w:gridCol w:w="771"/>
        <w:gridCol w:w="899"/>
        <w:gridCol w:w="1030"/>
        <w:gridCol w:w="1161"/>
        <w:gridCol w:w="1030"/>
        <w:gridCol w:w="1030"/>
        <w:gridCol w:w="899"/>
        <w:gridCol w:w="933"/>
        <w:gridCol w:w="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7" w:type="dxa"/>
            <w:vMerge w:val="restart"/>
            <w:shd w:val="clear" w:color="auto" w:fill="auto"/>
            <w:vAlign w:val="center"/>
          </w:tcPr>
          <w:p>
            <w:pPr>
              <w:pStyle w:val="84"/>
            </w:pPr>
            <w:r>
              <w:t>编号</w:t>
            </w:r>
          </w:p>
        </w:tc>
        <w:tc>
          <w:tcPr>
            <w:tcW w:w="1419" w:type="dxa"/>
            <w:vMerge w:val="restart"/>
            <w:shd w:val="clear" w:color="auto" w:fill="auto"/>
            <w:vAlign w:val="center"/>
          </w:tcPr>
          <w:p>
            <w:pPr>
              <w:pStyle w:val="84"/>
            </w:pPr>
            <w:r>
              <w:t>名称</w:t>
            </w:r>
          </w:p>
        </w:tc>
        <w:tc>
          <w:tcPr>
            <w:tcW w:w="2323" w:type="dxa"/>
            <w:gridSpan w:val="2"/>
            <w:shd w:val="clear" w:color="auto" w:fill="auto"/>
            <w:vAlign w:val="center"/>
          </w:tcPr>
          <w:p>
            <w:pPr>
              <w:pStyle w:val="84"/>
            </w:pPr>
            <w:r>
              <w:t>面源起点坐标/</w:t>
            </w:r>
            <w:r>
              <w:rPr>
                <w:rFonts w:hint="eastAsia"/>
              </w:rPr>
              <w:t>°</w:t>
            </w:r>
          </w:p>
        </w:tc>
        <w:tc>
          <w:tcPr>
            <w:tcW w:w="1026" w:type="dxa"/>
            <w:vMerge w:val="restart"/>
            <w:shd w:val="clear" w:color="auto" w:fill="auto"/>
            <w:vAlign w:val="center"/>
          </w:tcPr>
          <w:p>
            <w:pPr>
              <w:pStyle w:val="84"/>
            </w:pPr>
            <w:r>
              <w:t>面源海拔高度/m</w:t>
            </w:r>
          </w:p>
        </w:tc>
        <w:tc>
          <w:tcPr>
            <w:tcW w:w="771" w:type="dxa"/>
            <w:vMerge w:val="restart"/>
            <w:shd w:val="clear" w:color="auto" w:fill="auto"/>
            <w:vAlign w:val="center"/>
          </w:tcPr>
          <w:p>
            <w:pPr>
              <w:pStyle w:val="84"/>
            </w:pPr>
            <w:r>
              <w:t>面源长度/m</w:t>
            </w:r>
          </w:p>
        </w:tc>
        <w:tc>
          <w:tcPr>
            <w:tcW w:w="899" w:type="dxa"/>
            <w:vMerge w:val="restart"/>
            <w:shd w:val="clear" w:color="auto" w:fill="auto"/>
            <w:vAlign w:val="center"/>
          </w:tcPr>
          <w:p>
            <w:pPr>
              <w:pStyle w:val="84"/>
            </w:pPr>
            <w:r>
              <w:t>面源宽度/m</w:t>
            </w:r>
          </w:p>
        </w:tc>
        <w:tc>
          <w:tcPr>
            <w:tcW w:w="1030" w:type="dxa"/>
            <w:vMerge w:val="restart"/>
            <w:shd w:val="clear" w:color="auto" w:fill="auto"/>
            <w:vAlign w:val="center"/>
          </w:tcPr>
          <w:p>
            <w:pPr>
              <w:pStyle w:val="84"/>
            </w:pPr>
            <w:r>
              <w:t>与正北向</w:t>
            </w:r>
          </w:p>
          <w:p>
            <w:pPr>
              <w:pStyle w:val="84"/>
            </w:pPr>
            <w:r>
              <w:t>夹角/°</w:t>
            </w:r>
          </w:p>
        </w:tc>
        <w:tc>
          <w:tcPr>
            <w:tcW w:w="1161" w:type="dxa"/>
            <w:vMerge w:val="restart"/>
            <w:shd w:val="clear" w:color="auto" w:fill="auto"/>
            <w:vAlign w:val="center"/>
          </w:tcPr>
          <w:p>
            <w:pPr>
              <w:pStyle w:val="84"/>
            </w:pPr>
            <w:r>
              <w:t>面源有效排放高度/m</w:t>
            </w:r>
          </w:p>
        </w:tc>
        <w:tc>
          <w:tcPr>
            <w:tcW w:w="1030" w:type="dxa"/>
            <w:vMerge w:val="restart"/>
            <w:shd w:val="clear" w:color="auto" w:fill="auto"/>
            <w:vAlign w:val="center"/>
          </w:tcPr>
          <w:p>
            <w:pPr>
              <w:pStyle w:val="84"/>
            </w:pPr>
            <w:r>
              <w:t>年排放小时数/h</w:t>
            </w:r>
          </w:p>
        </w:tc>
        <w:tc>
          <w:tcPr>
            <w:tcW w:w="1030" w:type="dxa"/>
            <w:vMerge w:val="restart"/>
            <w:shd w:val="clear" w:color="auto" w:fill="auto"/>
            <w:vAlign w:val="center"/>
          </w:tcPr>
          <w:p>
            <w:pPr>
              <w:pStyle w:val="84"/>
            </w:pPr>
            <w:r>
              <w:t>排放工况</w:t>
            </w:r>
          </w:p>
        </w:tc>
        <w:tc>
          <w:tcPr>
            <w:tcW w:w="2762" w:type="dxa"/>
            <w:gridSpan w:val="3"/>
            <w:vAlign w:val="center"/>
          </w:tcPr>
          <w:p>
            <w:pPr>
              <w:pStyle w:val="84"/>
            </w:pPr>
            <w: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7" w:type="dxa"/>
            <w:vMerge w:val="continue"/>
            <w:shd w:val="clear" w:color="auto" w:fill="auto"/>
            <w:vAlign w:val="center"/>
          </w:tcPr>
          <w:p>
            <w:pPr>
              <w:pStyle w:val="84"/>
            </w:pPr>
          </w:p>
        </w:tc>
        <w:tc>
          <w:tcPr>
            <w:tcW w:w="1419" w:type="dxa"/>
            <w:vMerge w:val="continue"/>
            <w:shd w:val="clear" w:color="auto" w:fill="auto"/>
            <w:vAlign w:val="center"/>
          </w:tcPr>
          <w:p>
            <w:pPr>
              <w:pStyle w:val="84"/>
            </w:pPr>
          </w:p>
        </w:tc>
        <w:tc>
          <w:tcPr>
            <w:tcW w:w="1214" w:type="dxa"/>
            <w:shd w:val="clear" w:color="auto" w:fill="auto"/>
            <w:vAlign w:val="center"/>
          </w:tcPr>
          <w:p>
            <w:pPr>
              <w:pStyle w:val="84"/>
            </w:pPr>
            <w:r>
              <w:t>X</w:t>
            </w:r>
          </w:p>
        </w:tc>
        <w:tc>
          <w:tcPr>
            <w:tcW w:w="1109" w:type="dxa"/>
            <w:shd w:val="clear" w:color="auto" w:fill="auto"/>
            <w:vAlign w:val="center"/>
          </w:tcPr>
          <w:p>
            <w:pPr>
              <w:pStyle w:val="84"/>
            </w:pPr>
            <w:r>
              <w:t>Y</w:t>
            </w:r>
          </w:p>
        </w:tc>
        <w:tc>
          <w:tcPr>
            <w:tcW w:w="1026" w:type="dxa"/>
            <w:vMerge w:val="continue"/>
            <w:shd w:val="clear" w:color="auto" w:fill="auto"/>
            <w:vAlign w:val="center"/>
          </w:tcPr>
          <w:p>
            <w:pPr>
              <w:pStyle w:val="84"/>
            </w:pPr>
          </w:p>
        </w:tc>
        <w:tc>
          <w:tcPr>
            <w:tcW w:w="771" w:type="dxa"/>
            <w:vMerge w:val="continue"/>
            <w:shd w:val="clear" w:color="auto" w:fill="auto"/>
            <w:vAlign w:val="center"/>
          </w:tcPr>
          <w:p>
            <w:pPr>
              <w:pStyle w:val="84"/>
            </w:pPr>
          </w:p>
        </w:tc>
        <w:tc>
          <w:tcPr>
            <w:tcW w:w="899" w:type="dxa"/>
            <w:vMerge w:val="continue"/>
            <w:shd w:val="clear" w:color="auto" w:fill="auto"/>
            <w:vAlign w:val="center"/>
          </w:tcPr>
          <w:p>
            <w:pPr>
              <w:pStyle w:val="84"/>
            </w:pPr>
          </w:p>
        </w:tc>
        <w:tc>
          <w:tcPr>
            <w:tcW w:w="1030" w:type="dxa"/>
            <w:vMerge w:val="continue"/>
            <w:shd w:val="clear" w:color="auto" w:fill="auto"/>
            <w:vAlign w:val="center"/>
          </w:tcPr>
          <w:p>
            <w:pPr>
              <w:pStyle w:val="84"/>
            </w:pPr>
          </w:p>
        </w:tc>
        <w:tc>
          <w:tcPr>
            <w:tcW w:w="1161" w:type="dxa"/>
            <w:vMerge w:val="continue"/>
            <w:shd w:val="clear" w:color="auto" w:fill="auto"/>
            <w:vAlign w:val="center"/>
          </w:tcPr>
          <w:p>
            <w:pPr>
              <w:pStyle w:val="84"/>
            </w:pPr>
          </w:p>
        </w:tc>
        <w:tc>
          <w:tcPr>
            <w:tcW w:w="1030" w:type="dxa"/>
            <w:vMerge w:val="continue"/>
            <w:shd w:val="clear" w:color="auto" w:fill="auto"/>
            <w:vAlign w:val="center"/>
          </w:tcPr>
          <w:p>
            <w:pPr>
              <w:pStyle w:val="84"/>
            </w:pPr>
          </w:p>
        </w:tc>
        <w:tc>
          <w:tcPr>
            <w:tcW w:w="1030" w:type="dxa"/>
            <w:vMerge w:val="continue"/>
            <w:shd w:val="clear" w:color="auto" w:fill="auto"/>
            <w:vAlign w:val="center"/>
          </w:tcPr>
          <w:p>
            <w:pPr>
              <w:pStyle w:val="84"/>
            </w:pPr>
          </w:p>
        </w:tc>
        <w:tc>
          <w:tcPr>
            <w:tcW w:w="899" w:type="dxa"/>
            <w:vAlign w:val="center"/>
          </w:tcPr>
          <w:p>
            <w:pPr>
              <w:pStyle w:val="84"/>
            </w:pPr>
            <w:r>
              <w:t>NH</w:t>
            </w:r>
            <w:r>
              <w:rPr>
                <w:vertAlign w:val="subscript"/>
              </w:rPr>
              <w:t>3</w:t>
            </w:r>
          </w:p>
        </w:tc>
        <w:tc>
          <w:tcPr>
            <w:tcW w:w="933" w:type="dxa"/>
            <w:shd w:val="clear" w:color="auto" w:fill="auto"/>
            <w:vAlign w:val="center"/>
          </w:tcPr>
          <w:p>
            <w:pPr>
              <w:pStyle w:val="84"/>
            </w:pPr>
            <w:r>
              <w:t>H</w:t>
            </w:r>
            <w:r>
              <w:rPr>
                <w:vertAlign w:val="subscript"/>
              </w:rPr>
              <w:t>2</w:t>
            </w:r>
            <w:r>
              <w:t>S</w:t>
            </w:r>
          </w:p>
        </w:tc>
        <w:tc>
          <w:tcPr>
            <w:tcW w:w="930" w:type="dxa"/>
            <w:vAlign w:val="center"/>
          </w:tcPr>
          <w:p>
            <w:pPr>
              <w:pStyle w:val="84"/>
            </w:pPr>
            <w:r>
              <w:rPr>
                <w:rFonts w:hint="eastAsia"/>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77" w:type="dxa"/>
            <w:shd w:val="clear" w:color="auto" w:fill="auto"/>
            <w:vAlign w:val="center"/>
          </w:tcPr>
          <w:p>
            <w:pPr>
              <w:pStyle w:val="84"/>
            </w:pPr>
            <w:r>
              <w:t>A1</w:t>
            </w:r>
          </w:p>
        </w:tc>
        <w:tc>
          <w:tcPr>
            <w:tcW w:w="1419" w:type="dxa"/>
            <w:shd w:val="clear" w:color="auto" w:fill="auto"/>
            <w:vAlign w:val="center"/>
          </w:tcPr>
          <w:p>
            <w:pPr>
              <w:pStyle w:val="84"/>
            </w:pPr>
            <w:r>
              <w:rPr>
                <w:rFonts w:hint="eastAsia"/>
              </w:rPr>
              <w:t>猪舍</w:t>
            </w:r>
          </w:p>
        </w:tc>
        <w:tc>
          <w:tcPr>
            <w:tcW w:w="1214" w:type="dxa"/>
            <w:shd w:val="clear" w:color="auto" w:fill="auto"/>
            <w:vAlign w:val="center"/>
          </w:tcPr>
          <w:p>
            <w:pPr>
              <w:pStyle w:val="84"/>
              <w:rPr>
                <w:highlight w:val="yellow"/>
              </w:rPr>
            </w:pPr>
            <w:r>
              <w:t>109.612524</w:t>
            </w:r>
          </w:p>
        </w:tc>
        <w:tc>
          <w:tcPr>
            <w:tcW w:w="1109" w:type="dxa"/>
            <w:shd w:val="clear" w:color="auto" w:fill="auto"/>
            <w:vAlign w:val="center"/>
          </w:tcPr>
          <w:p>
            <w:pPr>
              <w:pStyle w:val="84"/>
              <w:rPr>
                <w:highlight w:val="yellow"/>
              </w:rPr>
            </w:pPr>
            <w:r>
              <w:t>32.936661</w:t>
            </w:r>
          </w:p>
        </w:tc>
        <w:tc>
          <w:tcPr>
            <w:tcW w:w="1026" w:type="dxa"/>
            <w:shd w:val="clear" w:color="auto" w:fill="auto"/>
            <w:vAlign w:val="center"/>
          </w:tcPr>
          <w:p>
            <w:pPr>
              <w:pStyle w:val="84"/>
              <w:rPr>
                <w:highlight w:val="yellow"/>
              </w:rPr>
            </w:pPr>
            <w:r>
              <w:t>471</w:t>
            </w:r>
          </w:p>
        </w:tc>
        <w:tc>
          <w:tcPr>
            <w:tcW w:w="771" w:type="dxa"/>
            <w:shd w:val="clear" w:color="auto" w:fill="auto"/>
            <w:vAlign w:val="center"/>
          </w:tcPr>
          <w:p>
            <w:pPr>
              <w:pStyle w:val="84"/>
              <w:rPr>
                <w:highlight w:val="yellow"/>
              </w:rPr>
            </w:pPr>
            <w:r>
              <w:t>80</w:t>
            </w:r>
          </w:p>
        </w:tc>
        <w:tc>
          <w:tcPr>
            <w:tcW w:w="899" w:type="dxa"/>
            <w:shd w:val="clear" w:color="auto" w:fill="auto"/>
            <w:vAlign w:val="center"/>
          </w:tcPr>
          <w:p>
            <w:pPr>
              <w:pStyle w:val="84"/>
              <w:rPr>
                <w:highlight w:val="yellow"/>
              </w:rPr>
            </w:pPr>
            <w:r>
              <w:t>55</w:t>
            </w:r>
          </w:p>
        </w:tc>
        <w:tc>
          <w:tcPr>
            <w:tcW w:w="1030" w:type="dxa"/>
            <w:shd w:val="clear" w:color="auto" w:fill="auto"/>
            <w:vAlign w:val="center"/>
          </w:tcPr>
          <w:p>
            <w:pPr>
              <w:pStyle w:val="84"/>
              <w:rPr>
                <w:highlight w:val="yellow"/>
              </w:rPr>
            </w:pPr>
            <w:r>
              <w:t>109.24</w:t>
            </w:r>
          </w:p>
        </w:tc>
        <w:tc>
          <w:tcPr>
            <w:tcW w:w="1161" w:type="dxa"/>
            <w:shd w:val="clear" w:color="auto" w:fill="auto"/>
            <w:vAlign w:val="center"/>
          </w:tcPr>
          <w:p>
            <w:pPr>
              <w:pStyle w:val="84"/>
            </w:pPr>
            <w:r>
              <w:t>10</w:t>
            </w:r>
          </w:p>
        </w:tc>
        <w:tc>
          <w:tcPr>
            <w:tcW w:w="1030" w:type="dxa"/>
            <w:shd w:val="clear" w:color="auto" w:fill="auto"/>
            <w:vAlign w:val="center"/>
          </w:tcPr>
          <w:p>
            <w:pPr>
              <w:pStyle w:val="84"/>
            </w:pPr>
            <w:r>
              <w:rPr>
                <w:rFonts w:hint="eastAsia"/>
              </w:rPr>
              <w:t>8760</w:t>
            </w:r>
          </w:p>
        </w:tc>
        <w:tc>
          <w:tcPr>
            <w:tcW w:w="1030" w:type="dxa"/>
            <w:shd w:val="clear" w:color="auto" w:fill="auto"/>
            <w:vAlign w:val="center"/>
          </w:tcPr>
          <w:p>
            <w:pPr>
              <w:pStyle w:val="84"/>
            </w:pPr>
            <w:r>
              <w:t>正常排放</w:t>
            </w:r>
          </w:p>
        </w:tc>
        <w:tc>
          <w:tcPr>
            <w:tcW w:w="899" w:type="dxa"/>
            <w:vAlign w:val="center"/>
          </w:tcPr>
          <w:p>
            <w:pPr>
              <w:pStyle w:val="84"/>
            </w:pPr>
            <w:r>
              <w:t>0.004</w:t>
            </w:r>
          </w:p>
        </w:tc>
        <w:tc>
          <w:tcPr>
            <w:tcW w:w="933" w:type="dxa"/>
            <w:shd w:val="clear" w:color="auto" w:fill="auto"/>
            <w:vAlign w:val="center"/>
          </w:tcPr>
          <w:p>
            <w:pPr>
              <w:pStyle w:val="84"/>
            </w:pPr>
            <w:r>
              <w:t>0.0007</w:t>
            </w:r>
          </w:p>
        </w:tc>
        <w:tc>
          <w:tcPr>
            <w:tcW w:w="930" w:type="dxa"/>
            <w:vAlign w:val="center"/>
          </w:tcPr>
          <w:p>
            <w:pPr>
              <w:pStyle w:val="84"/>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77" w:type="dxa"/>
            <w:shd w:val="clear" w:color="auto" w:fill="auto"/>
            <w:vAlign w:val="center"/>
          </w:tcPr>
          <w:p>
            <w:pPr>
              <w:pStyle w:val="84"/>
            </w:pPr>
            <w:r>
              <w:rPr>
                <w:rFonts w:hint="eastAsia"/>
              </w:rPr>
              <w:t>A</w:t>
            </w:r>
            <w:r>
              <w:t>2</w:t>
            </w:r>
          </w:p>
        </w:tc>
        <w:tc>
          <w:tcPr>
            <w:tcW w:w="1419" w:type="dxa"/>
            <w:shd w:val="clear" w:color="auto" w:fill="auto"/>
            <w:vAlign w:val="center"/>
          </w:tcPr>
          <w:p>
            <w:pPr>
              <w:pStyle w:val="84"/>
            </w:pPr>
            <w:r>
              <w:rPr>
                <w:rFonts w:hint="eastAsia"/>
              </w:rPr>
              <w:t>堆粪区</w:t>
            </w:r>
          </w:p>
        </w:tc>
        <w:tc>
          <w:tcPr>
            <w:tcW w:w="1214" w:type="dxa"/>
            <w:shd w:val="clear" w:color="auto" w:fill="auto"/>
            <w:vAlign w:val="center"/>
          </w:tcPr>
          <w:p>
            <w:pPr>
              <w:pStyle w:val="84"/>
              <w:rPr>
                <w:highlight w:val="yellow"/>
              </w:rPr>
            </w:pPr>
            <w:r>
              <w:t>109.612382</w:t>
            </w:r>
          </w:p>
        </w:tc>
        <w:tc>
          <w:tcPr>
            <w:tcW w:w="1109" w:type="dxa"/>
            <w:shd w:val="clear" w:color="auto" w:fill="auto"/>
            <w:vAlign w:val="center"/>
          </w:tcPr>
          <w:p>
            <w:pPr>
              <w:pStyle w:val="84"/>
              <w:rPr>
                <w:highlight w:val="yellow"/>
              </w:rPr>
            </w:pPr>
            <w:r>
              <w:t>32.936076</w:t>
            </w:r>
          </w:p>
        </w:tc>
        <w:tc>
          <w:tcPr>
            <w:tcW w:w="1026" w:type="dxa"/>
            <w:shd w:val="clear" w:color="auto" w:fill="auto"/>
            <w:vAlign w:val="center"/>
          </w:tcPr>
          <w:p>
            <w:pPr>
              <w:pStyle w:val="84"/>
            </w:pPr>
            <w:r>
              <w:rPr>
                <w:rFonts w:hint="eastAsia"/>
              </w:rPr>
              <w:t>471</w:t>
            </w:r>
          </w:p>
        </w:tc>
        <w:tc>
          <w:tcPr>
            <w:tcW w:w="771" w:type="dxa"/>
            <w:shd w:val="clear" w:color="auto" w:fill="auto"/>
            <w:vAlign w:val="center"/>
          </w:tcPr>
          <w:p>
            <w:pPr>
              <w:pStyle w:val="84"/>
            </w:pPr>
            <w:r>
              <w:t>20</w:t>
            </w:r>
          </w:p>
        </w:tc>
        <w:tc>
          <w:tcPr>
            <w:tcW w:w="899" w:type="dxa"/>
            <w:shd w:val="clear" w:color="auto" w:fill="auto"/>
            <w:vAlign w:val="center"/>
          </w:tcPr>
          <w:p>
            <w:pPr>
              <w:pStyle w:val="84"/>
            </w:pPr>
            <w:r>
              <w:t>15</w:t>
            </w:r>
          </w:p>
        </w:tc>
        <w:tc>
          <w:tcPr>
            <w:tcW w:w="1030" w:type="dxa"/>
            <w:shd w:val="clear" w:color="auto" w:fill="auto"/>
            <w:vAlign w:val="center"/>
          </w:tcPr>
          <w:p>
            <w:pPr>
              <w:pStyle w:val="84"/>
            </w:pPr>
            <w:r>
              <w:rPr>
                <w:rFonts w:hint="eastAsia"/>
              </w:rPr>
              <w:t>106.19</w:t>
            </w:r>
          </w:p>
        </w:tc>
        <w:tc>
          <w:tcPr>
            <w:tcW w:w="1161" w:type="dxa"/>
            <w:shd w:val="clear" w:color="auto" w:fill="auto"/>
            <w:vAlign w:val="center"/>
          </w:tcPr>
          <w:p>
            <w:pPr>
              <w:spacing w:line="240" w:lineRule="auto"/>
              <w:ind w:firstLine="0" w:firstLineChars="0"/>
              <w:jc w:val="center"/>
              <w:rPr>
                <w:sz w:val="21"/>
                <w:szCs w:val="21"/>
                <w:highlight w:val="yellow"/>
              </w:rPr>
            </w:pPr>
            <w:r>
              <w:rPr>
                <w:rFonts w:hint="eastAsia"/>
                <w:sz w:val="21"/>
                <w:szCs w:val="21"/>
              </w:rPr>
              <w:t>10</w:t>
            </w:r>
          </w:p>
        </w:tc>
        <w:tc>
          <w:tcPr>
            <w:tcW w:w="1030" w:type="dxa"/>
            <w:shd w:val="clear" w:color="auto" w:fill="auto"/>
            <w:vAlign w:val="center"/>
          </w:tcPr>
          <w:p>
            <w:pPr>
              <w:pStyle w:val="84"/>
            </w:pPr>
            <w:r>
              <w:rPr>
                <w:rFonts w:hint="eastAsia"/>
              </w:rPr>
              <w:t>8760</w:t>
            </w:r>
          </w:p>
        </w:tc>
        <w:tc>
          <w:tcPr>
            <w:tcW w:w="1030" w:type="dxa"/>
            <w:shd w:val="clear" w:color="auto" w:fill="auto"/>
            <w:vAlign w:val="center"/>
          </w:tcPr>
          <w:p>
            <w:pPr>
              <w:pStyle w:val="84"/>
            </w:pPr>
            <w:r>
              <w:t>正常排放</w:t>
            </w:r>
          </w:p>
        </w:tc>
        <w:tc>
          <w:tcPr>
            <w:tcW w:w="899" w:type="dxa"/>
            <w:vAlign w:val="center"/>
          </w:tcPr>
          <w:p>
            <w:pPr>
              <w:pStyle w:val="84"/>
            </w:pPr>
            <w:r>
              <w:rPr>
                <w:rFonts w:hint="eastAsia"/>
              </w:rPr>
              <w:t>0.0</w:t>
            </w:r>
            <w:r>
              <w:t>09</w:t>
            </w:r>
          </w:p>
        </w:tc>
        <w:tc>
          <w:tcPr>
            <w:tcW w:w="933" w:type="dxa"/>
            <w:shd w:val="clear" w:color="auto" w:fill="auto"/>
            <w:vAlign w:val="center"/>
          </w:tcPr>
          <w:p>
            <w:pPr>
              <w:pStyle w:val="84"/>
            </w:pPr>
            <w:r>
              <w:rPr>
                <w:rFonts w:hint="eastAsia"/>
              </w:rPr>
              <w:t>0.00</w:t>
            </w:r>
            <w:r>
              <w:t>0</w:t>
            </w:r>
            <w:r>
              <w:rPr>
                <w:rFonts w:hint="eastAsia"/>
              </w:rPr>
              <w:t>6</w:t>
            </w:r>
          </w:p>
        </w:tc>
        <w:tc>
          <w:tcPr>
            <w:tcW w:w="930" w:type="dxa"/>
            <w:vAlign w:val="center"/>
          </w:tcPr>
          <w:p>
            <w:pPr>
              <w:pStyle w:val="84"/>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77" w:type="dxa"/>
            <w:shd w:val="clear" w:color="auto" w:fill="auto"/>
            <w:vAlign w:val="center"/>
          </w:tcPr>
          <w:p>
            <w:pPr>
              <w:pStyle w:val="84"/>
            </w:pPr>
            <w:r>
              <w:rPr>
                <w:rFonts w:hint="eastAsia"/>
              </w:rPr>
              <w:t>A3</w:t>
            </w:r>
          </w:p>
        </w:tc>
        <w:tc>
          <w:tcPr>
            <w:tcW w:w="1419" w:type="dxa"/>
            <w:shd w:val="clear" w:color="auto" w:fill="auto"/>
            <w:vAlign w:val="center"/>
          </w:tcPr>
          <w:p>
            <w:pPr>
              <w:pStyle w:val="84"/>
            </w:pPr>
            <w:r>
              <w:rPr>
                <w:rFonts w:hint="eastAsia"/>
              </w:rPr>
              <w:t>污水处理设施</w:t>
            </w:r>
          </w:p>
        </w:tc>
        <w:tc>
          <w:tcPr>
            <w:tcW w:w="1214" w:type="dxa"/>
            <w:shd w:val="clear" w:color="auto" w:fill="auto"/>
            <w:vAlign w:val="center"/>
          </w:tcPr>
          <w:p>
            <w:pPr>
              <w:pStyle w:val="84"/>
            </w:pPr>
            <w:r>
              <w:t>109.612576</w:t>
            </w:r>
          </w:p>
        </w:tc>
        <w:tc>
          <w:tcPr>
            <w:tcW w:w="1109" w:type="dxa"/>
            <w:shd w:val="clear" w:color="auto" w:fill="auto"/>
            <w:vAlign w:val="center"/>
          </w:tcPr>
          <w:p>
            <w:pPr>
              <w:pStyle w:val="84"/>
            </w:pPr>
            <w:r>
              <w:t>32.936067</w:t>
            </w:r>
          </w:p>
        </w:tc>
        <w:tc>
          <w:tcPr>
            <w:tcW w:w="1026" w:type="dxa"/>
            <w:shd w:val="clear" w:color="auto" w:fill="auto"/>
            <w:vAlign w:val="center"/>
          </w:tcPr>
          <w:p>
            <w:pPr>
              <w:pStyle w:val="84"/>
            </w:pPr>
            <w:r>
              <w:rPr>
                <w:rFonts w:hint="eastAsia"/>
              </w:rPr>
              <w:t>471</w:t>
            </w:r>
          </w:p>
        </w:tc>
        <w:tc>
          <w:tcPr>
            <w:tcW w:w="771" w:type="dxa"/>
            <w:shd w:val="clear" w:color="auto" w:fill="auto"/>
            <w:vAlign w:val="center"/>
          </w:tcPr>
          <w:p>
            <w:pPr>
              <w:pStyle w:val="84"/>
            </w:pPr>
            <w:r>
              <w:rPr>
                <w:rFonts w:hint="eastAsia"/>
              </w:rPr>
              <w:t>10</w:t>
            </w:r>
          </w:p>
        </w:tc>
        <w:tc>
          <w:tcPr>
            <w:tcW w:w="899" w:type="dxa"/>
            <w:shd w:val="clear" w:color="auto" w:fill="auto"/>
            <w:vAlign w:val="center"/>
          </w:tcPr>
          <w:p>
            <w:pPr>
              <w:pStyle w:val="84"/>
            </w:pPr>
            <w:r>
              <w:rPr>
                <w:rFonts w:hint="eastAsia"/>
              </w:rPr>
              <w:t>50</w:t>
            </w:r>
          </w:p>
        </w:tc>
        <w:tc>
          <w:tcPr>
            <w:tcW w:w="1030" w:type="dxa"/>
            <w:shd w:val="clear" w:color="auto" w:fill="auto"/>
            <w:vAlign w:val="center"/>
          </w:tcPr>
          <w:p>
            <w:pPr>
              <w:pStyle w:val="84"/>
            </w:pPr>
            <w:r>
              <w:rPr>
                <w:rFonts w:hint="eastAsia"/>
              </w:rPr>
              <w:t>111.29</w:t>
            </w:r>
          </w:p>
        </w:tc>
        <w:tc>
          <w:tcPr>
            <w:tcW w:w="1161" w:type="dxa"/>
            <w:shd w:val="clear" w:color="auto" w:fill="auto"/>
            <w:vAlign w:val="center"/>
          </w:tcPr>
          <w:p>
            <w:pPr>
              <w:spacing w:line="240" w:lineRule="auto"/>
              <w:ind w:firstLine="0" w:firstLineChars="0"/>
              <w:jc w:val="center"/>
              <w:rPr>
                <w:sz w:val="21"/>
                <w:szCs w:val="21"/>
              </w:rPr>
            </w:pPr>
            <w:r>
              <w:rPr>
                <w:rFonts w:hint="eastAsia"/>
                <w:sz w:val="21"/>
                <w:szCs w:val="21"/>
              </w:rPr>
              <w:t>10</w:t>
            </w:r>
          </w:p>
        </w:tc>
        <w:tc>
          <w:tcPr>
            <w:tcW w:w="1030" w:type="dxa"/>
            <w:shd w:val="clear" w:color="auto" w:fill="auto"/>
            <w:vAlign w:val="center"/>
          </w:tcPr>
          <w:p>
            <w:pPr>
              <w:pStyle w:val="84"/>
            </w:pPr>
            <w:r>
              <w:rPr>
                <w:rFonts w:hint="eastAsia"/>
              </w:rPr>
              <w:t>8760</w:t>
            </w:r>
          </w:p>
        </w:tc>
        <w:tc>
          <w:tcPr>
            <w:tcW w:w="1030" w:type="dxa"/>
            <w:shd w:val="clear" w:color="auto" w:fill="auto"/>
            <w:vAlign w:val="center"/>
          </w:tcPr>
          <w:p>
            <w:pPr>
              <w:pStyle w:val="84"/>
            </w:pPr>
            <w:r>
              <w:t>正常排放</w:t>
            </w:r>
          </w:p>
        </w:tc>
        <w:tc>
          <w:tcPr>
            <w:tcW w:w="899" w:type="dxa"/>
            <w:vAlign w:val="center"/>
          </w:tcPr>
          <w:p>
            <w:pPr>
              <w:pStyle w:val="84"/>
            </w:pPr>
            <w:r>
              <w:rPr>
                <w:rFonts w:hint="eastAsia"/>
              </w:rPr>
              <w:t>0.0003</w:t>
            </w:r>
          </w:p>
        </w:tc>
        <w:tc>
          <w:tcPr>
            <w:tcW w:w="933" w:type="dxa"/>
            <w:shd w:val="clear" w:color="auto" w:fill="auto"/>
            <w:vAlign w:val="center"/>
          </w:tcPr>
          <w:p>
            <w:pPr>
              <w:pStyle w:val="84"/>
            </w:pPr>
            <w:r>
              <w:rPr>
                <w:rFonts w:hint="eastAsia"/>
              </w:rPr>
              <w:t>0.00001</w:t>
            </w:r>
          </w:p>
        </w:tc>
        <w:tc>
          <w:tcPr>
            <w:tcW w:w="930" w:type="dxa"/>
            <w:vAlign w:val="center"/>
          </w:tcPr>
          <w:p>
            <w:pPr>
              <w:pStyle w:val="84"/>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77" w:type="dxa"/>
            <w:shd w:val="clear" w:color="auto" w:fill="auto"/>
            <w:vAlign w:val="center"/>
          </w:tcPr>
          <w:p>
            <w:pPr>
              <w:pStyle w:val="84"/>
            </w:pPr>
            <w:r>
              <w:rPr>
                <w:rFonts w:hint="eastAsia"/>
              </w:rPr>
              <w:t>A4</w:t>
            </w:r>
          </w:p>
        </w:tc>
        <w:tc>
          <w:tcPr>
            <w:tcW w:w="1419" w:type="dxa"/>
            <w:shd w:val="clear" w:color="auto" w:fill="auto"/>
            <w:vAlign w:val="center"/>
          </w:tcPr>
          <w:p>
            <w:pPr>
              <w:pStyle w:val="84"/>
            </w:pPr>
            <w:r>
              <w:rPr>
                <w:rFonts w:hint="eastAsia"/>
              </w:rPr>
              <w:t>饲料</w:t>
            </w:r>
            <w:r>
              <w:t>库房</w:t>
            </w:r>
          </w:p>
        </w:tc>
        <w:tc>
          <w:tcPr>
            <w:tcW w:w="1214" w:type="dxa"/>
            <w:shd w:val="clear" w:color="auto" w:fill="auto"/>
            <w:vAlign w:val="center"/>
          </w:tcPr>
          <w:p>
            <w:pPr>
              <w:pStyle w:val="89"/>
            </w:pPr>
            <w:r>
              <w:t>109.613158</w:t>
            </w:r>
          </w:p>
        </w:tc>
        <w:tc>
          <w:tcPr>
            <w:tcW w:w="1109" w:type="dxa"/>
            <w:shd w:val="clear" w:color="auto" w:fill="auto"/>
            <w:vAlign w:val="center"/>
          </w:tcPr>
          <w:p>
            <w:pPr>
              <w:pStyle w:val="89"/>
            </w:pPr>
            <w:r>
              <w:t>32.935849</w:t>
            </w:r>
          </w:p>
        </w:tc>
        <w:tc>
          <w:tcPr>
            <w:tcW w:w="1026" w:type="dxa"/>
            <w:shd w:val="clear" w:color="auto" w:fill="auto"/>
            <w:vAlign w:val="center"/>
          </w:tcPr>
          <w:p>
            <w:pPr>
              <w:pStyle w:val="84"/>
            </w:pPr>
            <w:r>
              <w:rPr>
                <w:rFonts w:hint="eastAsia"/>
              </w:rPr>
              <w:t>471</w:t>
            </w:r>
          </w:p>
        </w:tc>
        <w:tc>
          <w:tcPr>
            <w:tcW w:w="771" w:type="dxa"/>
            <w:shd w:val="clear" w:color="auto" w:fill="auto"/>
            <w:vAlign w:val="center"/>
          </w:tcPr>
          <w:p>
            <w:pPr>
              <w:pStyle w:val="84"/>
            </w:pPr>
            <w:r>
              <w:rPr>
                <w:rFonts w:hint="eastAsia"/>
              </w:rPr>
              <w:t>8</w:t>
            </w:r>
          </w:p>
        </w:tc>
        <w:tc>
          <w:tcPr>
            <w:tcW w:w="899" w:type="dxa"/>
            <w:shd w:val="clear" w:color="auto" w:fill="auto"/>
            <w:vAlign w:val="center"/>
          </w:tcPr>
          <w:p>
            <w:pPr>
              <w:pStyle w:val="84"/>
            </w:pPr>
            <w:r>
              <w:rPr>
                <w:rFonts w:hint="eastAsia"/>
              </w:rPr>
              <w:t>10</w:t>
            </w:r>
          </w:p>
        </w:tc>
        <w:tc>
          <w:tcPr>
            <w:tcW w:w="1030" w:type="dxa"/>
            <w:shd w:val="clear" w:color="auto" w:fill="auto"/>
            <w:vAlign w:val="center"/>
          </w:tcPr>
          <w:p>
            <w:pPr>
              <w:pStyle w:val="84"/>
            </w:pPr>
            <w:r>
              <w:rPr>
                <w:rFonts w:hint="eastAsia"/>
              </w:rPr>
              <w:t>122.74</w:t>
            </w:r>
          </w:p>
        </w:tc>
        <w:tc>
          <w:tcPr>
            <w:tcW w:w="1161" w:type="dxa"/>
            <w:shd w:val="clear" w:color="auto" w:fill="auto"/>
            <w:vAlign w:val="center"/>
          </w:tcPr>
          <w:p>
            <w:pPr>
              <w:spacing w:line="240" w:lineRule="auto"/>
              <w:ind w:firstLine="0" w:firstLineChars="0"/>
              <w:jc w:val="center"/>
              <w:rPr>
                <w:sz w:val="21"/>
                <w:szCs w:val="21"/>
              </w:rPr>
            </w:pPr>
            <w:r>
              <w:rPr>
                <w:rFonts w:hint="eastAsia"/>
                <w:sz w:val="21"/>
                <w:szCs w:val="21"/>
              </w:rPr>
              <w:t>10</w:t>
            </w:r>
          </w:p>
        </w:tc>
        <w:tc>
          <w:tcPr>
            <w:tcW w:w="1030" w:type="dxa"/>
            <w:shd w:val="clear" w:color="auto" w:fill="auto"/>
            <w:vAlign w:val="center"/>
          </w:tcPr>
          <w:p>
            <w:pPr>
              <w:pStyle w:val="84"/>
            </w:pPr>
            <w:r>
              <w:rPr>
                <w:rFonts w:hint="eastAsia"/>
              </w:rPr>
              <w:t>730</w:t>
            </w:r>
          </w:p>
        </w:tc>
        <w:tc>
          <w:tcPr>
            <w:tcW w:w="1030" w:type="dxa"/>
            <w:shd w:val="clear" w:color="auto" w:fill="auto"/>
            <w:vAlign w:val="center"/>
          </w:tcPr>
          <w:p>
            <w:pPr>
              <w:pStyle w:val="84"/>
            </w:pPr>
            <w:r>
              <w:rPr>
                <w:rFonts w:hint="eastAsia"/>
              </w:rPr>
              <w:t>正常</w:t>
            </w:r>
            <w:r>
              <w:t>排放</w:t>
            </w:r>
          </w:p>
        </w:tc>
        <w:tc>
          <w:tcPr>
            <w:tcW w:w="899" w:type="dxa"/>
            <w:vAlign w:val="center"/>
          </w:tcPr>
          <w:p>
            <w:pPr>
              <w:pStyle w:val="84"/>
            </w:pPr>
            <w:r>
              <w:rPr>
                <w:rFonts w:hint="eastAsia"/>
              </w:rPr>
              <w:t>/</w:t>
            </w:r>
          </w:p>
        </w:tc>
        <w:tc>
          <w:tcPr>
            <w:tcW w:w="933" w:type="dxa"/>
            <w:shd w:val="clear" w:color="auto" w:fill="auto"/>
            <w:vAlign w:val="center"/>
          </w:tcPr>
          <w:p>
            <w:pPr>
              <w:pStyle w:val="84"/>
            </w:pPr>
            <w:r>
              <w:rPr>
                <w:rFonts w:hint="eastAsia"/>
              </w:rPr>
              <w:t>/</w:t>
            </w:r>
          </w:p>
        </w:tc>
        <w:tc>
          <w:tcPr>
            <w:tcW w:w="930" w:type="dxa"/>
            <w:vAlign w:val="center"/>
          </w:tcPr>
          <w:p>
            <w:pPr>
              <w:pStyle w:val="84"/>
            </w:pPr>
            <w:r>
              <w:rPr>
                <w:rFonts w:hint="eastAsia"/>
              </w:rPr>
              <w:t>0.0</w:t>
            </w:r>
            <w:r>
              <w:t>008</w:t>
            </w:r>
          </w:p>
        </w:tc>
      </w:tr>
    </w:tbl>
    <w:p>
      <w:pPr>
        <w:pStyle w:val="79"/>
        <w:ind w:firstLine="480"/>
        <w:rPr>
          <w:rFonts w:cs="Times New Roman"/>
        </w:rPr>
      </w:pPr>
    </w:p>
    <w:p>
      <w:pPr>
        <w:pStyle w:val="85"/>
        <w:rPr>
          <w:rFonts w:hAnsi="Times New Roman"/>
          <w:sz w:val="20"/>
          <w:szCs w:val="20"/>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t xml:space="preserve">2  </w:t>
      </w:r>
      <w:r>
        <w:rPr>
          <w:rFonts w:hAnsi="Times New Roman"/>
          <w:szCs w:val="21"/>
        </w:rPr>
        <w:t>项目点源参数表</w:t>
      </w:r>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274"/>
        <w:gridCol w:w="1170"/>
        <w:gridCol w:w="1042"/>
        <w:gridCol w:w="1309"/>
        <w:gridCol w:w="914"/>
        <w:gridCol w:w="1042"/>
        <w:gridCol w:w="1039"/>
        <w:gridCol w:w="780"/>
        <w:gridCol w:w="1039"/>
        <w:gridCol w:w="1042"/>
        <w:gridCol w:w="911"/>
        <w:gridCol w:w="925"/>
        <w:gridCol w:w="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6" w:type="dxa"/>
            <w:vMerge w:val="restart"/>
            <w:shd w:val="clear" w:color="auto" w:fill="auto"/>
            <w:vAlign w:val="center"/>
          </w:tcPr>
          <w:p>
            <w:pPr>
              <w:pStyle w:val="84"/>
            </w:pPr>
            <w:r>
              <w:t>编号</w:t>
            </w:r>
          </w:p>
        </w:tc>
        <w:tc>
          <w:tcPr>
            <w:tcW w:w="1274" w:type="dxa"/>
            <w:vMerge w:val="restart"/>
            <w:shd w:val="clear" w:color="auto" w:fill="auto"/>
            <w:vAlign w:val="center"/>
          </w:tcPr>
          <w:p>
            <w:pPr>
              <w:pStyle w:val="84"/>
            </w:pPr>
            <w:r>
              <w:t>名称</w:t>
            </w:r>
          </w:p>
        </w:tc>
        <w:tc>
          <w:tcPr>
            <w:tcW w:w="2212" w:type="dxa"/>
            <w:gridSpan w:val="2"/>
            <w:shd w:val="clear" w:color="auto" w:fill="auto"/>
            <w:vAlign w:val="center"/>
          </w:tcPr>
          <w:p>
            <w:pPr>
              <w:pStyle w:val="84"/>
            </w:pPr>
            <w:r>
              <w:t>排气筒底部中心坐标/°</w:t>
            </w:r>
          </w:p>
        </w:tc>
        <w:tc>
          <w:tcPr>
            <w:tcW w:w="1309" w:type="dxa"/>
            <w:vMerge w:val="restart"/>
            <w:shd w:val="clear" w:color="auto" w:fill="auto"/>
            <w:vAlign w:val="center"/>
          </w:tcPr>
          <w:p>
            <w:pPr>
              <w:pStyle w:val="84"/>
            </w:pPr>
            <w:r>
              <w:t>排气筒底部海拔高度/m</w:t>
            </w:r>
          </w:p>
        </w:tc>
        <w:tc>
          <w:tcPr>
            <w:tcW w:w="914" w:type="dxa"/>
            <w:vMerge w:val="restart"/>
            <w:shd w:val="clear" w:color="auto" w:fill="auto"/>
            <w:vAlign w:val="center"/>
          </w:tcPr>
          <w:p>
            <w:pPr>
              <w:pStyle w:val="84"/>
            </w:pPr>
            <w:r>
              <w:t>排气筒高度/m</w:t>
            </w:r>
          </w:p>
        </w:tc>
        <w:tc>
          <w:tcPr>
            <w:tcW w:w="1042" w:type="dxa"/>
            <w:vMerge w:val="restart"/>
            <w:shd w:val="clear" w:color="auto" w:fill="auto"/>
            <w:vAlign w:val="center"/>
          </w:tcPr>
          <w:p>
            <w:pPr>
              <w:pStyle w:val="84"/>
            </w:pPr>
            <w:r>
              <w:t>排气筒出口内径/m</w:t>
            </w:r>
          </w:p>
        </w:tc>
        <w:tc>
          <w:tcPr>
            <w:tcW w:w="1039" w:type="dxa"/>
            <w:vMerge w:val="restart"/>
            <w:shd w:val="clear" w:color="auto" w:fill="auto"/>
            <w:vAlign w:val="center"/>
          </w:tcPr>
          <w:p>
            <w:pPr>
              <w:pStyle w:val="84"/>
            </w:pPr>
            <w:r>
              <w:t>烟气流速/（m/s）</w:t>
            </w:r>
          </w:p>
        </w:tc>
        <w:tc>
          <w:tcPr>
            <w:tcW w:w="780" w:type="dxa"/>
            <w:vMerge w:val="restart"/>
            <w:shd w:val="clear" w:color="auto" w:fill="auto"/>
            <w:vAlign w:val="center"/>
          </w:tcPr>
          <w:p>
            <w:pPr>
              <w:pStyle w:val="84"/>
            </w:pPr>
            <w:r>
              <w:t>烟气温度/</w:t>
            </w:r>
            <w:r>
              <w:rPr>
                <w:rFonts w:hint="eastAsia" w:ascii="宋体" w:cs="宋体"/>
              </w:rPr>
              <w:t>℃</w:t>
            </w:r>
          </w:p>
        </w:tc>
        <w:tc>
          <w:tcPr>
            <w:tcW w:w="1039" w:type="dxa"/>
            <w:vMerge w:val="restart"/>
            <w:shd w:val="clear" w:color="auto" w:fill="auto"/>
            <w:vAlign w:val="center"/>
          </w:tcPr>
          <w:p>
            <w:pPr>
              <w:pStyle w:val="84"/>
            </w:pPr>
            <w:r>
              <w:t>年排放小时数/h</w:t>
            </w:r>
          </w:p>
        </w:tc>
        <w:tc>
          <w:tcPr>
            <w:tcW w:w="1042" w:type="dxa"/>
            <w:vMerge w:val="restart"/>
            <w:shd w:val="clear" w:color="auto" w:fill="auto"/>
            <w:vAlign w:val="center"/>
          </w:tcPr>
          <w:p>
            <w:pPr>
              <w:pStyle w:val="84"/>
            </w:pPr>
            <w:r>
              <w:t>排放工况</w:t>
            </w:r>
          </w:p>
        </w:tc>
        <w:tc>
          <w:tcPr>
            <w:tcW w:w="2761" w:type="dxa"/>
            <w:gridSpan w:val="3"/>
            <w:shd w:val="clear" w:color="auto" w:fill="auto"/>
            <w:vAlign w:val="center"/>
          </w:tcPr>
          <w:p>
            <w:pPr>
              <w:pStyle w:val="84"/>
            </w:pPr>
            <w: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6" w:type="dxa"/>
            <w:vMerge w:val="continue"/>
            <w:shd w:val="clear" w:color="auto" w:fill="auto"/>
            <w:vAlign w:val="center"/>
          </w:tcPr>
          <w:p>
            <w:pPr>
              <w:pStyle w:val="84"/>
            </w:pPr>
          </w:p>
        </w:tc>
        <w:tc>
          <w:tcPr>
            <w:tcW w:w="1274" w:type="dxa"/>
            <w:vMerge w:val="continue"/>
            <w:shd w:val="clear" w:color="auto" w:fill="auto"/>
            <w:vAlign w:val="center"/>
          </w:tcPr>
          <w:p>
            <w:pPr>
              <w:pStyle w:val="84"/>
            </w:pPr>
          </w:p>
        </w:tc>
        <w:tc>
          <w:tcPr>
            <w:tcW w:w="1170" w:type="dxa"/>
            <w:shd w:val="clear" w:color="auto" w:fill="auto"/>
            <w:vAlign w:val="center"/>
          </w:tcPr>
          <w:p>
            <w:pPr>
              <w:pStyle w:val="84"/>
            </w:pPr>
            <w:r>
              <w:t>X</w:t>
            </w:r>
          </w:p>
        </w:tc>
        <w:tc>
          <w:tcPr>
            <w:tcW w:w="1042" w:type="dxa"/>
            <w:shd w:val="clear" w:color="auto" w:fill="auto"/>
            <w:vAlign w:val="center"/>
          </w:tcPr>
          <w:p>
            <w:pPr>
              <w:pStyle w:val="84"/>
            </w:pPr>
            <w:r>
              <w:t>Y</w:t>
            </w:r>
          </w:p>
        </w:tc>
        <w:tc>
          <w:tcPr>
            <w:tcW w:w="1309" w:type="dxa"/>
            <w:vMerge w:val="continue"/>
            <w:shd w:val="clear" w:color="auto" w:fill="auto"/>
            <w:vAlign w:val="center"/>
          </w:tcPr>
          <w:p>
            <w:pPr>
              <w:pStyle w:val="84"/>
            </w:pPr>
          </w:p>
        </w:tc>
        <w:tc>
          <w:tcPr>
            <w:tcW w:w="914" w:type="dxa"/>
            <w:vMerge w:val="continue"/>
            <w:shd w:val="clear" w:color="auto" w:fill="auto"/>
            <w:vAlign w:val="center"/>
          </w:tcPr>
          <w:p>
            <w:pPr>
              <w:pStyle w:val="84"/>
            </w:pPr>
          </w:p>
        </w:tc>
        <w:tc>
          <w:tcPr>
            <w:tcW w:w="1042" w:type="dxa"/>
            <w:vMerge w:val="continue"/>
            <w:shd w:val="clear" w:color="auto" w:fill="auto"/>
            <w:vAlign w:val="center"/>
          </w:tcPr>
          <w:p>
            <w:pPr>
              <w:pStyle w:val="84"/>
            </w:pPr>
          </w:p>
        </w:tc>
        <w:tc>
          <w:tcPr>
            <w:tcW w:w="1039" w:type="dxa"/>
            <w:vMerge w:val="continue"/>
            <w:shd w:val="clear" w:color="auto" w:fill="auto"/>
            <w:vAlign w:val="center"/>
          </w:tcPr>
          <w:p>
            <w:pPr>
              <w:pStyle w:val="84"/>
            </w:pPr>
          </w:p>
        </w:tc>
        <w:tc>
          <w:tcPr>
            <w:tcW w:w="780" w:type="dxa"/>
            <w:vMerge w:val="continue"/>
            <w:shd w:val="clear" w:color="auto" w:fill="auto"/>
            <w:vAlign w:val="center"/>
          </w:tcPr>
          <w:p>
            <w:pPr>
              <w:pStyle w:val="84"/>
            </w:pPr>
          </w:p>
        </w:tc>
        <w:tc>
          <w:tcPr>
            <w:tcW w:w="1039" w:type="dxa"/>
            <w:vMerge w:val="continue"/>
            <w:shd w:val="clear" w:color="auto" w:fill="auto"/>
            <w:vAlign w:val="center"/>
          </w:tcPr>
          <w:p>
            <w:pPr>
              <w:pStyle w:val="84"/>
            </w:pPr>
          </w:p>
        </w:tc>
        <w:tc>
          <w:tcPr>
            <w:tcW w:w="1042" w:type="dxa"/>
            <w:vMerge w:val="continue"/>
            <w:shd w:val="clear" w:color="auto" w:fill="auto"/>
            <w:vAlign w:val="center"/>
          </w:tcPr>
          <w:p>
            <w:pPr>
              <w:pStyle w:val="84"/>
            </w:pPr>
          </w:p>
        </w:tc>
        <w:tc>
          <w:tcPr>
            <w:tcW w:w="911" w:type="dxa"/>
            <w:shd w:val="clear" w:color="auto" w:fill="auto"/>
            <w:vAlign w:val="center"/>
          </w:tcPr>
          <w:p>
            <w:pPr>
              <w:pStyle w:val="84"/>
            </w:pPr>
            <w:r>
              <w:rPr>
                <w:rFonts w:hint="eastAsia"/>
              </w:rPr>
              <w:t>颗粒物</w:t>
            </w:r>
          </w:p>
        </w:tc>
        <w:tc>
          <w:tcPr>
            <w:tcW w:w="925" w:type="dxa"/>
            <w:vAlign w:val="center"/>
          </w:tcPr>
          <w:p>
            <w:pPr>
              <w:pStyle w:val="84"/>
            </w:pPr>
            <w:r>
              <w:rPr>
                <w:rFonts w:hint="eastAsia"/>
              </w:rPr>
              <w:t>SO</w:t>
            </w:r>
            <w:r>
              <w:rPr>
                <w:rFonts w:hint="eastAsia"/>
                <w:vertAlign w:val="subscript"/>
              </w:rPr>
              <w:t>2</w:t>
            </w:r>
          </w:p>
        </w:tc>
        <w:tc>
          <w:tcPr>
            <w:tcW w:w="925" w:type="dxa"/>
          </w:tcPr>
          <w:p>
            <w:pPr>
              <w:pStyle w:val="84"/>
            </w:pPr>
            <w:r>
              <w:rPr>
                <w:rFonts w:hint="eastAsia"/>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6" w:type="dxa"/>
            <w:shd w:val="clear" w:color="auto" w:fill="auto"/>
            <w:vAlign w:val="center"/>
          </w:tcPr>
          <w:p>
            <w:pPr>
              <w:pStyle w:val="84"/>
            </w:pPr>
            <w:r>
              <w:t>P1</w:t>
            </w:r>
          </w:p>
        </w:tc>
        <w:tc>
          <w:tcPr>
            <w:tcW w:w="1274" w:type="dxa"/>
            <w:shd w:val="clear" w:color="auto" w:fill="auto"/>
            <w:vAlign w:val="center"/>
          </w:tcPr>
          <w:p>
            <w:pPr>
              <w:pStyle w:val="84"/>
            </w:pPr>
            <w:r>
              <w:rPr>
                <w:rFonts w:hint="eastAsia"/>
              </w:rPr>
              <w:t>沼气</w:t>
            </w:r>
            <w:r>
              <w:t>燃烧排气筒</w:t>
            </w:r>
          </w:p>
        </w:tc>
        <w:tc>
          <w:tcPr>
            <w:tcW w:w="1170" w:type="dxa"/>
            <w:shd w:val="clear" w:color="auto" w:fill="auto"/>
            <w:vAlign w:val="center"/>
          </w:tcPr>
          <w:p>
            <w:pPr>
              <w:pStyle w:val="84"/>
              <w:rPr>
                <w:highlight w:val="yellow"/>
              </w:rPr>
            </w:pPr>
            <w:r>
              <w:t>109.613432</w:t>
            </w:r>
          </w:p>
        </w:tc>
        <w:tc>
          <w:tcPr>
            <w:tcW w:w="1042" w:type="dxa"/>
            <w:shd w:val="clear" w:color="auto" w:fill="auto"/>
            <w:vAlign w:val="center"/>
          </w:tcPr>
          <w:p>
            <w:pPr>
              <w:pStyle w:val="84"/>
              <w:rPr>
                <w:highlight w:val="yellow"/>
              </w:rPr>
            </w:pPr>
            <w:r>
              <w:t>32.935843</w:t>
            </w:r>
          </w:p>
        </w:tc>
        <w:tc>
          <w:tcPr>
            <w:tcW w:w="1309" w:type="dxa"/>
            <w:shd w:val="clear" w:color="auto" w:fill="auto"/>
            <w:vAlign w:val="center"/>
          </w:tcPr>
          <w:p>
            <w:pPr>
              <w:pStyle w:val="84"/>
              <w:rPr>
                <w:highlight w:val="yellow"/>
              </w:rPr>
            </w:pPr>
            <w:r>
              <w:t>485.0</w:t>
            </w:r>
          </w:p>
        </w:tc>
        <w:tc>
          <w:tcPr>
            <w:tcW w:w="914" w:type="dxa"/>
            <w:shd w:val="clear" w:color="auto" w:fill="auto"/>
            <w:vAlign w:val="center"/>
          </w:tcPr>
          <w:p>
            <w:pPr>
              <w:pStyle w:val="84"/>
            </w:pPr>
            <w:r>
              <w:t>15.00</w:t>
            </w:r>
          </w:p>
        </w:tc>
        <w:tc>
          <w:tcPr>
            <w:tcW w:w="1042" w:type="dxa"/>
            <w:shd w:val="clear" w:color="auto" w:fill="auto"/>
            <w:vAlign w:val="center"/>
          </w:tcPr>
          <w:p>
            <w:pPr>
              <w:pStyle w:val="84"/>
            </w:pPr>
            <w:r>
              <w:t>0.</w:t>
            </w:r>
            <w:r>
              <w:rPr>
                <w:rFonts w:hint="eastAsia"/>
              </w:rPr>
              <w:t>30</w:t>
            </w:r>
          </w:p>
        </w:tc>
        <w:tc>
          <w:tcPr>
            <w:tcW w:w="1039" w:type="dxa"/>
            <w:shd w:val="clear" w:color="auto" w:fill="auto"/>
            <w:vAlign w:val="center"/>
          </w:tcPr>
          <w:p>
            <w:pPr>
              <w:pStyle w:val="84"/>
            </w:pPr>
            <w:r>
              <w:t>11.15</w:t>
            </w:r>
          </w:p>
        </w:tc>
        <w:tc>
          <w:tcPr>
            <w:tcW w:w="780" w:type="dxa"/>
            <w:shd w:val="clear" w:color="auto" w:fill="auto"/>
            <w:vAlign w:val="center"/>
          </w:tcPr>
          <w:p>
            <w:pPr>
              <w:pStyle w:val="84"/>
            </w:pPr>
            <w:r>
              <w:t>150</w:t>
            </w:r>
          </w:p>
        </w:tc>
        <w:tc>
          <w:tcPr>
            <w:tcW w:w="1039" w:type="dxa"/>
            <w:shd w:val="clear" w:color="auto" w:fill="auto"/>
            <w:vAlign w:val="center"/>
          </w:tcPr>
          <w:p>
            <w:pPr>
              <w:pStyle w:val="84"/>
            </w:pPr>
            <w:r>
              <w:rPr>
                <w:rFonts w:hint="eastAsia"/>
              </w:rPr>
              <w:t>8760</w:t>
            </w:r>
          </w:p>
        </w:tc>
        <w:tc>
          <w:tcPr>
            <w:tcW w:w="1042" w:type="dxa"/>
            <w:shd w:val="clear" w:color="auto" w:fill="auto"/>
            <w:vAlign w:val="center"/>
          </w:tcPr>
          <w:p>
            <w:pPr>
              <w:pStyle w:val="84"/>
            </w:pPr>
            <w:r>
              <w:rPr>
                <w:rFonts w:hint="eastAsia"/>
              </w:rPr>
              <w:t>正常</w:t>
            </w:r>
            <w:r>
              <w:t>工况</w:t>
            </w:r>
          </w:p>
        </w:tc>
        <w:tc>
          <w:tcPr>
            <w:tcW w:w="911" w:type="dxa"/>
            <w:shd w:val="clear" w:color="auto" w:fill="auto"/>
            <w:vAlign w:val="center"/>
          </w:tcPr>
          <w:p>
            <w:pPr>
              <w:pStyle w:val="84"/>
            </w:pPr>
            <w:r>
              <w:rPr>
                <w:rFonts w:hint="eastAsia"/>
              </w:rPr>
              <w:t>0.0001</w:t>
            </w:r>
          </w:p>
        </w:tc>
        <w:tc>
          <w:tcPr>
            <w:tcW w:w="925" w:type="dxa"/>
            <w:vAlign w:val="center"/>
          </w:tcPr>
          <w:p>
            <w:pPr>
              <w:pStyle w:val="84"/>
            </w:pPr>
            <w:r>
              <w:rPr>
                <w:rFonts w:hint="eastAsia"/>
              </w:rPr>
              <w:t>0.00002</w:t>
            </w:r>
          </w:p>
        </w:tc>
        <w:tc>
          <w:tcPr>
            <w:tcW w:w="925" w:type="dxa"/>
            <w:vAlign w:val="center"/>
          </w:tcPr>
          <w:p>
            <w:pPr>
              <w:pStyle w:val="84"/>
            </w:pPr>
            <w:r>
              <w:rPr>
                <w:rFonts w:hint="eastAsia"/>
              </w:rPr>
              <w:t>0.001</w:t>
            </w:r>
          </w:p>
        </w:tc>
      </w:tr>
    </w:tbl>
    <w:p>
      <w:pPr>
        <w:pStyle w:val="79"/>
        <w:ind w:firstLine="480"/>
        <w:rPr>
          <w:rFonts w:cs="Times New Roman"/>
        </w:rPr>
      </w:pPr>
    </w:p>
    <w:p>
      <w:pPr>
        <w:pStyle w:val="79"/>
        <w:ind w:firstLine="480"/>
        <w:rPr>
          <w:rFonts w:cs="Times New Roman"/>
        </w:rPr>
      </w:pPr>
    </w:p>
    <w:p>
      <w:pPr>
        <w:pStyle w:val="79"/>
        <w:ind w:firstLine="480"/>
        <w:rPr>
          <w:rFonts w:cs="Times New Roman"/>
        </w:rPr>
      </w:pPr>
    </w:p>
    <w:p>
      <w:pPr>
        <w:pStyle w:val="79"/>
        <w:ind w:firstLine="480"/>
        <w:rPr>
          <w:rFonts w:cs="Times New Roman"/>
        </w:rPr>
        <w:sectPr>
          <w:headerReference r:id="rId45" w:type="default"/>
          <w:headerReference r:id="rId46" w:type="even"/>
          <w:pgSz w:w="16838" w:h="11906" w:orient="landscape"/>
          <w:pgMar w:top="1800" w:right="1440" w:bottom="1800" w:left="1440" w:header="992" w:footer="992" w:gutter="0"/>
          <w:pgNumType w:fmt="numberInDash"/>
          <w:cols w:space="425" w:num="1"/>
          <w:docGrid w:type="lines" w:linePitch="326" w:charSpace="0"/>
        </w:sectPr>
      </w:pPr>
    </w:p>
    <w:p>
      <w:pPr>
        <w:pStyle w:val="5"/>
      </w:pPr>
      <w:r>
        <w:rPr>
          <w:rFonts w:hint="eastAsia"/>
        </w:rPr>
        <w:t>预测</w:t>
      </w:r>
      <w:r>
        <w:t>模式及相关参数</w:t>
      </w:r>
    </w:p>
    <w:p>
      <w:pPr>
        <w:ind w:firstLine="480"/>
      </w:pPr>
      <w:r>
        <w:t>本次环境空气预测采用《环境影响评价技术导则大气环境》（HJ2.2-2018）附录A推荐的估算模型AERSCREEN进行预测。估算模型参数见</w:t>
      </w:r>
      <w:r>
        <w:fldChar w:fldCharType="begin"/>
      </w:r>
      <w:r>
        <w:instrText xml:space="preserve"> REF _Ref26782473 \h  \* MERGEFORMAT </w:instrText>
      </w:r>
      <w:r>
        <w:fldChar w:fldCharType="separate"/>
      </w:r>
      <w:r>
        <w:t>表5.2</w:t>
      </w:r>
      <w:r>
        <w:noBreakHyphen/>
      </w:r>
      <w:r>
        <w:fldChar w:fldCharType="end"/>
      </w:r>
      <w:r>
        <w:t>3。</w:t>
      </w:r>
    </w:p>
    <w:p>
      <w:pPr>
        <w:pStyle w:val="85"/>
        <w:rPr>
          <w:rFonts w:hAnsi="Times New Roman"/>
        </w:rPr>
      </w:pPr>
      <w:bookmarkStart w:id="132" w:name="_Ref26782473"/>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bookmarkEnd w:id="132"/>
      <w:r>
        <w:rPr>
          <w:rFonts w:hAnsi="Times New Roman"/>
        </w:rPr>
        <w:t xml:space="preserve">3 </w:t>
      </w:r>
      <w:r>
        <w:rPr>
          <w:rFonts w:hAnsi="Times New Roman"/>
          <w:snapToGrid w:val="0"/>
        </w:rPr>
        <w:t>估算模型参数表</w:t>
      </w:r>
    </w:p>
    <w:tbl>
      <w:tblPr>
        <w:tblStyle w:val="27"/>
        <w:tblW w:w="828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1"/>
        <w:gridCol w:w="2767"/>
        <w:gridCol w:w="2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18" w:type="dxa"/>
            <w:gridSpan w:val="2"/>
            <w:shd w:val="clear" w:color="auto" w:fill="auto"/>
            <w:vAlign w:val="center"/>
          </w:tcPr>
          <w:p>
            <w:pPr>
              <w:pStyle w:val="89"/>
            </w:pPr>
            <w:r>
              <w:t>参数</w:t>
            </w:r>
          </w:p>
        </w:tc>
        <w:tc>
          <w:tcPr>
            <w:tcW w:w="2764" w:type="dxa"/>
            <w:shd w:val="clear" w:color="auto" w:fill="auto"/>
            <w:vAlign w:val="center"/>
          </w:tcPr>
          <w:p>
            <w:pPr>
              <w:pStyle w:val="89"/>
            </w:pPr>
            <w: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51" w:type="dxa"/>
            <w:vMerge w:val="restart"/>
            <w:shd w:val="clear" w:color="auto" w:fill="auto"/>
            <w:vAlign w:val="center"/>
          </w:tcPr>
          <w:p>
            <w:pPr>
              <w:pStyle w:val="89"/>
            </w:pPr>
            <w:r>
              <w:t>城市/农村选项</w:t>
            </w:r>
          </w:p>
        </w:tc>
        <w:tc>
          <w:tcPr>
            <w:tcW w:w="2767" w:type="dxa"/>
            <w:shd w:val="clear" w:color="auto" w:fill="auto"/>
            <w:vAlign w:val="center"/>
          </w:tcPr>
          <w:p>
            <w:pPr>
              <w:pStyle w:val="89"/>
            </w:pPr>
            <w:r>
              <w:t>城市/农村</w:t>
            </w:r>
          </w:p>
        </w:tc>
        <w:tc>
          <w:tcPr>
            <w:tcW w:w="2764" w:type="dxa"/>
            <w:shd w:val="clear" w:color="auto" w:fill="auto"/>
            <w:vAlign w:val="center"/>
          </w:tcPr>
          <w:p>
            <w:pPr>
              <w:pStyle w:val="89"/>
            </w:pPr>
            <w: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51" w:type="dxa"/>
            <w:vMerge w:val="continue"/>
            <w:shd w:val="clear" w:color="auto" w:fill="auto"/>
            <w:vAlign w:val="center"/>
          </w:tcPr>
          <w:p>
            <w:pPr>
              <w:pStyle w:val="89"/>
            </w:pPr>
          </w:p>
        </w:tc>
        <w:tc>
          <w:tcPr>
            <w:tcW w:w="2767" w:type="dxa"/>
            <w:shd w:val="clear" w:color="auto" w:fill="auto"/>
            <w:vAlign w:val="center"/>
          </w:tcPr>
          <w:p>
            <w:pPr>
              <w:pStyle w:val="89"/>
            </w:pPr>
            <w:r>
              <w:t>人口数（城市选项时）</w:t>
            </w:r>
          </w:p>
        </w:tc>
        <w:tc>
          <w:tcPr>
            <w:tcW w:w="2764" w:type="dxa"/>
            <w:shd w:val="clear" w:color="auto" w:fill="auto"/>
            <w:vAlign w:val="center"/>
          </w:tcPr>
          <w:p>
            <w:pPr>
              <w:pStyle w:val="89"/>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18" w:type="dxa"/>
            <w:gridSpan w:val="2"/>
            <w:shd w:val="clear" w:color="auto" w:fill="auto"/>
            <w:vAlign w:val="center"/>
          </w:tcPr>
          <w:p>
            <w:pPr>
              <w:pStyle w:val="89"/>
            </w:pPr>
            <w:r>
              <w:t>最高环境温度/</w:t>
            </w:r>
            <w:r>
              <w:rPr>
                <w:rFonts w:hint="eastAsia" w:ascii="宋体" w:hAnsi="宋体" w:cs="宋体"/>
              </w:rPr>
              <w:t>℃</w:t>
            </w:r>
          </w:p>
        </w:tc>
        <w:tc>
          <w:tcPr>
            <w:tcW w:w="2764" w:type="dxa"/>
            <w:shd w:val="clear" w:color="auto" w:fill="auto"/>
            <w:vAlign w:val="center"/>
          </w:tcPr>
          <w:p>
            <w:pPr>
              <w:pStyle w:val="89"/>
            </w:pPr>
            <w:r>
              <w:t>4</w:t>
            </w:r>
            <w:r>
              <w:rPr>
                <w:rFonts w:hint="eastAsia"/>
              </w:rPr>
              <w:t>1</w:t>
            </w:r>
            <w: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18" w:type="dxa"/>
            <w:gridSpan w:val="2"/>
            <w:shd w:val="clear" w:color="auto" w:fill="auto"/>
            <w:vAlign w:val="center"/>
          </w:tcPr>
          <w:p>
            <w:pPr>
              <w:pStyle w:val="89"/>
            </w:pPr>
            <w:r>
              <w:t>最低环境温度/</w:t>
            </w:r>
            <w:r>
              <w:rPr>
                <w:rFonts w:hint="eastAsia" w:ascii="宋体" w:hAnsi="宋体" w:cs="宋体"/>
              </w:rPr>
              <w:t>℃</w:t>
            </w:r>
          </w:p>
        </w:tc>
        <w:tc>
          <w:tcPr>
            <w:tcW w:w="2764" w:type="dxa"/>
            <w:shd w:val="clear" w:color="auto" w:fill="auto"/>
            <w:vAlign w:val="center"/>
          </w:tcPr>
          <w:p>
            <w:pPr>
              <w:pStyle w:val="89"/>
            </w:pPr>
            <w:r>
              <w:t>-9.7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18" w:type="dxa"/>
            <w:gridSpan w:val="2"/>
            <w:shd w:val="clear" w:color="auto" w:fill="auto"/>
            <w:vAlign w:val="center"/>
          </w:tcPr>
          <w:p>
            <w:pPr>
              <w:pStyle w:val="89"/>
            </w:pPr>
            <w:r>
              <w:t>土地利用类型</w:t>
            </w:r>
          </w:p>
        </w:tc>
        <w:tc>
          <w:tcPr>
            <w:tcW w:w="2764" w:type="dxa"/>
            <w:shd w:val="clear" w:color="auto" w:fill="auto"/>
            <w:vAlign w:val="center"/>
          </w:tcPr>
          <w:p>
            <w:pPr>
              <w:pStyle w:val="89"/>
            </w:pPr>
            <w:r>
              <w:t>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18" w:type="dxa"/>
            <w:gridSpan w:val="2"/>
            <w:shd w:val="clear" w:color="auto" w:fill="auto"/>
            <w:vAlign w:val="center"/>
          </w:tcPr>
          <w:p>
            <w:pPr>
              <w:pStyle w:val="89"/>
            </w:pPr>
            <w:r>
              <w:t>区域湿度条件</w:t>
            </w:r>
          </w:p>
        </w:tc>
        <w:tc>
          <w:tcPr>
            <w:tcW w:w="2764" w:type="dxa"/>
            <w:shd w:val="clear" w:color="auto" w:fill="auto"/>
            <w:vAlign w:val="center"/>
          </w:tcPr>
          <w:p>
            <w:pPr>
              <w:pStyle w:val="89"/>
            </w:pPr>
            <w:r>
              <w:rPr>
                <w:rFonts w:hint="eastAsia"/>
              </w:rPr>
              <w:t>潮湿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51" w:type="dxa"/>
            <w:vMerge w:val="restart"/>
            <w:shd w:val="clear" w:color="auto" w:fill="auto"/>
            <w:vAlign w:val="center"/>
          </w:tcPr>
          <w:p>
            <w:pPr>
              <w:pStyle w:val="89"/>
            </w:pPr>
            <w:r>
              <w:t>是否考虑地形</w:t>
            </w:r>
          </w:p>
        </w:tc>
        <w:tc>
          <w:tcPr>
            <w:tcW w:w="2767" w:type="dxa"/>
            <w:shd w:val="clear" w:color="auto" w:fill="auto"/>
            <w:vAlign w:val="center"/>
          </w:tcPr>
          <w:p>
            <w:pPr>
              <w:pStyle w:val="89"/>
            </w:pPr>
            <w:r>
              <w:t>考虑地形</w:t>
            </w:r>
          </w:p>
        </w:tc>
        <w:tc>
          <w:tcPr>
            <w:tcW w:w="2764" w:type="dxa"/>
            <w:shd w:val="clear" w:color="auto" w:fill="auto"/>
            <w:vAlign w:val="center"/>
          </w:tcPr>
          <w:p>
            <w:pPr>
              <w:pStyle w:val="89"/>
            </w:pPr>
            <w: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51" w:type="dxa"/>
            <w:vMerge w:val="continue"/>
            <w:shd w:val="clear" w:color="auto" w:fill="auto"/>
            <w:vAlign w:val="center"/>
          </w:tcPr>
          <w:p>
            <w:pPr>
              <w:pStyle w:val="89"/>
            </w:pPr>
          </w:p>
        </w:tc>
        <w:tc>
          <w:tcPr>
            <w:tcW w:w="2767" w:type="dxa"/>
            <w:shd w:val="clear" w:color="auto" w:fill="auto"/>
            <w:vAlign w:val="center"/>
          </w:tcPr>
          <w:p>
            <w:pPr>
              <w:pStyle w:val="89"/>
            </w:pPr>
            <w:r>
              <w:t>地形数据分辨率</w:t>
            </w:r>
          </w:p>
        </w:tc>
        <w:tc>
          <w:tcPr>
            <w:tcW w:w="2764" w:type="dxa"/>
            <w:shd w:val="clear" w:color="auto" w:fill="auto"/>
            <w:vAlign w:val="center"/>
          </w:tcPr>
          <w:p>
            <w:pPr>
              <w:pStyle w:val="89"/>
            </w:pPr>
            <w:r>
              <w:t>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51" w:type="dxa"/>
            <w:vMerge w:val="restart"/>
            <w:shd w:val="clear" w:color="auto" w:fill="auto"/>
            <w:vAlign w:val="center"/>
          </w:tcPr>
          <w:p>
            <w:pPr>
              <w:pStyle w:val="89"/>
            </w:pPr>
            <w:r>
              <w:t>是否考虑岸线熏烟</w:t>
            </w:r>
          </w:p>
        </w:tc>
        <w:tc>
          <w:tcPr>
            <w:tcW w:w="2767" w:type="dxa"/>
            <w:shd w:val="clear" w:color="auto" w:fill="auto"/>
            <w:vAlign w:val="center"/>
          </w:tcPr>
          <w:p>
            <w:pPr>
              <w:pStyle w:val="89"/>
            </w:pPr>
            <w:r>
              <w:t>考虑岸线熏烟</w:t>
            </w:r>
          </w:p>
        </w:tc>
        <w:tc>
          <w:tcPr>
            <w:tcW w:w="2764" w:type="dxa"/>
            <w:shd w:val="clear" w:color="auto" w:fill="auto"/>
            <w:vAlign w:val="center"/>
          </w:tcPr>
          <w:p>
            <w:pPr>
              <w:pStyle w:val="89"/>
            </w:pPr>
            <w: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51" w:type="dxa"/>
            <w:vMerge w:val="continue"/>
            <w:shd w:val="clear" w:color="auto" w:fill="auto"/>
            <w:vAlign w:val="center"/>
          </w:tcPr>
          <w:p>
            <w:pPr>
              <w:pStyle w:val="89"/>
            </w:pPr>
          </w:p>
        </w:tc>
        <w:tc>
          <w:tcPr>
            <w:tcW w:w="2767" w:type="dxa"/>
            <w:shd w:val="clear" w:color="auto" w:fill="auto"/>
            <w:vAlign w:val="center"/>
          </w:tcPr>
          <w:p>
            <w:pPr>
              <w:pStyle w:val="89"/>
            </w:pPr>
            <w:r>
              <w:t>岸线距离/km</w:t>
            </w:r>
          </w:p>
        </w:tc>
        <w:tc>
          <w:tcPr>
            <w:tcW w:w="2764" w:type="dxa"/>
            <w:shd w:val="clear" w:color="auto" w:fill="auto"/>
            <w:vAlign w:val="center"/>
          </w:tcPr>
          <w:p>
            <w:pPr>
              <w:pStyle w:val="89"/>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51" w:type="dxa"/>
            <w:vMerge w:val="continue"/>
            <w:shd w:val="clear" w:color="auto" w:fill="auto"/>
            <w:vAlign w:val="center"/>
          </w:tcPr>
          <w:p>
            <w:pPr>
              <w:pStyle w:val="89"/>
            </w:pPr>
          </w:p>
        </w:tc>
        <w:tc>
          <w:tcPr>
            <w:tcW w:w="2767" w:type="dxa"/>
            <w:shd w:val="clear" w:color="auto" w:fill="auto"/>
            <w:vAlign w:val="center"/>
          </w:tcPr>
          <w:p>
            <w:pPr>
              <w:pStyle w:val="89"/>
            </w:pPr>
            <w:r>
              <w:t>岸线方向/°</w:t>
            </w:r>
          </w:p>
        </w:tc>
        <w:tc>
          <w:tcPr>
            <w:tcW w:w="2764" w:type="dxa"/>
            <w:shd w:val="clear" w:color="auto" w:fill="auto"/>
            <w:vAlign w:val="center"/>
          </w:tcPr>
          <w:p>
            <w:pPr>
              <w:pStyle w:val="89"/>
            </w:pPr>
            <w:r>
              <w:t>/</w:t>
            </w:r>
          </w:p>
        </w:tc>
      </w:tr>
    </w:tbl>
    <w:p>
      <w:pPr>
        <w:pStyle w:val="5"/>
      </w:pPr>
      <w:r>
        <w:rPr>
          <w:rFonts w:hint="eastAsia"/>
        </w:rPr>
        <w:t>预测</w:t>
      </w:r>
      <w:r>
        <w:t>结果及评价</w:t>
      </w:r>
    </w:p>
    <w:p>
      <w:pPr>
        <w:ind w:firstLine="480"/>
        <w:rPr>
          <w:kern w:val="0"/>
        </w:rPr>
      </w:pPr>
      <w:r>
        <w:rPr>
          <w:rFonts w:hint="eastAsia"/>
          <w:kern w:val="0"/>
        </w:rPr>
        <w:t>1、</w:t>
      </w:r>
      <w:r>
        <w:rPr>
          <w:kern w:val="0"/>
        </w:rPr>
        <w:t>预测</w:t>
      </w:r>
      <w:r>
        <w:rPr>
          <w:rFonts w:hint="eastAsia"/>
          <w:kern w:val="0"/>
        </w:rPr>
        <w:t>结果</w:t>
      </w:r>
      <w:r>
        <w:rPr>
          <w:kern w:val="0"/>
        </w:rPr>
        <w:t>输出</w:t>
      </w:r>
    </w:p>
    <w:p>
      <w:pPr>
        <w:pStyle w:val="79"/>
        <w:ind w:firstLine="480"/>
        <w:rPr>
          <w:rFonts w:cs="Times New Roman"/>
        </w:rPr>
      </w:pPr>
      <w:r>
        <w:rPr>
          <w:rFonts w:cs="Times New Roman"/>
        </w:rPr>
        <w:t>正常情况下大气无组织面源排放预测结果见表5.2-4~表5</w:t>
      </w:r>
      <w:r>
        <w:rPr>
          <w:rFonts w:hint="eastAsia" w:cs="Times New Roman"/>
        </w:rPr>
        <w:t>.2-</w:t>
      </w:r>
      <w:r>
        <w:rPr>
          <w:rFonts w:cs="Times New Roman"/>
        </w:rPr>
        <w:t>5。</w:t>
      </w:r>
    </w:p>
    <w:p>
      <w:pPr>
        <w:ind w:firstLine="480"/>
        <w:rPr>
          <w:kern w:val="0"/>
        </w:rPr>
      </w:pPr>
      <w:r>
        <w:rPr>
          <w:rFonts w:hint="eastAsia"/>
          <w:kern w:val="0"/>
        </w:rPr>
        <w:t>由</w:t>
      </w:r>
      <w:r>
        <w:rPr>
          <w:kern w:val="0"/>
        </w:rPr>
        <w:t>表</w:t>
      </w:r>
      <w:r>
        <w:rPr>
          <w:rFonts w:hint="eastAsia"/>
          <w:kern w:val="0"/>
        </w:rPr>
        <w:t>5.2-</w:t>
      </w:r>
      <w:r>
        <w:rPr>
          <w:kern w:val="0"/>
        </w:rPr>
        <w:t>4</w:t>
      </w:r>
      <w:r>
        <w:rPr>
          <w:rFonts w:hint="eastAsia"/>
          <w:kern w:val="0"/>
        </w:rPr>
        <w:t>可知</w:t>
      </w:r>
      <w:r>
        <w:rPr>
          <w:kern w:val="0"/>
        </w:rPr>
        <w:t>，</w:t>
      </w:r>
      <w:r>
        <w:rPr>
          <w:rFonts w:hint="eastAsia"/>
          <w:kern w:val="0"/>
        </w:rPr>
        <w:t>项目面源</w:t>
      </w:r>
      <w:r>
        <w:rPr>
          <w:kern w:val="0"/>
        </w:rPr>
        <w:t>A1</w:t>
      </w:r>
      <w:r>
        <w:rPr>
          <w:rFonts w:hint="eastAsia"/>
          <w:kern w:val="0"/>
        </w:rPr>
        <w:t>（猪舍）</w:t>
      </w:r>
      <w:r>
        <w:rPr>
          <w:kern w:val="0"/>
        </w:rPr>
        <w:t>NH</w:t>
      </w:r>
      <w:r>
        <w:rPr>
          <w:kern w:val="0"/>
          <w:vertAlign w:val="subscript"/>
        </w:rPr>
        <w:t>3</w:t>
      </w:r>
      <w:r>
        <w:rPr>
          <w:rFonts w:hint="eastAsia"/>
          <w:kern w:val="0"/>
        </w:rPr>
        <w:t>和</w:t>
      </w:r>
      <w:r>
        <w:rPr>
          <w:kern w:val="0"/>
        </w:rPr>
        <w:t>H</w:t>
      </w:r>
      <w:r>
        <w:rPr>
          <w:kern w:val="0"/>
          <w:vertAlign w:val="subscript"/>
        </w:rPr>
        <w:t>2</w:t>
      </w:r>
      <w:r>
        <w:rPr>
          <w:kern w:val="0"/>
        </w:rPr>
        <w:t xml:space="preserve">S </w:t>
      </w:r>
      <w:r>
        <w:rPr>
          <w:rFonts w:hint="eastAsia"/>
          <w:kern w:val="0"/>
        </w:rPr>
        <w:t>的最大落地浓度分别为</w:t>
      </w:r>
      <w:r>
        <w:rPr>
          <w:kern w:val="0"/>
        </w:rPr>
        <w:t>2.4451μg/m</w:t>
      </w:r>
      <w:r>
        <w:rPr>
          <w:kern w:val="0"/>
          <w:vertAlign w:val="superscript"/>
        </w:rPr>
        <w:t>3</w:t>
      </w:r>
      <w:r>
        <w:rPr>
          <w:kern w:val="0"/>
        </w:rPr>
        <w:t>、04279μg/m</w:t>
      </w:r>
      <w:r>
        <w:rPr>
          <w:kern w:val="0"/>
          <w:vertAlign w:val="superscript"/>
        </w:rPr>
        <w:t>3</w:t>
      </w:r>
      <w:r>
        <w:rPr>
          <w:rFonts w:hint="eastAsia"/>
          <w:kern w:val="0"/>
        </w:rPr>
        <w:t>，占标率分别为</w:t>
      </w:r>
      <w:r>
        <w:rPr>
          <w:kern w:val="0"/>
        </w:rPr>
        <w:t>1.2226%</w:t>
      </w:r>
      <w:r>
        <w:rPr>
          <w:rFonts w:hint="eastAsia"/>
          <w:kern w:val="0"/>
        </w:rPr>
        <w:t>、</w:t>
      </w:r>
      <w:r>
        <w:rPr>
          <w:kern w:val="0"/>
        </w:rPr>
        <w:t>4.2789%</w:t>
      </w:r>
      <w:r>
        <w:rPr>
          <w:rFonts w:hint="eastAsia"/>
          <w:kern w:val="0"/>
        </w:rPr>
        <w:t>，最大落地浓度值出现在下风向</w:t>
      </w:r>
      <w:r>
        <w:rPr>
          <w:kern w:val="0"/>
        </w:rPr>
        <w:t xml:space="preserve">48m </w:t>
      </w:r>
      <w:r>
        <w:rPr>
          <w:rFonts w:hint="eastAsia"/>
          <w:kern w:val="0"/>
        </w:rPr>
        <w:t>处；面源A2（堆粪区）</w:t>
      </w:r>
      <w:r>
        <w:rPr>
          <w:kern w:val="0"/>
        </w:rPr>
        <w:t xml:space="preserve"> NH</w:t>
      </w:r>
      <w:r>
        <w:rPr>
          <w:kern w:val="0"/>
          <w:vertAlign w:val="subscript"/>
        </w:rPr>
        <w:t>3</w:t>
      </w:r>
      <w:r>
        <w:rPr>
          <w:rFonts w:hint="eastAsia"/>
          <w:kern w:val="0"/>
        </w:rPr>
        <w:t>和</w:t>
      </w:r>
      <w:r>
        <w:rPr>
          <w:kern w:val="0"/>
        </w:rPr>
        <w:t>H</w:t>
      </w:r>
      <w:r>
        <w:rPr>
          <w:kern w:val="0"/>
          <w:vertAlign w:val="subscript"/>
        </w:rPr>
        <w:t>2</w:t>
      </w:r>
      <w:r>
        <w:rPr>
          <w:kern w:val="0"/>
        </w:rPr>
        <w:t>S</w:t>
      </w:r>
      <w:r>
        <w:rPr>
          <w:rFonts w:hint="eastAsia"/>
          <w:kern w:val="0"/>
        </w:rPr>
        <w:t>的最大落地浓度分别为</w:t>
      </w:r>
      <w:r>
        <w:rPr>
          <w:rFonts w:eastAsiaTheme="minorEastAsia"/>
          <w:kern w:val="0"/>
        </w:rPr>
        <w:t>5.5519μg/m</w:t>
      </w:r>
      <w:r>
        <w:rPr>
          <w:rFonts w:eastAsiaTheme="minorEastAsia"/>
          <w:kern w:val="0"/>
          <w:vertAlign w:val="superscript"/>
        </w:rPr>
        <w:t>3</w:t>
      </w:r>
      <w:r>
        <w:rPr>
          <w:rFonts w:eastAsiaTheme="minorEastAsia"/>
          <w:kern w:val="0"/>
        </w:rPr>
        <w:t>、0.5552μg/m</w:t>
      </w:r>
      <w:r>
        <w:rPr>
          <w:rFonts w:eastAsiaTheme="minorEastAsia"/>
          <w:kern w:val="0"/>
          <w:vertAlign w:val="superscript"/>
        </w:rPr>
        <w:t>3</w:t>
      </w:r>
      <w:r>
        <w:rPr>
          <w:rFonts w:eastAsiaTheme="minorEastAsia"/>
          <w:kern w:val="0"/>
        </w:rPr>
        <w:t>，</w:t>
      </w:r>
      <w:r>
        <w:rPr>
          <w:rFonts w:hint="eastAsia"/>
          <w:kern w:val="0"/>
        </w:rPr>
        <w:t>占标率分别为</w:t>
      </w:r>
      <w:r>
        <w:rPr>
          <w:kern w:val="0"/>
        </w:rPr>
        <w:t>2.7759%</w:t>
      </w:r>
      <w:r>
        <w:rPr>
          <w:rFonts w:hint="eastAsia"/>
          <w:kern w:val="0"/>
        </w:rPr>
        <w:t>、</w:t>
      </w:r>
      <w:r>
        <w:rPr>
          <w:kern w:val="0"/>
        </w:rPr>
        <w:t>5.5519%</w:t>
      </w:r>
      <w:r>
        <w:rPr>
          <w:rFonts w:hint="eastAsia"/>
          <w:kern w:val="0"/>
        </w:rPr>
        <w:t>，最大落地浓度值出现在下风向</w:t>
      </w:r>
      <w:r>
        <w:rPr>
          <w:kern w:val="0"/>
        </w:rPr>
        <w:t xml:space="preserve">7m </w:t>
      </w:r>
      <w:r>
        <w:rPr>
          <w:rFonts w:hint="eastAsia"/>
          <w:kern w:val="0"/>
        </w:rPr>
        <w:t>处；面源A</w:t>
      </w:r>
      <w:r>
        <w:rPr>
          <w:kern w:val="0"/>
        </w:rPr>
        <w:t>4</w:t>
      </w:r>
      <w:r>
        <w:rPr>
          <w:rFonts w:hint="eastAsia"/>
          <w:kern w:val="0"/>
        </w:rPr>
        <w:t>（饲料</w:t>
      </w:r>
      <w:r>
        <w:rPr>
          <w:kern w:val="0"/>
        </w:rPr>
        <w:t>库房</w:t>
      </w:r>
      <w:r>
        <w:rPr>
          <w:rFonts w:hint="eastAsia"/>
          <w:kern w:val="0"/>
        </w:rPr>
        <w:t>）颗粒物（TSP）的</w:t>
      </w:r>
      <w:r>
        <w:rPr>
          <w:kern w:val="0"/>
        </w:rPr>
        <w:t>最大最大落地浓度为</w:t>
      </w:r>
      <w:r>
        <w:rPr>
          <w:rFonts w:hint="eastAsia"/>
          <w:kern w:val="0"/>
        </w:rPr>
        <w:t>1.4802</w:t>
      </w:r>
      <w:r>
        <w:rPr>
          <w:rFonts w:eastAsiaTheme="minorEastAsia"/>
          <w:kern w:val="0"/>
        </w:rPr>
        <w:t>μg/m</w:t>
      </w:r>
      <w:r>
        <w:rPr>
          <w:rFonts w:eastAsiaTheme="minorEastAsia"/>
          <w:kern w:val="0"/>
          <w:vertAlign w:val="superscript"/>
        </w:rPr>
        <w:t>3</w:t>
      </w:r>
      <w:r>
        <w:rPr>
          <w:rFonts w:hint="eastAsia" w:eastAsiaTheme="minorEastAsia"/>
          <w:kern w:val="0"/>
        </w:rPr>
        <w:t>，</w:t>
      </w:r>
      <w:r>
        <w:rPr>
          <w:rFonts w:eastAsiaTheme="minorEastAsia"/>
          <w:kern w:val="0"/>
        </w:rPr>
        <w:t>占标率为</w:t>
      </w:r>
      <w:r>
        <w:rPr>
          <w:rFonts w:hint="eastAsia" w:eastAsiaTheme="minorEastAsia"/>
          <w:kern w:val="0"/>
        </w:rPr>
        <w:t xml:space="preserve"> 0.1645%，</w:t>
      </w:r>
      <w:r>
        <w:rPr>
          <w:rFonts w:eastAsiaTheme="minorEastAsia"/>
          <w:kern w:val="0"/>
        </w:rPr>
        <w:t>最大落地浓度值出现在下风向</w:t>
      </w:r>
      <w:r>
        <w:rPr>
          <w:rFonts w:hint="eastAsia" w:eastAsiaTheme="minorEastAsia"/>
          <w:kern w:val="0"/>
        </w:rPr>
        <w:t>7</w:t>
      </w:r>
      <w:r>
        <w:rPr>
          <w:rFonts w:eastAsiaTheme="minorEastAsia"/>
          <w:kern w:val="0"/>
        </w:rPr>
        <w:t>m处。</w:t>
      </w:r>
    </w:p>
    <w:p>
      <w:pPr>
        <w:ind w:firstLine="480"/>
        <w:rPr>
          <w:kern w:val="0"/>
        </w:rPr>
      </w:pPr>
      <w:r>
        <w:rPr>
          <w:rFonts w:hint="eastAsia"/>
          <w:kern w:val="0"/>
        </w:rPr>
        <w:t>由</w:t>
      </w:r>
      <w:r>
        <w:rPr>
          <w:kern w:val="0"/>
        </w:rPr>
        <w:t>表</w:t>
      </w:r>
      <w:r>
        <w:rPr>
          <w:rFonts w:hint="eastAsia"/>
          <w:kern w:val="0"/>
        </w:rPr>
        <w:t>5.2-</w:t>
      </w:r>
      <w:r>
        <w:rPr>
          <w:kern w:val="0"/>
        </w:rPr>
        <w:t>5</w:t>
      </w:r>
      <w:r>
        <w:rPr>
          <w:rFonts w:hint="eastAsia"/>
          <w:kern w:val="0"/>
        </w:rPr>
        <w:t>可知</w:t>
      </w:r>
      <w:r>
        <w:rPr>
          <w:kern w:val="0"/>
        </w:rPr>
        <w:t>，</w:t>
      </w:r>
      <w:r>
        <w:rPr>
          <w:rFonts w:hint="eastAsia"/>
          <w:kern w:val="0"/>
        </w:rPr>
        <w:t>项目面源</w:t>
      </w:r>
      <w:r>
        <w:rPr>
          <w:kern w:val="0"/>
        </w:rPr>
        <w:t>A3</w:t>
      </w:r>
      <w:r>
        <w:rPr>
          <w:rFonts w:hint="eastAsia"/>
          <w:kern w:val="0"/>
        </w:rPr>
        <w:t>（污水处理设施）</w:t>
      </w:r>
      <w:r>
        <w:rPr>
          <w:kern w:val="0"/>
        </w:rPr>
        <w:t>NH</w:t>
      </w:r>
      <w:r>
        <w:rPr>
          <w:kern w:val="0"/>
          <w:vertAlign w:val="subscript"/>
        </w:rPr>
        <w:t>3</w:t>
      </w:r>
      <w:r>
        <w:rPr>
          <w:rFonts w:hint="eastAsia"/>
          <w:kern w:val="0"/>
        </w:rPr>
        <w:t>和</w:t>
      </w:r>
      <w:r>
        <w:rPr>
          <w:kern w:val="0"/>
        </w:rPr>
        <w:t>H</w:t>
      </w:r>
      <w:r>
        <w:rPr>
          <w:kern w:val="0"/>
          <w:vertAlign w:val="subscript"/>
        </w:rPr>
        <w:t>2</w:t>
      </w:r>
      <w:r>
        <w:rPr>
          <w:kern w:val="0"/>
        </w:rPr>
        <w:t xml:space="preserve">S </w:t>
      </w:r>
      <w:r>
        <w:rPr>
          <w:rFonts w:hint="eastAsia"/>
          <w:kern w:val="0"/>
        </w:rPr>
        <w:t>的最大落地浓度分别为</w:t>
      </w:r>
      <w:r>
        <w:rPr>
          <w:kern w:val="0"/>
        </w:rPr>
        <w:t>0.3447μg/m</w:t>
      </w:r>
      <w:r>
        <w:rPr>
          <w:kern w:val="0"/>
          <w:vertAlign w:val="superscript"/>
        </w:rPr>
        <w:t>3</w:t>
      </w:r>
      <w:r>
        <w:rPr>
          <w:kern w:val="0"/>
        </w:rPr>
        <w:t>、0.0115μg/m</w:t>
      </w:r>
      <w:r>
        <w:rPr>
          <w:kern w:val="0"/>
          <w:vertAlign w:val="superscript"/>
        </w:rPr>
        <w:t>3</w:t>
      </w:r>
      <w:r>
        <w:rPr>
          <w:rFonts w:hint="eastAsia"/>
          <w:kern w:val="0"/>
        </w:rPr>
        <w:t>，占标率分别为</w:t>
      </w:r>
      <w:r>
        <w:rPr>
          <w:kern w:val="0"/>
        </w:rPr>
        <w:t>0.1724%</w:t>
      </w:r>
      <w:r>
        <w:rPr>
          <w:rFonts w:hint="eastAsia"/>
          <w:kern w:val="0"/>
        </w:rPr>
        <w:t>、</w:t>
      </w:r>
      <w:r>
        <w:rPr>
          <w:kern w:val="0"/>
        </w:rPr>
        <w:t>0.1149%</w:t>
      </w:r>
      <w:r>
        <w:rPr>
          <w:rFonts w:hint="eastAsia"/>
          <w:kern w:val="0"/>
        </w:rPr>
        <w:t>，最大落地浓度值出现在下风向2</w:t>
      </w:r>
      <w:r>
        <w:rPr>
          <w:kern w:val="0"/>
        </w:rPr>
        <w:t xml:space="preserve">5m </w:t>
      </w:r>
      <w:r>
        <w:rPr>
          <w:rFonts w:hint="eastAsia"/>
          <w:kern w:val="0"/>
        </w:rPr>
        <w:t>处。点源</w:t>
      </w:r>
      <w:r>
        <w:rPr>
          <w:kern w:val="0"/>
        </w:rPr>
        <w:t>P1（</w:t>
      </w:r>
      <w:r>
        <w:rPr>
          <w:rFonts w:hint="eastAsia"/>
          <w:kern w:val="0"/>
        </w:rPr>
        <w:t>火炬燃烧</w:t>
      </w:r>
      <w:r>
        <w:rPr>
          <w:kern w:val="0"/>
        </w:rPr>
        <w:t>排气筒）</w:t>
      </w:r>
      <w:r>
        <w:rPr>
          <w:rFonts w:hint="eastAsia"/>
          <w:kern w:val="0"/>
        </w:rPr>
        <w:t>颗粒物</w:t>
      </w:r>
      <w:r>
        <w:rPr>
          <w:kern w:val="0"/>
        </w:rPr>
        <w:t>、SO</w:t>
      </w:r>
      <w:r>
        <w:rPr>
          <w:kern w:val="0"/>
          <w:vertAlign w:val="subscript"/>
        </w:rPr>
        <w:t>2</w:t>
      </w:r>
      <w:r>
        <w:rPr>
          <w:kern w:val="0"/>
        </w:rPr>
        <w:t>、NOx的最大落地浓度分别为0.0513μg/m</w:t>
      </w:r>
      <w:r>
        <w:rPr>
          <w:kern w:val="0"/>
          <w:vertAlign w:val="superscript"/>
        </w:rPr>
        <w:t>3</w:t>
      </w:r>
      <w:r>
        <w:rPr>
          <w:kern w:val="0"/>
        </w:rPr>
        <w:t>、0.0103μg/m</w:t>
      </w:r>
      <w:r>
        <w:rPr>
          <w:kern w:val="0"/>
          <w:vertAlign w:val="superscript"/>
        </w:rPr>
        <w:t>3</w:t>
      </w:r>
      <w:r>
        <w:rPr>
          <w:rFonts w:hint="eastAsia"/>
          <w:kern w:val="0"/>
        </w:rPr>
        <w:t>，</w:t>
      </w:r>
      <w:r>
        <w:rPr>
          <w:kern w:val="0"/>
        </w:rPr>
        <w:t>0.5134μg/m</w:t>
      </w:r>
      <w:r>
        <w:rPr>
          <w:kern w:val="0"/>
          <w:vertAlign w:val="superscript"/>
        </w:rPr>
        <w:t>3</w:t>
      </w:r>
      <w:r>
        <w:rPr>
          <w:rFonts w:hint="eastAsia"/>
          <w:kern w:val="0"/>
        </w:rPr>
        <w:t>，占标率分别为</w:t>
      </w:r>
      <w:r>
        <w:rPr>
          <w:kern w:val="0"/>
        </w:rPr>
        <w:t>0.0114%</w:t>
      </w:r>
      <w:r>
        <w:rPr>
          <w:rFonts w:hint="eastAsia"/>
          <w:kern w:val="0"/>
        </w:rPr>
        <w:t>、</w:t>
      </w:r>
      <w:r>
        <w:rPr>
          <w:kern w:val="0"/>
        </w:rPr>
        <w:t>0.0021%</w:t>
      </w:r>
      <w:r>
        <w:rPr>
          <w:rFonts w:hint="eastAsia"/>
          <w:kern w:val="0"/>
        </w:rPr>
        <w:t>，</w:t>
      </w:r>
      <w:r>
        <w:rPr>
          <w:kern w:val="0"/>
        </w:rPr>
        <w:t>0.2054%</w:t>
      </w:r>
      <w:r>
        <w:rPr>
          <w:rFonts w:hint="eastAsia"/>
          <w:kern w:val="0"/>
        </w:rPr>
        <w:t>，最大落地浓度值出现在下风向</w:t>
      </w:r>
      <w:r>
        <w:rPr>
          <w:kern w:val="0"/>
        </w:rPr>
        <w:t xml:space="preserve">75m </w:t>
      </w:r>
      <w:r>
        <w:rPr>
          <w:rFonts w:hint="eastAsia"/>
          <w:kern w:val="0"/>
        </w:rPr>
        <w:t>处。</w:t>
      </w:r>
    </w:p>
    <w:p>
      <w:pPr>
        <w:ind w:firstLine="480"/>
        <w:rPr>
          <w:kern w:val="0"/>
        </w:rPr>
        <w:sectPr>
          <w:headerReference r:id="rId47" w:type="default"/>
          <w:headerReference r:id="rId48" w:type="even"/>
          <w:pgSz w:w="11906" w:h="16838"/>
          <w:pgMar w:top="1418" w:right="1797" w:bottom="1418" w:left="1797" w:header="992" w:footer="992" w:gutter="0"/>
          <w:pgNumType w:fmt="numberInDash"/>
          <w:cols w:space="425" w:num="1"/>
          <w:docGrid w:type="lines" w:linePitch="326" w:charSpace="0"/>
        </w:sectPr>
      </w:pPr>
      <w:r>
        <w:rPr>
          <w:kern w:val="0"/>
        </w:rPr>
        <w:t>由表5.2-4~表5.2-5，本项目P</w:t>
      </w:r>
      <w:r>
        <w:rPr>
          <w:kern w:val="0"/>
          <w:vertAlign w:val="subscript"/>
        </w:rPr>
        <w:t>max</w:t>
      </w:r>
      <w:r>
        <w:rPr>
          <w:kern w:val="0"/>
        </w:rPr>
        <w:t xml:space="preserve"> 最大值</w:t>
      </w:r>
      <w:r>
        <w:rPr>
          <w:rFonts w:hint="eastAsia"/>
          <w:kern w:val="0"/>
        </w:rPr>
        <w:t>为面源A</w:t>
      </w:r>
      <w:r>
        <w:rPr>
          <w:kern w:val="0"/>
        </w:rPr>
        <w:t>2</w:t>
      </w:r>
      <w:r>
        <w:rPr>
          <w:rFonts w:hint="eastAsia"/>
          <w:kern w:val="0"/>
        </w:rPr>
        <w:t>（堆粪</w:t>
      </w:r>
      <w:r>
        <w:rPr>
          <w:kern w:val="0"/>
        </w:rPr>
        <w:t>区</w:t>
      </w:r>
      <w:r>
        <w:rPr>
          <w:rFonts w:hint="eastAsia"/>
          <w:kern w:val="0"/>
        </w:rPr>
        <w:t>）排放的H</w:t>
      </w:r>
      <w:r>
        <w:rPr>
          <w:rFonts w:hint="eastAsia"/>
          <w:kern w:val="0"/>
          <w:vertAlign w:val="subscript"/>
        </w:rPr>
        <w:t>2</w:t>
      </w:r>
      <w:r>
        <w:rPr>
          <w:rFonts w:hint="eastAsia"/>
          <w:kern w:val="0"/>
        </w:rPr>
        <w:t>S，P</w:t>
      </w:r>
      <w:r>
        <w:rPr>
          <w:rFonts w:hint="eastAsia"/>
          <w:kern w:val="0"/>
          <w:vertAlign w:val="subscript"/>
        </w:rPr>
        <w:t>max</w:t>
      </w:r>
      <w:r>
        <w:rPr>
          <w:rFonts w:hint="eastAsia"/>
          <w:kern w:val="0"/>
        </w:rPr>
        <w:t>=</w:t>
      </w:r>
      <w:r>
        <w:rPr>
          <w:kern w:val="0"/>
        </w:rPr>
        <w:t>5.5519</w:t>
      </w:r>
      <w:r>
        <w:rPr>
          <w:rFonts w:hint="eastAsia"/>
          <w:kern w:val="0"/>
        </w:rPr>
        <w:t>%&lt;10%，</w:t>
      </w:r>
      <w:r>
        <w:rPr>
          <w:kern w:val="0"/>
        </w:rPr>
        <w:t>根据《环境影响评价技术导则大气环境》（HJ2.2-2018）分级判据，确定项目大气环境影响评价等级为二级。二级评价项目不进行进一步预</w:t>
      </w:r>
    </w:p>
    <w:p>
      <w:pPr>
        <w:pStyle w:val="79"/>
        <w:ind w:firstLine="0" w:firstLineChars="0"/>
      </w:pPr>
      <w:r>
        <w:t>测与评价，</w:t>
      </w:r>
      <w:r>
        <w:rPr>
          <w:rFonts w:hint="eastAsia"/>
        </w:rPr>
        <w:t>无需</w:t>
      </w:r>
      <w:r>
        <w:t>进行大气环境防护距离计算，只对污染物排放量进行核算。污染物排放量核算情况见下表5.2-6~8</w:t>
      </w:r>
      <w:r>
        <w:rPr>
          <w:rFonts w:hint="eastAsia"/>
        </w:rPr>
        <w:t>。</w:t>
      </w:r>
    </w:p>
    <w:p>
      <w:pPr>
        <w:pStyle w:val="85"/>
        <w:rPr>
          <w:rFonts w:hAnsi="Times New Roman"/>
          <w:szCs w:val="21"/>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t xml:space="preserve">4 </w:t>
      </w:r>
      <w:r>
        <w:rPr>
          <w:rFonts w:hAnsi="Times New Roman"/>
          <w:szCs w:val="21"/>
        </w:rPr>
        <w:t>正常情况下</w:t>
      </w:r>
      <w:r>
        <w:rPr>
          <w:rFonts w:hint="eastAsia" w:hAnsi="Times New Roman"/>
          <w:szCs w:val="21"/>
        </w:rPr>
        <w:t>面源A1（猪舍）、</w:t>
      </w:r>
      <w:r>
        <w:rPr>
          <w:rFonts w:hAnsi="Times New Roman"/>
          <w:szCs w:val="21"/>
        </w:rPr>
        <w:t>A2</w:t>
      </w:r>
      <w:r>
        <w:rPr>
          <w:rFonts w:hint="eastAsia" w:hAnsi="Times New Roman"/>
          <w:szCs w:val="21"/>
        </w:rPr>
        <w:t>（堆粪区）、</w:t>
      </w:r>
      <w:r>
        <w:rPr>
          <w:rFonts w:hAnsi="Times New Roman"/>
          <w:szCs w:val="21"/>
        </w:rPr>
        <w:t>A4（</w:t>
      </w:r>
      <w:r>
        <w:rPr>
          <w:rFonts w:hint="eastAsia" w:hAnsi="Times New Roman"/>
          <w:szCs w:val="21"/>
        </w:rPr>
        <w:t>饲料</w:t>
      </w:r>
      <w:r>
        <w:rPr>
          <w:rFonts w:hAnsi="Times New Roman"/>
          <w:szCs w:val="21"/>
        </w:rPr>
        <w:t>库房）排放预测结果</w:t>
      </w:r>
    </w:p>
    <w:tbl>
      <w:tblPr>
        <w:tblStyle w:val="27"/>
        <w:tblW w:w="139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31"/>
        <w:gridCol w:w="1184"/>
        <w:gridCol w:w="1301"/>
        <w:gridCol w:w="1192"/>
        <w:gridCol w:w="1287"/>
        <w:gridCol w:w="1337"/>
        <w:gridCol w:w="1215"/>
        <w:gridCol w:w="1312"/>
        <w:gridCol w:w="1323"/>
        <w:gridCol w:w="1323"/>
        <w:gridCol w:w="13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0" w:hRule="atLeast"/>
          <w:tblHeader/>
          <w:jc w:val="center"/>
        </w:trPr>
        <w:tc>
          <w:tcPr>
            <w:tcW w:w="1131" w:type="dxa"/>
            <w:vMerge w:val="restart"/>
            <w:vAlign w:val="center"/>
          </w:tcPr>
          <w:p>
            <w:pPr>
              <w:pStyle w:val="84"/>
            </w:pPr>
            <w:r>
              <w:t>距源中心下风向距离（m）</w:t>
            </w:r>
          </w:p>
        </w:tc>
        <w:tc>
          <w:tcPr>
            <w:tcW w:w="4964" w:type="dxa"/>
            <w:gridSpan w:val="4"/>
            <w:vAlign w:val="center"/>
          </w:tcPr>
          <w:p>
            <w:pPr>
              <w:pStyle w:val="84"/>
              <w:rPr>
                <w:highlight w:val="yellow"/>
              </w:rPr>
            </w:pPr>
            <w:r>
              <w:rPr>
                <w:rFonts w:hint="eastAsia"/>
              </w:rPr>
              <w:t>A</w:t>
            </w:r>
            <w:r>
              <w:t>1</w:t>
            </w:r>
            <w:r>
              <w:rPr>
                <w:rFonts w:hint="eastAsia"/>
              </w:rPr>
              <w:t>（猪舍）</w:t>
            </w:r>
          </w:p>
        </w:tc>
        <w:tc>
          <w:tcPr>
            <w:tcW w:w="5187" w:type="dxa"/>
            <w:gridSpan w:val="4"/>
            <w:vAlign w:val="center"/>
          </w:tcPr>
          <w:p>
            <w:pPr>
              <w:pStyle w:val="84"/>
            </w:pPr>
            <w:r>
              <w:rPr>
                <w:rFonts w:hAnsi="Times New Roman"/>
                <w:szCs w:val="21"/>
              </w:rPr>
              <w:t>A2</w:t>
            </w:r>
            <w:r>
              <w:rPr>
                <w:rFonts w:hint="eastAsia" w:hAnsi="Times New Roman"/>
                <w:szCs w:val="21"/>
              </w:rPr>
              <w:t>（堆粪区</w:t>
            </w:r>
            <w:r>
              <w:rPr>
                <w:rFonts w:hAnsi="Times New Roman"/>
                <w:szCs w:val="21"/>
              </w:rPr>
              <w:t>）</w:t>
            </w:r>
          </w:p>
        </w:tc>
        <w:tc>
          <w:tcPr>
            <w:tcW w:w="2646" w:type="dxa"/>
            <w:gridSpan w:val="2"/>
          </w:tcPr>
          <w:p>
            <w:pPr>
              <w:pStyle w:val="84"/>
              <w:rPr>
                <w:rFonts w:hAnsi="Times New Roman"/>
                <w:szCs w:val="21"/>
              </w:rPr>
            </w:pPr>
            <w:r>
              <w:rPr>
                <w:rFonts w:hint="eastAsia" w:hAnsi="Times New Roman"/>
                <w:szCs w:val="21"/>
              </w:rPr>
              <w:t>A4</w:t>
            </w:r>
            <w:r>
              <w:rPr>
                <w:rFonts w:hAnsi="Times New Roman"/>
                <w:szCs w:val="21"/>
              </w:rPr>
              <w:t>（</w:t>
            </w:r>
            <w:r>
              <w:rPr>
                <w:rFonts w:hint="eastAsia" w:hAnsi="Times New Roman"/>
                <w:szCs w:val="21"/>
              </w:rPr>
              <w:t>饲料</w:t>
            </w:r>
            <w:r>
              <w:rPr>
                <w:rFonts w:hAnsi="Times New Roman"/>
                <w:szCs w:val="21"/>
              </w:rPr>
              <w:t>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131" w:type="dxa"/>
            <w:vMerge w:val="continue"/>
            <w:vAlign w:val="center"/>
          </w:tcPr>
          <w:p>
            <w:pPr>
              <w:pStyle w:val="84"/>
            </w:pPr>
          </w:p>
        </w:tc>
        <w:tc>
          <w:tcPr>
            <w:tcW w:w="2485" w:type="dxa"/>
            <w:gridSpan w:val="2"/>
            <w:vAlign w:val="center"/>
          </w:tcPr>
          <w:p>
            <w:pPr>
              <w:pStyle w:val="84"/>
            </w:pPr>
            <w:r>
              <w:rPr>
                <w:rFonts w:hint="eastAsia"/>
              </w:rPr>
              <w:t>A1</w:t>
            </w:r>
            <w:r>
              <w:t xml:space="preserve"> NH</w:t>
            </w:r>
            <w:r>
              <w:rPr>
                <w:vertAlign w:val="subscript"/>
              </w:rPr>
              <w:t>3</w:t>
            </w:r>
          </w:p>
        </w:tc>
        <w:tc>
          <w:tcPr>
            <w:tcW w:w="2479" w:type="dxa"/>
            <w:gridSpan w:val="2"/>
            <w:vAlign w:val="center"/>
          </w:tcPr>
          <w:p>
            <w:pPr>
              <w:pStyle w:val="84"/>
            </w:pPr>
            <w:r>
              <w:t>A1 H</w:t>
            </w:r>
            <w:r>
              <w:rPr>
                <w:vertAlign w:val="subscript"/>
              </w:rPr>
              <w:t>2</w:t>
            </w:r>
            <w:r>
              <w:t>S</w:t>
            </w:r>
          </w:p>
        </w:tc>
        <w:tc>
          <w:tcPr>
            <w:tcW w:w="2552" w:type="dxa"/>
            <w:gridSpan w:val="2"/>
            <w:vAlign w:val="center"/>
          </w:tcPr>
          <w:p>
            <w:pPr>
              <w:pStyle w:val="84"/>
            </w:pPr>
            <w:r>
              <w:rPr>
                <w:rFonts w:hint="eastAsia"/>
              </w:rPr>
              <w:t>A</w:t>
            </w:r>
            <w:r>
              <w:t>2 NH</w:t>
            </w:r>
            <w:r>
              <w:rPr>
                <w:vertAlign w:val="subscript"/>
              </w:rPr>
              <w:t>3</w:t>
            </w:r>
          </w:p>
        </w:tc>
        <w:tc>
          <w:tcPr>
            <w:tcW w:w="2635" w:type="dxa"/>
            <w:gridSpan w:val="2"/>
            <w:vAlign w:val="center"/>
          </w:tcPr>
          <w:p>
            <w:pPr>
              <w:pStyle w:val="84"/>
            </w:pPr>
            <w:r>
              <w:t>A2 H</w:t>
            </w:r>
            <w:r>
              <w:rPr>
                <w:vertAlign w:val="subscript"/>
              </w:rPr>
              <w:t>2</w:t>
            </w:r>
            <w:r>
              <w:t>S</w:t>
            </w:r>
          </w:p>
        </w:tc>
        <w:tc>
          <w:tcPr>
            <w:tcW w:w="2646" w:type="dxa"/>
            <w:gridSpan w:val="2"/>
          </w:tcPr>
          <w:p>
            <w:pPr>
              <w:pStyle w:val="84"/>
            </w:pPr>
            <w:r>
              <w:rPr>
                <w:rFonts w:hint="eastAsia"/>
              </w:rPr>
              <w:t>A4</w:t>
            </w:r>
            <w:r>
              <w:t xml:space="preserve"> 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131" w:type="dxa"/>
            <w:vMerge w:val="continue"/>
            <w:vAlign w:val="center"/>
          </w:tcPr>
          <w:p>
            <w:pPr>
              <w:pStyle w:val="84"/>
            </w:pPr>
          </w:p>
        </w:tc>
        <w:tc>
          <w:tcPr>
            <w:tcW w:w="1184" w:type="dxa"/>
            <w:vAlign w:val="center"/>
          </w:tcPr>
          <w:p>
            <w:pPr>
              <w:pStyle w:val="84"/>
            </w:pPr>
            <w:r>
              <w:t>下风向预测浓度C</w:t>
            </w:r>
            <w:r>
              <w:rPr>
                <w:rFonts w:hint="eastAsia"/>
              </w:rPr>
              <w:t>（</w:t>
            </w:r>
            <w:r>
              <w:rPr>
                <w:rFonts w:hAnsi="Times New Roman"/>
              </w:rPr>
              <w:t>μ</w:t>
            </w:r>
            <w:r>
              <w:t>g/m</w:t>
            </w:r>
            <w:r>
              <w:rPr>
                <w:vertAlign w:val="superscript"/>
              </w:rPr>
              <w:t>3</w:t>
            </w:r>
            <w:r>
              <w:rPr>
                <w:rFonts w:hint="eastAsia"/>
              </w:rPr>
              <w:t>）</w:t>
            </w:r>
          </w:p>
        </w:tc>
        <w:tc>
          <w:tcPr>
            <w:tcW w:w="1301" w:type="dxa"/>
            <w:vAlign w:val="center"/>
          </w:tcPr>
          <w:p>
            <w:pPr>
              <w:pStyle w:val="84"/>
            </w:pPr>
            <w:r>
              <w:t>浓度占标率</w:t>
            </w:r>
          </w:p>
          <w:p>
            <w:pPr>
              <w:pStyle w:val="84"/>
            </w:pPr>
            <w:r>
              <w:t>P</w:t>
            </w:r>
            <w:r>
              <w:rPr>
                <w:rFonts w:hint="eastAsia"/>
              </w:rPr>
              <w:t>（</w:t>
            </w:r>
            <w:r>
              <w:t>%</w:t>
            </w:r>
            <w:r>
              <w:rPr>
                <w:rFonts w:hint="eastAsia"/>
              </w:rPr>
              <w:t>）</w:t>
            </w:r>
          </w:p>
        </w:tc>
        <w:tc>
          <w:tcPr>
            <w:tcW w:w="1192" w:type="dxa"/>
            <w:vAlign w:val="center"/>
          </w:tcPr>
          <w:p>
            <w:pPr>
              <w:pStyle w:val="84"/>
            </w:pPr>
            <w:r>
              <w:t>下风向预测浓度</w:t>
            </w:r>
          </w:p>
          <w:p>
            <w:pPr>
              <w:pStyle w:val="84"/>
            </w:pPr>
            <w:r>
              <w:t>C</w:t>
            </w:r>
            <w:r>
              <w:rPr>
                <w:rFonts w:hint="eastAsia"/>
              </w:rPr>
              <w:t>（</w:t>
            </w:r>
            <w:r>
              <w:rPr>
                <w:rFonts w:hAnsi="Times New Roman"/>
              </w:rPr>
              <w:t>μ</w:t>
            </w:r>
            <w:r>
              <w:t>g/m</w:t>
            </w:r>
            <w:r>
              <w:rPr>
                <w:vertAlign w:val="superscript"/>
              </w:rPr>
              <w:t>3</w:t>
            </w:r>
            <w:r>
              <w:rPr>
                <w:rFonts w:hint="eastAsia"/>
              </w:rPr>
              <w:t>）</w:t>
            </w:r>
          </w:p>
        </w:tc>
        <w:tc>
          <w:tcPr>
            <w:tcW w:w="1287" w:type="dxa"/>
            <w:vAlign w:val="center"/>
          </w:tcPr>
          <w:p>
            <w:pPr>
              <w:pStyle w:val="84"/>
            </w:pPr>
            <w:r>
              <w:t>浓度占标率</w:t>
            </w:r>
          </w:p>
          <w:p>
            <w:pPr>
              <w:pStyle w:val="84"/>
            </w:pPr>
            <w:r>
              <w:t>P</w:t>
            </w:r>
            <w:r>
              <w:rPr>
                <w:rFonts w:hint="eastAsia"/>
              </w:rPr>
              <w:t>（</w:t>
            </w:r>
            <w:r>
              <w:t>%</w:t>
            </w:r>
            <w:r>
              <w:rPr>
                <w:rFonts w:hint="eastAsia"/>
              </w:rPr>
              <w:t>）</w:t>
            </w:r>
          </w:p>
        </w:tc>
        <w:tc>
          <w:tcPr>
            <w:tcW w:w="1337" w:type="dxa"/>
            <w:vAlign w:val="center"/>
          </w:tcPr>
          <w:p>
            <w:pPr>
              <w:pStyle w:val="84"/>
            </w:pPr>
            <w:r>
              <w:t>下风向预测浓度</w:t>
            </w:r>
          </w:p>
          <w:p>
            <w:pPr>
              <w:pStyle w:val="84"/>
            </w:pPr>
            <w:r>
              <w:t>C</w:t>
            </w:r>
            <w:r>
              <w:rPr>
                <w:rFonts w:hint="eastAsia"/>
              </w:rPr>
              <w:t>（</w:t>
            </w:r>
            <w:r>
              <w:rPr>
                <w:rFonts w:hAnsi="Times New Roman"/>
              </w:rPr>
              <w:t>μ</w:t>
            </w:r>
            <w:r>
              <w:t>g/m</w:t>
            </w:r>
            <w:r>
              <w:rPr>
                <w:vertAlign w:val="superscript"/>
              </w:rPr>
              <w:t>3</w:t>
            </w:r>
            <w:r>
              <w:rPr>
                <w:rFonts w:hint="eastAsia"/>
              </w:rPr>
              <w:t>）</w:t>
            </w:r>
          </w:p>
        </w:tc>
        <w:tc>
          <w:tcPr>
            <w:tcW w:w="1215" w:type="dxa"/>
            <w:vAlign w:val="center"/>
          </w:tcPr>
          <w:p>
            <w:pPr>
              <w:pStyle w:val="84"/>
            </w:pPr>
            <w:r>
              <w:t>浓度占标率</w:t>
            </w:r>
          </w:p>
          <w:p>
            <w:pPr>
              <w:pStyle w:val="84"/>
            </w:pPr>
            <w:r>
              <w:t>P</w:t>
            </w:r>
            <w:r>
              <w:rPr>
                <w:rFonts w:hint="eastAsia"/>
              </w:rPr>
              <w:t>（</w:t>
            </w:r>
            <w:r>
              <w:t>%</w:t>
            </w:r>
            <w:r>
              <w:rPr>
                <w:rFonts w:hint="eastAsia"/>
              </w:rPr>
              <w:t>）</w:t>
            </w:r>
          </w:p>
        </w:tc>
        <w:tc>
          <w:tcPr>
            <w:tcW w:w="1312" w:type="dxa"/>
            <w:vAlign w:val="center"/>
          </w:tcPr>
          <w:p>
            <w:pPr>
              <w:pStyle w:val="84"/>
            </w:pPr>
            <w:r>
              <w:t>下风向预测浓度C</w:t>
            </w:r>
            <w:r>
              <w:rPr>
                <w:rFonts w:hint="eastAsia"/>
              </w:rPr>
              <w:t>（</w:t>
            </w:r>
            <w:r>
              <w:rPr>
                <w:rFonts w:hAnsi="Times New Roman"/>
              </w:rPr>
              <w:t>μ</w:t>
            </w:r>
            <w:r>
              <w:t>g/m</w:t>
            </w:r>
            <w:r>
              <w:rPr>
                <w:vertAlign w:val="superscript"/>
              </w:rPr>
              <w:t>3</w:t>
            </w:r>
            <w:r>
              <w:rPr>
                <w:rFonts w:hint="eastAsia"/>
              </w:rPr>
              <w:t>）</w:t>
            </w:r>
          </w:p>
        </w:tc>
        <w:tc>
          <w:tcPr>
            <w:tcW w:w="1323" w:type="dxa"/>
            <w:vAlign w:val="center"/>
          </w:tcPr>
          <w:p>
            <w:pPr>
              <w:pStyle w:val="84"/>
            </w:pPr>
            <w:r>
              <w:t>浓度占标率P</w:t>
            </w:r>
            <w:r>
              <w:rPr>
                <w:rFonts w:hint="eastAsia"/>
              </w:rPr>
              <w:t>（</w:t>
            </w:r>
            <w:r>
              <w:t>%</w:t>
            </w:r>
            <w:r>
              <w:rPr>
                <w:rFonts w:hint="eastAsia"/>
              </w:rPr>
              <w:t>）</w:t>
            </w:r>
          </w:p>
        </w:tc>
        <w:tc>
          <w:tcPr>
            <w:tcW w:w="1323" w:type="dxa"/>
            <w:vAlign w:val="center"/>
          </w:tcPr>
          <w:p>
            <w:pPr>
              <w:pStyle w:val="84"/>
            </w:pPr>
            <w:r>
              <w:t>下风向预测浓度C</w:t>
            </w:r>
            <w:r>
              <w:rPr>
                <w:rFonts w:hint="eastAsia"/>
              </w:rPr>
              <w:t>（</w:t>
            </w:r>
            <w:r>
              <w:rPr>
                <w:rFonts w:hAnsi="Times New Roman"/>
              </w:rPr>
              <w:t>μ</w:t>
            </w:r>
            <w:r>
              <w:t>g/m</w:t>
            </w:r>
            <w:r>
              <w:rPr>
                <w:vertAlign w:val="superscript"/>
              </w:rPr>
              <w:t>3</w:t>
            </w:r>
            <w:r>
              <w:rPr>
                <w:rFonts w:hint="eastAsia"/>
              </w:rPr>
              <w:t>）</w:t>
            </w:r>
          </w:p>
        </w:tc>
        <w:tc>
          <w:tcPr>
            <w:tcW w:w="1323" w:type="dxa"/>
            <w:vAlign w:val="center"/>
          </w:tcPr>
          <w:p>
            <w:pPr>
              <w:pStyle w:val="84"/>
            </w:pPr>
            <w:r>
              <w:t>浓度占标率P</w:t>
            </w:r>
            <w:r>
              <w:rPr>
                <w:rFonts w:hint="eastAsia"/>
              </w:rPr>
              <w:t>（</w:t>
            </w:r>
            <w:r>
              <w:t>%</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50</w:t>
            </w:r>
          </w:p>
        </w:tc>
        <w:tc>
          <w:tcPr>
            <w:tcW w:w="1184" w:type="dxa"/>
            <w:vAlign w:val="center"/>
          </w:tcPr>
          <w:p>
            <w:pPr>
              <w:pStyle w:val="89"/>
            </w:pPr>
            <w:r>
              <w:t>2.4303</w:t>
            </w:r>
          </w:p>
        </w:tc>
        <w:tc>
          <w:tcPr>
            <w:tcW w:w="1301" w:type="dxa"/>
            <w:vAlign w:val="center"/>
          </w:tcPr>
          <w:p>
            <w:pPr>
              <w:pStyle w:val="89"/>
            </w:pPr>
            <w:r>
              <w:t>1.2151</w:t>
            </w:r>
          </w:p>
        </w:tc>
        <w:tc>
          <w:tcPr>
            <w:tcW w:w="1192" w:type="dxa"/>
            <w:vAlign w:val="center"/>
          </w:tcPr>
          <w:p>
            <w:pPr>
              <w:pStyle w:val="89"/>
            </w:pPr>
            <w:r>
              <w:t>0.4253</w:t>
            </w:r>
          </w:p>
        </w:tc>
        <w:tc>
          <w:tcPr>
            <w:tcW w:w="1287" w:type="dxa"/>
            <w:vAlign w:val="center"/>
          </w:tcPr>
          <w:p>
            <w:pPr>
              <w:pStyle w:val="89"/>
            </w:pPr>
            <w:r>
              <w:t>4.2530</w:t>
            </w:r>
          </w:p>
        </w:tc>
        <w:tc>
          <w:tcPr>
            <w:tcW w:w="1337" w:type="dxa"/>
            <w:vAlign w:val="center"/>
          </w:tcPr>
          <w:p>
            <w:pPr>
              <w:pStyle w:val="89"/>
            </w:pPr>
            <w:r>
              <w:t>2.4114</w:t>
            </w:r>
          </w:p>
        </w:tc>
        <w:tc>
          <w:tcPr>
            <w:tcW w:w="1215" w:type="dxa"/>
            <w:vAlign w:val="center"/>
          </w:tcPr>
          <w:p>
            <w:pPr>
              <w:pStyle w:val="89"/>
            </w:pPr>
            <w:r>
              <w:t>1.2057</w:t>
            </w:r>
          </w:p>
        </w:tc>
        <w:tc>
          <w:tcPr>
            <w:tcW w:w="1312" w:type="dxa"/>
            <w:vAlign w:val="center"/>
          </w:tcPr>
          <w:p>
            <w:pPr>
              <w:pStyle w:val="89"/>
            </w:pPr>
            <w:r>
              <w:t>0.2411</w:t>
            </w:r>
          </w:p>
        </w:tc>
        <w:tc>
          <w:tcPr>
            <w:tcW w:w="1323" w:type="dxa"/>
            <w:vAlign w:val="center"/>
          </w:tcPr>
          <w:p>
            <w:pPr>
              <w:pStyle w:val="89"/>
            </w:pPr>
            <w:r>
              <w:t>2.4114</w:t>
            </w:r>
          </w:p>
        </w:tc>
        <w:tc>
          <w:tcPr>
            <w:tcW w:w="1323" w:type="dxa"/>
            <w:vAlign w:val="center"/>
          </w:tcPr>
          <w:p>
            <w:pPr>
              <w:pStyle w:val="89"/>
            </w:pPr>
            <w:r>
              <w:t>0.6429</w:t>
            </w:r>
          </w:p>
        </w:tc>
        <w:tc>
          <w:tcPr>
            <w:tcW w:w="1323" w:type="dxa"/>
            <w:vAlign w:val="center"/>
          </w:tcPr>
          <w:p>
            <w:pPr>
              <w:pStyle w:val="89"/>
            </w:pPr>
            <w:r>
              <w:t>0.0714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100</w:t>
            </w:r>
          </w:p>
        </w:tc>
        <w:tc>
          <w:tcPr>
            <w:tcW w:w="1184" w:type="dxa"/>
            <w:vAlign w:val="center"/>
          </w:tcPr>
          <w:p>
            <w:pPr>
              <w:pStyle w:val="89"/>
            </w:pPr>
            <w:r>
              <w:t>1.9513</w:t>
            </w:r>
          </w:p>
        </w:tc>
        <w:tc>
          <w:tcPr>
            <w:tcW w:w="1301" w:type="dxa"/>
            <w:vAlign w:val="center"/>
          </w:tcPr>
          <w:p>
            <w:pPr>
              <w:pStyle w:val="89"/>
            </w:pPr>
            <w:r>
              <w:t>0.9756</w:t>
            </w:r>
          </w:p>
        </w:tc>
        <w:tc>
          <w:tcPr>
            <w:tcW w:w="1192" w:type="dxa"/>
            <w:vAlign w:val="center"/>
          </w:tcPr>
          <w:p>
            <w:pPr>
              <w:pStyle w:val="89"/>
            </w:pPr>
            <w:r>
              <w:t>0.3415</w:t>
            </w:r>
          </w:p>
        </w:tc>
        <w:tc>
          <w:tcPr>
            <w:tcW w:w="1287" w:type="dxa"/>
            <w:vAlign w:val="center"/>
          </w:tcPr>
          <w:p>
            <w:pPr>
              <w:pStyle w:val="89"/>
            </w:pPr>
            <w:r>
              <w:t>3.4148</w:t>
            </w:r>
          </w:p>
        </w:tc>
        <w:tc>
          <w:tcPr>
            <w:tcW w:w="1337" w:type="dxa"/>
            <w:vAlign w:val="center"/>
          </w:tcPr>
          <w:p>
            <w:pPr>
              <w:pStyle w:val="89"/>
            </w:pPr>
            <w:r>
              <w:t>1.6149</w:t>
            </w:r>
          </w:p>
        </w:tc>
        <w:tc>
          <w:tcPr>
            <w:tcW w:w="1215" w:type="dxa"/>
            <w:vAlign w:val="center"/>
          </w:tcPr>
          <w:p>
            <w:pPr>
              <w:pStyle w:val="89"/>
            </w:pPr>
            <w:r>
              <w:t>0.8075</w:t>
            </w:r>
          </w:p>
        </w:tc>
        <w:tc>
          <w:tcPr>
            <w:tcW w:w="1312" w:type="dxa"/>
            <w:vAlign w:val="center"/>
          </w:tcPr>
          <w:p>
            <w:pPr>
              <w:pStyle w:val="89"/>
            </w:pPr>
            <w:r>
              <w:t>0.1615</w:t>
            </w:r>
          </w:p>
        </w:tc>
        <w:tc>
          <w:tcPr>
            <w:tcW w:w="1323" w:type="dxa"/>
            <w:vAlign w:val="center"/>
          </w:tcPr>
          <w:p>
            <w:pPr>
              <w:pStyle w:val="89"/>
            </w:pPr>
            <w:r>
              <w:t>1.6149</w:t>
            </w:r>
          </w:p>
        </w:tc>
        <w:tc>
          <w:tcPr>
            <w:tcW w:w="1323" w:type="dxa"/>
            <w:vAlign w:val="center"/>
          </w:tcPr>
          <w:p>
            <w:pPr>
              <w:pStyle w:val="89"/>
            </w:pPr>
            <w:r>
              <w:t>0.4305</w:t>
            </w:r>
          </w:p>
        </w:tc>
        <w:tc>
          <w:tcPr>
            <w:tcW w:w="1323" w:type="dxa"/>
            <w:vAlign w:val="center"/>
          </w:tcPr>
          <w:p>
            <w:pPr>
              <w:pStyle w:val="89"/>
            </w:pPr>
            <w:r>
              <w:t>0.0478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200</w:t>
            </w:r>
          </w:p>
        </w:tc>
        <w:tc>
          <w:tcPr>
            <w:tcW w:w="1184" w:type="dxa"/>
            <w:vAlign w:val="center"/>
          </w:tcPr>
          <w:p>
            <w:pPr>
              <w:pStyle w:val="89"/>
            </w:pPr>
            <w:r>
              <w:t>1.3998</w:t>
            </w:r>
          </w:p>
        </w:tc>
        <w:tc>
          <w:tcPr>
            <w:tcW w:w="1301" w:type="dxa"/>
            <w:vAlign w:val="center"/>
          </w:tcPr>
          <w:p>
            <w:pPr>
              <w:pStyle w:val="89"/>
            </w:pPr>
            <w:r>
              <w:t>0.6999</w:t>
            </w:r>
          </w:p>
        </w:tc>
        <w:tc>
          <w:tcPr>
            <w:tcW w:w="1192" w:type="dxa"/>
            <w:vAlign w:val="center"/>
          </w:tcPr>
          <w:p>
            <w:pPr>
              <w:pStyle w:val="89"/>
            </w:pPr>
            <w:r>
              <w:t>0.2450</w:t>
            </w:r>
          </w:p>
        </w:tc>
        <w:tc>
          <w:tcPr>
            <w:tcW w:w="1287" w:type="dxa"/>
            <w:vAlign w:val="center"/>
          </w:tcPr>
          <w:p>
            <w:pPr>
              <w:pStyle w:val="89"/>
            </w:pPr>
            <w:r>
              <w:t>2.4496</w:t>
            </w:r>
          </w:p>
        </w:tc>
        <w:tc>
          <w:tcPr>
            <w:tcW w:w="1337" w:type="dxa"/>
            <w:vAlign w:val="center"/>
          </w:tcPr>
          <w:p>
            <w:pPr>
              <w:pStyle w:val="89"/>
            </w:pPr>
            <w:r>
              <w:t>1.0937</w:t>
            </w:r>
          </w:p>
        </w:tc>
        <w:tc>
          <w:tcPr>
            <w:tcW w:w="1215" w:type="dxa"/>
            <w:vAlign w:val="center"/>
          </w:tcPr>
          <w:p>
            <w:pPr>
              <w:pStyle w:val="89"/>
            </w:pPr>
            <w:r>
              <w:t>0.5468</w:t>
            </w:r>
          </w:p>
        </w:tc>
        <w:tc>
          <w:tcPr>
            <w:tcW w:w="1312" w:type="dxa"/>
            <w:vAlign w:val="center"/>
          </w:tcPr>
          <w:p>
            <w:pPr>
              <w:pStyle w:val="89"/>
            </w:pPr>
            <w:r>
              <w:t>0.1094</w:t>
            </w:r>
          </w:p>
        </w:tc>
        <w:tc>
          <w:tcPr>
            <w:tcW w:w="1323" w:type="dxa"/>
            <w:vAlign w:val="center"/>
          </w:tcPr>
          <w:p>
            <w:pPr>
              <w:pStyle w:val="89"/>
            </w:pPr>
            <w:r>
              <w:t>1.0937</w:t>
            </w:r>
          </w:p>
        </w:tc>
        <w:tc>
          <w:tcPr>
            <w:tcW w:w="1323" w:type="dxa"/>
            <w:vAlign w:val="center"/>
          </w:tcPr>
          <w:p>
            <w:pPr>
              <w:pStyle w:val="89"/>
            </w:pPr>
            <w:r>
              <w:t>0.2916</w:t>
            </w:r>
          </w:p>
        </w:tc>
        <w:tc>
          <w:tcPr>
            <w:tcW w:w="1323" w:type="dxa"/>
            <w:vAlign w:val="center"/>
          </w:tcPr>
          <w:p>
            <w:pPr>
              <w:pStyle w:val="89"/>
            </w:pPr>
            <w:r>
              <w:t>0.0324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300</w:t>
            </w:r>
          </w:p>
        </w:tc>
        <w:tc>
          <w:tcPr>
            <w:tcW w:w="1184" w:type="dxa"/>
            <w:vAlign w:val="center"/>
          </w:tcPr>
          <w:p>
            <w:pPr>
              <w:pStyle w:val="89"/>
            </w:pPr>
            <w:r>
              <w:t>1.0822</w:t>
            </w:r>
          </w:p>
        </w:tc>
        <w:tc>
          <w:tcPr>
            <w:tcW w:w="1301" w:type="dxa"/>
            <w:vAlign w:val="center"/>
          </w:tcPr>
          <w:p>
            <w:pPr>
              <w:pStyle w:val="89"/>
            </w:pPr>
            <w:r>
              <w:t>0.5411</w:t>
            </w:r>
          </w:p>
        </w:tc>
        <w:tc>
          <w:tcPr>
            <w:tcW w:w="1192" w:type="dxa"/>
            <w:vAlign w:val="center"/>
          </w:tcPr>
          <w:p>
            <w:pPr>
              <w:pStyle w:val="89"/>
            </w:pPr>
            <w:r>
              <w:t>0.1894</w:t>
            </w:r>
          </w:p>
        </w:tc>
        <w:tc>
          <w:tcPr>
            <w:tcW w:w="1287" w:type="dxa"/>
            <w:vAlign w:val="center"/>
          </w:tcPr>
          <w:p>
            <w:pPr>
              <w:pStyle w:val="89"/>
            </w:pPr>
            <w:r>
              <w:t>1.8939</w:t>
            </w:r>
          </w:p>
        </w:tc>
        <w:tc>
          <w:tcPr>
            <w:tcW w:w="1337" w:type="dxa"/>
            <w:vAlign w:val="center"/>
          </w:tcPr>
          <w:p>
            <w:pPr>
              <w:pStyle w:val="89"/>
            </w:pPr>
            <w:r>
              <w:t>0.8378</w:t>
            </w:r>
          </w:p>
        </w:tc>
        <w:tc>
          <w:tcPr>
            <w:tcW w:w="1215" w:type="dxa"/>
            <w:vAlign w:val="center"/>
          </w:tcPr>
          <w:p>
            <w:pPr>
              <w:pStyle w:val="89"/>
            </w:pPr>
            <w:r>
              <w:t>0.4189</w:t>
            </w:r>
          </w:p>
        </w:tc>
        <w:tc>
          <w:tcPr>
            <w:tcW w:w="1312" w:type="dxa"/>
            <w:vAlign w:val="center"/>
          </w:tcPr>
          <w:p>
            <w:pPr>
              <w:pStyle w:val="89"/>
            </w:pPr>
            <w:r>
              <w:t>0.0838</w:t>
            </w:r>
          </w:p>
        </w:tc>
        <w:tc>
          <w:tcPr>
            <w:tcW w:w="1323" w:type="dxa"/>
            <w:vAlign w:val="center"/>
          </w:tcPr>
          <w:p>
            <w:pPr>
              <w:pStyle w:val="89"/>
            </w:pPr>
            <w:r>
              <w:t>0.8378</w:t>
            </w:r>
          </w:p>
        </w:tc>
        <w:tc>
          <w:tcPr>
            <w:tcW w:w="1323" w:type="dxa"/>
            <w:vAlign w:val="center"/>
          </w:tcPr>
          <w:p>
            <w:pPr>
              <w:pStyle w:val="89"/>
            </w:pPr>
            <w:r>
              <w:t>0.2233</w:t>
            </w:r>
          </w:p>
        </w:tc>
        <w:tc>
          <w:tcPr>
            <w:tcW w:w="1323" w:type="dxa"/>
            <w:vAlign w:val="center"/>
          </w:tcPr>
          <w:p>
            <w:pPr>
              <w:pStyle w:val="89"/>
            </w:pPr>
            <w:r>
              <w:t>0.0248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400</w:t>
            </w:r>
          </w:p>
        </w:tc>
        <w:tc>
          <w:tcPr>
            <w:tcW w:w="1184" w:type="dxa"/>
            <w:vAlign w:val="center"/>
          </w:tcPr>
          <w:p>
            <w:pPr>
              <w:pStyle w:val="89"/>
            </w:pPr>
            <w:r>
              <w:t>0.9286</w:t>
            </w:r>
          </w:p>
        </w:tc>
        <w:tc>
          <w:tcPr>
            <w:tcW w:w="1301" w:type="dxa"/>
            <w:vAlign w:val="center"/>
          </w:tcPr>
          <w:p>
            <w:pPr>
              <w:pStyle w:val="89"/>
            </w:pPr>
            <w:r>
              <w:t>0.4643</w:t>
            </w:r>
          </w:p>
        </w:tc>
        <w:tc>
          <w:tcPr>
            <w:tcW w:w="1192" w:type="dxa"/>
            <w:vAlign w:val="center"/>
          </w:tcPr>
          <w:p>
            <w:pPr>
              <w:pStyle w:val="89"/>
            </w:pPr>
            <w:r>
              <w:t>0.1625</w:t>
            </w:r>
          </w:p>
        </w:tc>
        <w:tc>
          <w:tcPr>
            <w:tcW w:w="1287" w:type="dxa"/>
            <w:vAlign w:val="center"/>
          </w:tcPr>
          <w:p>
            <w:pPr>
              <w:pStyle w:val="89"/>
            </w:pPr>
            <w:r>
              <w:t>1.6251</w:t>
            </w:r>
          </w:p>
        </w:tc>
        <w:tc>
          <w:tcPr>
            <w:tcW w:w="1337" w:type="dxa"/>
            <w:vAlign w:val="center"/>
          </w:tcPr>
          <w:p>
            <w:pPr>
              <w:pStyle w:val="89"/>
            </w:pPr>
            <w:r>
              <w:t>0.7115</w:t>
            </w:r>
          </w:p>
        </w:tc>
        <w:tc>
          <w:tcPr>
            <w:tcW w:w="1215" w:type="dxa"/>
            <w:vAlign w:val="center"/>
          </w:tcPr>
          <w:p>
            <w:pPr>
              <w:pStyle w:val="89"/>
            </w:pPr>
            <w:r>
              <w:t>0.3557</w:t>
            </w:r>
          </w:p>
        </w:tc>
        <w:tc>
          <w:tcPr>
            <w:tcW w:w="1312" w:type="dxa"/>
            <w:vAlign w:val="center"/>
          </w:tcPr>
          <w:p>
            <w:pPr>
              <w:pStyle w:val="89"/>
            </w:pPr>
            <w:r>
              <w:t>0.0711</w:t>
            </w:r>
          </w:p>
        </w:tc>
        <w:tc>
          <w:tcPr>
            <w:tcW w:w="1323" w:type="dxa"/>
            <w:vAlign w:val="center"/>
          </w:tcPr>
          <w:p>
            <w:pPr>
              <w:pStyle w:val="89"/>
            </w:pPr>
            <w:r>
              <w:t>0.7115</w:t>
            </w:r>
          </w:p>
        </w:tc>
        <w:tc>
          <w:tcPr>
            <w:tcW w:w="1323" w:type="dxa"/>
            <w:vAlign w:val="center"/>
          </w:tcPr>
          <w:p>
            <w:pPr>
              <w:pStyle w:val="89"/>
            </w:pPr>
            <w:r>
              <w:t>0.1897</w:t>
            </w:r>
          </w:p>
        </w:tc>
        <w:tc>
          <w:tcPr>
            <w:tcW w:w="1323" w:type="dxa"/>
            <w:vAlign w:val="center"/>
          </w:tcPr>
          <w:p>
            <w:pPr>
              <w:pStyle w:val="89"/>
            </w:pPr>
            <w:r>
              <w:t>0.0211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500</w:t>
            </w:r>
          </w:p>
        </w:tc>
        <w:tc>
          <w:tcPr>
            <w:tcW w:w="1184" w:type="dxa"/>
            <w:vAlign w:val="center"/>
          </w:tcPr>
          <w:p>
            <w:pPr>
              <w:pStyle w:val="89"/>
            </w:pPr>
            <w:r>
              <w:t>0.8049</w:t>
            </w:r>
          </w:p>
        </w:tc>
        <w:tc>
          <w:tcPr>
            <w:tcW w:w="1301" w:type="dxa"/>
            <w:vAlign w:val="center"/>
          </w:tcPr>
          <w:p>
            <w:pPr>
              <w:pStyle w:val="89"/>
            </w:pPr>
            <w:r>
              <w:t>0.4024</w:t>
            </w:r>
          </w:p>
        </w:tc>
        <w:tc>
          <w:tcPr>
            <w:tcW w:w="1192" w:type="dxa"/>
            <w:vAlign w:val="center"/>
          </w:tcPr>
          <w:p>
            <w:pPr>
              <w:pStyle w:val="89"/>
            </w:pPr>
            <w:r>
              <w:t>0.1409</w:t>
            </w:r>
          </w:p>
        </w:tc>
        <w:tc>
          <w:tcPr>
            <w:tcW w:w="1287" w:type="dxa"/>
            <w:vAlign w:val="center"/>
          </w:tcPr>
          <w:p>
            <w:pPr>
              <w:pStyle w:val="89"/>
            </w:pPr>
            <w:r>
              <w:t>1.4085</w:t>
            </w:r>
          </w:p>
        </w:tc>
        <w:tc>
          <w:tcPr>
            <w:tcW w:w="1337" w:type="dxa"/>
            <w:vAlign w:val="center"/>
          </w:tcPr>
          <w:p>
            <w:pPr>
              <w:pStyle w:val="89"/>
            </w:pPr>
            <w:r>
              <w:t>0.6131</w:t>
            </w:r>
          </w:p>
        </w:tc>
        <w:tc>
          <w:tcPr>
            <w:tcW w:w="1215" w:type="dxa"/>
            <w:vAlign w:val="center"/>
          </w:tcPr>
          <w:p>
            <w:pPr>
              <w:pStyle w:val="89"/>
            </w:pPr>
            <w:r>
              <w:t>0.3065</w:t>
            </w:r>
          </w:p>
        </w:tc>
        <w:tc>
          <w:tcPr>
            <w:tcW w:w="1312" w:type="dxa"/>
            <w:vAlign w:val="center"/>
          </w:tcPr>
          <w:p>
            <w:pPr>
              <w:pStyle w:val="89"/>
            </w:pPr>
            <w:r>
              <w:t>0.0613</w:t>
            </w:r>
          </w:p>
        </w:tc>
        <w:tc>
          <w:tcPr>
            <w:tcW w:w="1323" w:type="dxa"/>
            <w:vAlign w:val="center"/>
          </w:tcPr>
          <w:p>
            <w:pPr>
              <w:pStyle w:val="89"/>
            </w:pPr>
            <w:r>
              <w:t>0.6131</w:t>
            </w:r>
          </w:p>
        </w:tc>
        <w:tc>
          <w:tcPr>
            <w:tcW w:w="1323" w:type="dxa"/>
            <w:vAlign w:val="center"/>
          </w:tcPr>
          <w:p>
            <w:pPr>
              <w:pStyle w:val="89"/>
            </w:pPr>
            <w:r>
              <w:t>0.1634</w:t>
            </w:r>
          </w:p>
        </w:tc>
        <w:tc>
          <w:tcPr>
            <w:tcW w:w="1323" w:type="dxa"/>
            <w:vAlign w:val="center"/>
          </w:tcPr>
          <w:p>
            <w:pPr>
              <w:pStyle w:val="89"/>
            </w:pPr>
            <w:r>
              <w:t>0.0182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600</w:t>
            </w:r>
          </w:p>
        </w:tc>
        <w:tc>
          <w:tcPr>
            <w:tcW w:w="1184" w:type="dxa"/>
            <w:vAlign w:val="center"/>
          </w:tcPr>
          <w:p>
            <w:pPr>
              <w:pStyle w:val="89"/>
            </w:pPr>
            <w:r>
              <w:t>0.7058</w:t>
            </w:r>
          </w:p>
        </w:tc>
        <w:tc>
          <w:tcPr>
            <w:tcW w:w="1301" w:type="dxa"/>
            <w:vAlign w:val="center"/>
          </w:tcPr>
          <w:p>
            <w:pPr>
              <w:pStyle w:val="89"/>
            </w:pPr>
            <w:r>
              <w:t>0.3529</w:t>
            </w:r>
          </w:p>
        </w:tc>
        <w:tc>
          <w:tcPr>
            <w:tcW w:w="1192" w:type="dxa"/>
            <w:vAlign w:val="center"/>
          </w:tcPr>
          <w:p>
            <w:pPr>
              <w:pStyle w:val="89"/>
            </w:pPr>
            <w:r>
              <w:t>0.1235</w:t>
            </w:r>
          </w:p>
        </w:tc>
        <w:tc>
          <w:tcPr>
            <w:tcW w:w="1287" w:type="dxa"/>
            <w:vAlign w:val="center"/>
          </w:tcPr>
          <w:p>
            <w:pPr>
              <w:pStyle w:val="89"/>
            </w:pPr>
            <w:r>
              <w:t>1.2351</w:t>
            </w:r>
          </w:p>
        </w:tc>
        <w:tc>
          <w:tcPr>
            <w:tcW w:w="1337" w:type="dxa"/>
            <w:vAlign w:val="center"/>
          </w:tcPr>
          <w:p>
            <w:pPr>
              <w:pStyle w:val="89"/>
            </w:pPr>
            <w:r>
              <w:t>0.5360</w:t>
            </w:r>
          </w:p>
        </w:tc>
        <w:tc>
          <w:tcPr>
            <w:tcW w:w="1215" w:type="dxa"/>
            <w:vAlign w:val="center"/>
          </w:tcPr>
          <w:p>
            <w:pPr>
              <w:pStyle w:val="89"/>
            </w:pPr>
            <w:r>
              <w:t>0.2680</w:t>
            </w:r>
          </w:p>
        </w:tc>
        <w:tc>
          <w:tcPr>
            <w:tcW w:w="1312" w:type="dxa"/>
            <w:vAlign w:val="center"/>
          </w:tcPr>
          <w:p>
            <w:pPr>
              <w:pStyle w:val="89"/>
            </w:pPr>
            <w:r>
              <w:t>0.0536</w:t>
            </w:r>
          </w:p>
        </w:tc>
        <w:tc>
          <w:tcPr>
            <w:tcW w:w="1323" w:type="dxa"/>
            <w:vAlign w:val="center"/>
          </w:tcPr>
          <w:p>
            <w:pPr>
              <w:pStyle w:val="89"/>
            </w:pPr>
            <w:r>
              <w:t>0.5359</w:t>
            </w:r>
          </w:p>
        </w:tc>
        <w:tc>
          <w:tcPr>
            <w:tcW w:w="1323" w:type="dxa"/>
            <w:vAlign w:val="center"/>
          </w:tcPr>
          <w:p>
            <w:pPr>
              <w:pStyle w:val="89"/>
            </w:pPr>
            <w:r>
              <w:t>0.1429</w:t>
            </w:r>
          </w:p>
        </w:tc>
        <w:tc>
          <w:tcPr>
            <w:tcW w:w="1323" w:type="dxa"/>
            <w:vAlign w:val="center"/>
          </w:tcPr>
          <w:p>
            <w:pPr>
              <w:pStyle w:val="89"/>
            </w:pPr>
            <w:r>
              <w:t>0.0159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700</w:t>
            </w:r>
          </w:p>
        </w:tc>
        <w:tc>
          <w:tcPr>
            <w:tcW w:w="1184" w:type="dxa"/>
            <w:vAlign w:val="center"/>
          </w:tcPr>
          <w:p>
            <w:pPr>
              <w:pStyle w:val="89"/>
            </w:pPr>
            <w:r>
              <w:t>0.6415</w:t>
            </w:r>
          </w:p>
        </w:tc>
        <w:tc>
          <w:tcPr>
            <w:tcW w:w="1301" w:type="dxa"/>
            <w:vAlign w:val="center"/>
          </w:tcPr>
          <w:p>
            <w:pPr>
              <w:pStyle w:val="89"/>
            </w:pPr>
            <w:r>
              <w:t>0.3208</w:t>
            </w:r>
          </w:p>
        </w:tc>
        <w:tc>
          <w:tcPr>
            <w:tcW w:w="1192" w:type="dxa"/>
            <w:vAlign w:val="center"/>
          </w:tcPr>
          <w:p>
            <w:pPr>
              <w:pStyle w:val="89"/>
            </w:pPr>
            <w:r>
              <w:t>0.1123</w:t>
            </w:r>
          </w:p>
        </w:tc>
        <w:tc>
          <w:tcPr>
            <w:tcW w:w="1287" w:type="dxa"/>
            <w:vAlign w:val="center"/>
          </w:tcPr>
          <w:p>
            <w:pPr>
              <w:pStyle w:val="89"/>
            </w:pPr>
            <w:r>
              <w:t>1.1227</w:t>
            </w:r>
          </w:p>
        </w:tc>
        <w:tc>
          <w:tcPr>
            <w:tcW w:w="1337" w:type="dxa"/>
            <w:vAlign w:val="center"/>
          </w:tcPr>
          <w:p>
            <w:pPr>
              <w:pStyle w:val="89"/>
            </w:pPr>
            <w:r>
              <w:t>0.4860</w:t>
            </w:r>
          </w:p>
        </w:tc>
        <w:tc>
          <w:tcPr>
            <w:tcW w:w="1215" w:type="dxa"/>
            <w:vAlign w:val="center"/>
          </w:tcPr>
          <w:p>
            <w:pPr>
              <w:pStyle w:val="89"/>
            </w:pPr>
            <w:r>
              <w:t>0.2430</w:t>
            </w:r>
          </w:p>
        </w:tc>
        <w:tc>
          <w:tcPr>
            <w:tcW w:w="1312" w:type="dxa"/>
            <w:vAlign w:val="center"/>
          </w:tcPr>
          <w:p>
            <w:pPr>
              <w:pStyle w:val="89"/>
            </w:pPr>
            <w:r>
              <w:t>0.0486</w:t>
            </w:r>
          </w:p>
        </w:tc>
        <w:tc>
          <w:tcPr>
            <w:tcW w:w="1323" w:type="dxa"/>
            <w:vAlign w:val="center"/>
          </w:tcPr>
          <w:p>
            <w:pPr>
              <w:pStyle w:val="89"/>
            </w:pPr>
            <w:r>
              <w:t>0.4860</w:t>
            </w:r>
          </w:p>
        </w:tc>
        <w:tc>
          <w:tcPr>
            <w:tcW w:w="1323" w:type="dxa"/>
            <w:vAlign w:val="center"/>
          </w:tcPr>
          <w:p>
            <w:pPr>
              <w:pStyle w:val="89"/>
            </w:pPr>
            <w:r>
              <w:t>0.1296</w:t>
            </w:r>
          </w:p>
        </w:tc>
        <w:tc>
          <w:tcPr>
            <w:tcW w:w="1323" w:type="dxa"/>
            <w:vAlign w:val="center"/>
          </w:tcPr>
          <w:p>
            <w:pPr>
              <w:pStyle w:val="89"/>
            </w:pPr>
            <w:r>
              <w:t>0.0144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800</w:t>
            </w:r>
          </w:p>
        </w:tc>
        <w:tc>
          <w:tcPr>
            <w:tcW w:w="1184" w:type="dxa"/>
            <w:vAlign w:val="center"/>
          </w:tcPr>
          <w:p>
            <w:pPr>
              <w:pStyle w:val="89"/>
            </w:pPr>
            <w:r>
              <w:t>0.5861</w:t>
            </w:r>
          </w:p>
        </w:tc>
        <w:tc>
          <w:tcPr>
            <w:tcW w:w="1301" w:type="dxa"/>
            <w:vAlign w:val="center"/>
          </w:tcPr>
          <w:p>
            <w:pPr>
              <w:pStyle w:val="89"/>
            </w:pPr>
            <w:r>
              <w:t>0.2931</w:t>
            </w:r>
          </w:p>
        </w:tc>
        <w:tc>
          <w:tcPr>
            <w:tcW w:w="1192" w:type="dxa"/>
            <w:vAlign w:val="center"/>
          </w:tcPr>
          <w:p>
            <w:pPr>
              <w:pStyle w:val="89"/>
            </w:pPr>
            <w:r>
              <w:t>0.1026</w:t>
            </w:r>
          </w:p>
        </w:tc>
        <w:tc>
          <w:tcPr>
            <w:tcW w:w="1287" w:type="dxa"/>
            <w:vAlign w:val="center"/>
          </w:tcPr>
          <w:p>
            <w:pPr>
              <w:pStyle w:val="89"/>
            </w:pPr>
            <w:r>
              <w:t>1.0258</w:t>
            </w:r>
          </w:p>
        </w:tc>
        <w:tc>
          <w:tcPr>
            <w:tcW w:w="1337" w:type="dxa"/>
            <w:vAlign w:val="center"/>
          </w:tcPr>
          <w:p>
            <w:pPr>
              <w:pStyle w:val="89"/>
            </w:pPr>
            <w:r>
              <w:t>0.4432</w:t>
            </w:r>
          </w:p>
        </w:tc>
        <w:tc>
          <w:tcPr>
            <w:tcW w:w="1215" w:type="dxa"/>
            <w:vAlign w:val="center"/>
          </w:tcPr>
          <w:p>
            <w:pPr>
              <w:pStyle w:val="89"/>
            </w:pPr>
            <w:r>
              <w:t>0.2216</w:t>
            </w:r>
          </w:p>
        </w:tc>
        <w:tc>
          <w:tcPr>
            <w:tcW w:w="1312" w:type="dxa"/>
            <w:vAlign w:val="center"/>
          </w:tcPr>
          <w:p>
            <w:pPr>
              <w:pStyle w:val="89"/>
            </w:pPr>
            <w:r>
              <w:t>0.0443</w:t>
            </w:r>
          </w:p>
        </w:tc>
        <w:tc>
          <w:tcPr>
            <w:tcW w:w="1323" w:type="dxa"/>
            <w:vAlign w:val="center"/>
          </w:tcPr>
          <w:p>
            <w:pPr>
              <w:pStyle w:val="89"/>
            </w:pPr>
            <w:r>
              <w:t>0.4432</w:t>
            </w:r>
          </w:p>
        </w:tc>
        <w:tc>
          <w:tcPr>
            <w:tcW w:w="1323" w:type="dxa"/>
            <w:vAlign w:val="center"/>
          </w:tcPr>
          <w:p>
            <w:pPr>
              <w:pStyle w:val="89"/>
            </w:pPr>
            <w:r>
              <w:t>0.1182</w:t>
            </w:r>
          </w:p>
        </w:tc>
        <w:tc>
          <w:tcPr>
            <w:tcW w:w="1323" w:type="dxa"/>
            <w:vAlign w:val="center"/>
          </w:tcPr>
          <w:p>
            <w:pPr>
              <w:pStyle w:val="89"/>
            </w:pPr>
            <w:r>
              <w:t>0.0131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900</w:t>
            </w:r>
          </w:p>
        </w:tc>
        <w:tc>
          <w:tcPr>
            <w:tcW w:w="1184" w:type="dxa"/>
            <w:vAlign w:val="center"/>
          </w:tcPr>
          <w:p>
            <w:pPr>
              <w:pStyle w:val="89"/>
            </w:pPr>
            <w:r>
              <w:t>0.5403</w:t>
            </w:r>
          </w:p>
        </w:tc>
        <w:tc>
          <w:tcPr>
            <w:tcW w:w="1301" w:type="dxa"/>
            <w:vAlign w:val="center"/>
          </w:tcPr>
          <w:p>
            <w:pPr>
              <w:pStyle w:val="89"/>
            </w:pPr>
            <w:r>
              <w:t>0.2701</w:t>
            </w:r>
          </w:p>
        </w:tc>
        <w:tc>
          <w:tcPr>
            <w:tcW w:w="1192" w:type="dxa"/>
            <w:vAlign w:val="center"/>
          </w:tcPr>
          <w:p>
            <w:pPr>
              <w:pStyle w:val="89"/>
            </w:pPr>
            <w:r>
              <w:t>0.0945</w:t>
            </w:r>
          </w:p>
        </w:tc>
        <w:tc>
          <w:tcPr>
            <w:tcW w:w="1287" w:type="dxa"/>
            <w:vAlign w:val="center"/>
          </w:tcPr>
          <w:p>
            <w:pPr>
              <w:pStyle w:val="89"/>
            </w:pPr>
            <w:r>
              <w:t>0.9455</w:t>
            </w:r>
          </w:p>
        </w:tc>
        <w:tc>
          <w:tcPr>
            <w:tcW w:w="1337" w:type="dxa"/>
            <w:vAlign w:val="center"/>
          </w:tcPr>
          <w:p>
            <w:pPr>
              <w:pStyle w:val="89"/>
            </w:pPr>
            <w:r>
              <w:t>0.4078</w:t>
            </w:r>
          </w:p>
        </w:tc>
        <w:tc>
          <w:tcPr>
            <w:tcW w:w="1215" w:type="dxa"/>
            <w:vAlign w:val="center"/>
          </w:tcPr>
          <w:p>
            <w:pPr>
              <w:pStyle w:val="89"/>
            </w:pPr>
            <w:r>
              <w:t>0.2039</w:t>
            </w:r>
          </w:p>
        </w:tc>
        <w:tc>
          <w:tcPr>
            <w:tcW w:w="1312" w:type="dxa"/>
            <w:vAlign w:val="center"/>
          </w:tcPr>
          <w:p>
            <w:pPr>
              <w:pStyle w:val="89"/>
            </w:pPr>
            <w:r>
              <w:t>0.0408</w:t>
            </w:r>
          </w:p>
        </w:tc>
        <w:tc>
          <w:tcPr>
            <w:tcW w:w="1323" w:type="dxa"/>
            <w:vAlign w:val="center"/>
          </w:tcPr>
          <w:p>
            <w:pPr>
              <w:pStyle w:val="89"/>
            </w:pPr>
            <w:r>
              <w:t>0.4078</w:t>
            </w:r>
          </w:p>
        </w:tc>
        <w:tc>
          <w:tcPr>
            <w:tcW w:w="1323" w:type="dxa"/>
            <w:vAlign w:val="center"/>
          </w:tcPr>
          <w:p>
            <w:pPr>
              <w:pStyle w:val="89"/>
            </w:pPr>
            <w:r>
              <w:t>0.1087</w:t>
            </w:r>
          </w:p>
        </w:tc>
        <w:tc>
          <w:tcPr>
            <w:tcW w:w="1323" w:type="dxa"/>
            <w:vAlign w:val="center"/>
          </w:tcPr>
          <w:p>
            <w:pPr>
              <w:pStyle w:val="89"/>
            </w:pPr>
            <w:r>
              <w:t>0.0121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1000</w:t>
            </w:r>
          </w:p>
        </w:tc>
        <w:tc>
          <w:tcPr>
            <w:tcW w:w="1184" w:type="dxa"/>
            <w:vAlign w:val="center"/>
          </w:tcPr>
          <w:p>
            <w:pPr>
              <w:pStyle w:val="89"/>
            </w:pPr>
            <w:r>
              <w:t>0.5014</w:t>
            </w:r>
          </w:p>
        </w:tc>
        <w:tc>
          <w:tcPr>
            <w:tcW w:w="1301" w:type="dxa"/>
            <w:vAlign w:val="center"/>
          </w:tcPr>
          <w:p>
            <w:pPr>
              <w:pStyle w:val="89"/>
            </w:pPr>
            <w:r>
              <w:t>0.2507</w:t>
            </w:r>
          </w:p>
        </w:tc>
        <w:tc>
          <w:tcPr>
            <w:tcW w:w="1192" w:type="dxa"/>
            <w:vAlign w:val="center"/>
          </w:tcPr>
          <w:p>
            <w:pPr>
              <w:pStyle w:val="89"/>
            </w:pPr>
            <w:r>
              <w:t>0.0878</w:t>
            </w:r>
          </w:p>
        </w:tc>
        <w:tc>
          <w:tcPr>
            <w:tcW w:w="1287" w:type="dxa"/>
            <w:vAlign w:val="center"/>
          </w:tcPr>
          <w:p>
            <w:pPr>
              <w:pStyle w:val="89"/>
            </w:pPr>
            <w:r>
              <w:t>0.8775</w:t>
            </w:r>
          </w:p>
        </w:tc>
        <w:tc>
          <w:tcPr>
            <w:tcW w:w="1337" w:type="dxa"/>
            <w:vAlign w:val="center"/>
          </w:tcPr>
          <w:p>
            <w:pPr>
              <w:pStyle w:val="89"/>
            </w:pPr>
            <w:r>
              <w:t>0.3784</w:t>
            </w:r>
          </w:p>
        </w:tc>
        <w:tc>
          <w:tcPr>
            <w:tcW w:w="1215" w:type="dxa"/>
            <w:vAlign w:val="center"/>
          </w:tcPr>
          <w:p>
            <w:pPr>
              <w:pStyle w:val="89"/>
            </w:pPr>
            <w:r>
              <w:t>0.1892</w:t>
            </w:r>
          </w:p>
        </w:tc>
        <w:tc>
          <w:tcPr>
            <w:tcW w:w="1312" w:type="dxa"/>
            <w:vAlign w:val="center"/>
          </w:tcPr>
          <w:p>
            <w:pPr>
              <w:pStyle w:val="89"/>
            </w:pPr>
            <w:r>
              <w:t>0.0378</w:t>
            </w:r>
          </w:p>
        </w:tc>
        <w:tc>
          <w:tcPr>
            <w:tcW w:w="1323" w:type="dxa"/>
            <w:vAlign w:val="center"/>
          </w:tcPr>
          <w:p>
            <w:pPr>
              <w:pStyle w:val="89"/>
            </w:pPr>
            <w:r>
              <w:t>0.3783</w:t>
            </w:r>
          </w:p>
        </w:tc>
        <w:tc>
          <w:tcPr>
            <w:tcW w:w="1323" w:type="dxa"/>
            <w:vAlign w:val="center"/>
          </w:tcPr>
          <w:p>
            <w:pPr>
              <w:pStyle w:val="89"/>
            </w:pPr>
            <w:r>
              <w:t>0.1009</w:t>
            </w:r>
          </w:p>
        </w:tc>
        <w:tc>
          <w:tcPr>
            <w:tcW w:w="1323" w:type="dxa"/>
            <w:vAlign w:val="center"/>
          </w:tcPr>
          <w:p>
            <w:pPr>
              <w:pStyle w:val="89"/>
            </w:pPr>
            <w:r>
              <w:t>0.0112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1200</w:t>
            </w:r>
          </w:p>
        </w:tc>
        <w:tc>
          <w:tcPr>
            <w:tcW w:w="1184" w:type="dxa"/>
            <w:vAlign w:val="center"/>
          </w:tcPr>
          <w:p>
            <w:pPr>
              <w:pStyle w:val="89"/>
            </w:pPr>
            <w:r>
              <w:t>0.4391</w:t>
            </w:r>
          </w:p>
        </w:tc>
        <w:tc>
          <w:tcPr>
            <w:tcW w:w="1301" w:type="dxa"/>
            <w:vAlign w:val="center"/>
          </w:tcPr>
          <w:p>
            <w:pPr>
              <w:pStyle w:val="89"/>
            </w:pPr>
            <w:r>
              <w:t>0.2196</w:t>
            </w:r>
          </w:p>
        </w:tc>
        <w:tc>
          <w:tcPr>
            <w:tcW w:w="1192" w:type="dxa"/>
            <w:vAlign w:val="center"/>
          </w:tcPr>
          <w:p>
            <w:pPr>
              <w:pStyle w:val="89"/>
            </w:pPr>
            <w:r>
              <w:t>0.0768</w:t>
            </w:r>
          </w:p>
        </w:tc>
        <w:tc>
          <w:tcPr>
            <w:tcW w:w="1287" w:type="dxa"/>
            <w:vAlign w:val="center"/>
          </w:tcPr>
          <w:p>
            <w:pPr>
              <w:pStyle w:val="89"/>
            </w:pPr>
            <w:r>
              <w:t>0.7684</w:t>
            </w:r>
          </w:p>
        </w:tc>
        <w:tc>
          <w:tcPr>
            <w:tcW w:w="1337" w:type="dxa"/>
            <w:vAlign w:val="center"/>
          </w:tcPr>
          <w:p>
            <w:pPr>
              <w:pStyle w:val="89"/>
            </w:pPr>
            <w:r>
              <w:t>0.3311</w:t>
            </w:r>
          </w:p>
        </w:tc>
        <w:tc>
          <w:tcPr>
            <w:tcW w:w="1215" w:type="dxa"/>
            <w:vAlign w:val="center"/>
          </w:tcPr>
          <w:p>
            <w:pPr>
              <w:pStyle w:val="89"/>
            </w:pPr>
            <w:r>
              <w:t>0.1656</w:t>
            </w:r>
          </w:p>
        </w:tc>
        <w:tc>
          <w:tcPr>
            <w:tcW w:w="1312" w:type="dxa"/>
            <w:vAlign w:val="center"/>
          </w:tcPr>
          <w:p>
            <w:pPr>
              <w:pStyle w:val="89"/>
            </w:pPr>
            <w:r>
              <w:t>0.0331</w:t>
            </w:r>
          </w:p>
        </w:tc>
        <w:tc>
          <w:tcPr>
            <w:tcW w:w="1323" w:type="dxa"/>
            <w:vAlign w:val="center"/>
          </w:tcPr>
          <w:p>
            <w:pPr>
              <w:pStyle w:val="89"/>
            </w:pPr>
            <w:r>
              <w:t>0.3311</w:t>
            </w:r>
          </w:p>
        </w:tc>
        <w:tc>
          <w:tcPr>
            <w:tcW w:w="1323" w:type="dxa"/>
            <w:vAlign w:val="center"/>
          </w:tcPr>
          <w:p>
            <w:pPr>
              <w:pStyle w:val="89"/>
            </w:pPr>
            <w:r>
              <w:t>0.0883</w:t>
            </w:r>
          </w:p>
        </w:tc>
        <w:tc>
          <w:tcPr>
            <w:tcW w:w="1323" w:type="dxa"/>
            <w:vAlign w:val="center"/>
          </w:tcPr>
          <w:p>
            <w:pPr>
              <w:pStyle w:val="89"/>
            </w:pPr>
            <w:r>
              <w:t>0.0098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1400</w:t>
            </w:r>
          </w:p>
        </w:tc>
        <w:tc>
          <w:tcPr>
            <w:tcW w:w="1184" w:type="dxa"/>
            <w:vAlign w:val="center"/>
          </w:tcPr>
          <w:p>
            <w:pPr>
              <w:pStyle w:val="89"/>
            </w:pPr>
            <w:r>
              <w:t>0.3887</w:t>
            </w:r>
          </w:p>
        </w:tc>
        <w:tc>
          <w:tcPr>
            <w:tcW w:w="1301" w:type="dxa"/>
            <w:vAlign w:val="center"/>
          </w:tcPr>
          <w:p>
            <w:pPr>
              <w:pStyle w:val="89"/>
            </w:pPr>
            <w:r>
              <w:t>0.1944</w:t>
            </w:r>
          </w:p>
        </w:tc>
        <w:tc>
          <w:tcPr>
            <w:tcW w:w="1192" w:type="dxa"/>
            <w:vAlign w:val="center"/>
          </w:tcPr>
          <w:p>
            <w:pPr>
              <w:pStyle w:val="89"/>
            </w:pPr>
            <w:r>
              <w:t>0.0680</w:t>
            </w:r>
          </w:p>
        </w:tc>
        <w:tc>
          <w:tcPr>
            <w:tcW w:w="1287" w:type="dxa"/>
            <w:vAlign w:val="center"/>
          </w:tcPr>
          <w:p>
            <w:pPr>
              <w:pStyle w:val="89"/>
            </w:pPr>
            <w:r>
              <w:t>0.6803</w:t>
            </w:r>
          </w:p>
        </w:tc>
        <w:tc>
          <w:tcPr>
            <w:tcW w:w="1337" w:type="dxa"/>
            <w:vAlign w:val="center"/>
          </w:tcPr>
          <w:p>
            <w:pPr>
              <w:pStyle w:val="89"/>
            </w:pPr>
            <w:r>
              <w:t>0.2930</w:t>
            </w:r>
          </w:p>
        </w:tc>
        <w:tc>
          <w:tcPr>
            <w:tcW w:w="1215" w:type="dxa"/>
            <w:vAlign w:val="center"/>
          </w:tcPr>
          <w:p>
            <w:pPr>
              <w:pStyle w:val="89"/>
            </w:pPr>
            <w:r>
              <w:t>0.1465</w:t>
            </w:r>
          </w:p>
        </w:tc>
        <w:tc>
          <w:tcPr>
            <w:tcW w:w="1312" w:type="dxa"/>
            <w:vAlign w:val="center"/>
          </w:tcPr>
          <w:p>
            <w:pPr>
              <w:pStyle w:val="89"/>
            </w:pPr>
            <w:r>
              <w:t>0.0293</w:t>
            </w:r>
          </w:p>
        </w:tc>
        <w:tc>
          <w:tcPr>
            <w:tcW w:w="1323" w:type="dxa"/>
            <w:vAlign w:val="center"/>
          </w:tcPr>
          <w:p>
            <w:pPr>
              <w:pStyle w:val="89"/>
            </w:pPr>
            <w:r>
              <w:t>0.2930</w:t>
            </w:r>
          </w:p>
        </w:tc>
        <w:tc>
          <w:tcPr>
            <w:tcW w:w="1323" w:type="dxa"/>
            <w:vAlign w:val="center"/>
          </w:tcPr>
          <w:p>
            <w:pPr>
              <w:pStyle w:val="89"/>
            </w:pPr>
            <w:r>
              <w:t>0.0781</w:t>
            </w:r>
          </w:p>
        </w:tc>
        <w:tc>
          <w:tcPr>
            <w:tcW w:w="1323" w:type="dxa"/>
            <w:vAlign w:val="center"/>
          </w:tcPr>
          <w:p>
            <w:pPr>
              <w:pStyle w:val="89"/>
            </w:pPr>
            <w:r>
              <w:t>0.0087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1600</w:t>
            </w:r>
          </w:p>
        </w:tc>
        <w:tc>
          <w:tcPr>
            <w:tcW w:w="1184" w:type="dxa"/>
            <w:vAlign w:val="center"/>
          </w:tcPr>
          <w:p>
            <w:pPr>
              <w:pStyle w:val="89"/>
            </w:pPr>
            <w:r>
              <w:t>0.3486</w:t>
            </w:r>
          </w:p>
        </w:tc>
        <w:tc>
          <w:tcPr>
            <w:tcW w:w="1301" w:type="dxa"/>
            <w:vAlign w:val="center"/>
          </w:tcPr>
          <w:p>
            <w:pPr>
              <w:pStyle w:val="89"/>
            </w:pPr>
            <w:r>
              <w:t>0.1743</w:t>
            </w:r>
          </w:p>
        </w:tc>
        <w:tc>
          <w:tcPr>
            <w:tcW w:w="1192" w:type="dxa"/>
            <w:vAlign w:val="center"/>
          </w:tcPr>
          <w:p>
            <w:pPr>
              <w:pStyle w:val="89"/>
            </w:pPr>
            <w:r>
              <w:t>0.0610</w:t>
            </w:r>
          </w:p>
        </w:tc>
        <w:tc>
          <w:tcPr>
            <w:tcW w:w="1287" w:type="dxa"/>
            <w:vAlign w:val="center"/>
          </w:tcPr>
          <w:p>
            <w:pPr>
              <w:pStyle w:val="89"/>
            </w:pPr>
            <w:r>
              <w:t>0.6101</w:t>
            </w:r>
          </w:p>
        </w:tc>
        <w:tc>
          <w:tcPr>
            <w:tcW w:w="1337" w:type="dxa"/>
            <w:vAlign w:val="center"/>
          </w:tcPr>
          <w:p>
            <w:pPr>
              <w:pStyle w:val="89"/>
            </w:pPr>
            <w:r>
              <w:t>0.2616</w:t>
            </w:r>
          </w:p>
        </w:tc>
        <w:tc>
          <w:tcPr>
            <w:tcW w:w="1215" w:type="dxa"/>
            <w:vAlign w:val="center"/>
          </w:tcPr>
          <w:p>
            <w:pPr>
              <w:pStyle w:val="89"/>
            </w:pPr>
            <w:r>
              <w:t>0.1308</w:t>
            </w:r>
          </w:p>
        </w:tc>
        <w:tc>
          <w:tcPr>
            <w:tcW w:w="1312" w:type="dxa"/>
            <w:vAlign w:val="center"/>
          </w:tcPr>
          <w:p>
            <w:pPr>
              <w:pStyle w:val="89"/>
            </w:pPr>
            <w:r>
              <w:t>0.0262</w:t>
            </w:r>
          </w:p>
        </w:tc>
        <w:tc>
          <w:tcPr>
            <w:tcW w:w="1323" w:type="dxa"/>
            <w:vAlign w:val="center"/>
          </w:tcPr>
          <w:p>
            <w:pPr>
              <w:pStyle w:val="89"/>
            </w:pPr>
            <w:r>
              <w:t>0.2616</w:t>
            </w:r>
          </w:p>
        </w:tc>
        <w:tc>
          <w:tcPr>
            <w:tcW w:w="1323" w:type="dxa"/>
            <w:vAlign w:val="center"/>
          </w:tcPr>
          <w:p>
            <w:pPr>
              <w:pStyle w:val="89"/>
            </w:pPr>
            <w:r>
              <w:t>0.0697</w:t>
            </w:r>
          </w:p>
        </w:tc>
        <w:tc>
          <w:tcPr>
            <w:tcW w:w="1323" w:type="dxa"/>
            <w:vAlign w:val="center"/>
          </w:tcPr>
          <w:p>
            <w:pPr>
              <w:pStyle w:val="89"/>
            </w:pPr>
            <w:r>
              <w:t>0.0077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1800</w:t>
            </w:r>
          </w:p>
        </w:tc>
        <w:tc>
          <w:tcPr>
            <w:tcW w:w="1184" w:type="dxa"/>
            <w:vAlign w:val="center"/>
          </w:tcPr>
          <w:p>
            <w:pPr>
              <w:pStyle w:val="89"/>
            </w:pPr>
            <w:r>
              <w:t>0.3138</w:t>
            </w:r>
          </w:p>
        </w:tc>
        <w:tc>
          <w:tcPr>
            <w:tcW w:w="1301" w:type="dxa"/>
            <w:vAlign w:val="center"/>
          </w:tcPr>
          <w:p>
            <w:pPr>
              <w:pStyle w:val="89"/>
            </w:pPr>
            <w:r>
              <w:t>0.1569</w:t>
            </w:r>
          </w:p>
        </w:tc>
        <w:tc>
          <w:tcPr>
            <w:tcW w:w="1192" w:type="dxa"/>
            <w:vAlign w:val="center"/>
          </w:tcPr>
          <w:p>
            <w:pPr>
              <w:pStyle w:val="89"/>
            </w:pPr>
            <w:r>
              <w:t>0.0549</w:t>
            </w:r>
          </w:p>
        </w:tc>
        <w:tc>
          <w:tcPr>
            <w:tcW w:w="1287" w:type="dxa"/>
            <w:vAlign w:val="center"/>
          </w:tcPr>
          <w:p>
            <w:pPr>
              <w:pStyle w:val="89"/>
            </w:pPr>
            <w:r>
              <w:t>0.5492</w:t>
            </w:r>
          </w:p>
        </w:tc>
        <w:tc>
          <w:tcPr>
            <w:tcW w:w="1337" w:type="dxa"/>
            <w:vAlign w:val="center"/>
          </w:tcPr>
          <w:p>
            <w:pPr>
              <w:pStyle w:val="89"/>
            </w:pPr>
            <w:r>
              <w:t>0.2354</w:t>
            </w:r>
          </w:p>
        </w:tc>
        <w:tc>
          <w:tcPr>
            <w:tcW w:w="1215" w:type="dxa"/>
            <w:vAlign w:val="center"/>
          </w:tcPr>
          <w:p>
            <w:pPr>
              <w:pStyle w:val="89"/>
            </w:pPr>
            <w:r>
              <w:t>0.1177</w:t>
            </w:r>
          </w:p>
        </w:tc>
        <w:tc>
          <w:tcPr>
            <w:tcW w:w="1312" w:type="dxa"/>
            <w:vAlign w:val="center"/>
          </w:tcPr>
          <w:p>
            <w:pPr>
              <w:pStyle w:val="89"/>
            </w:pPr>
            <w:r>
              <w:t>0.0235</w:t>
            </w:r>
          </w:p>
        </w:tc>
        <w:tc>
          <w:tcPr>
            <w:tcW w:w="1323" w:type="dxa"/>
            <w:vAlign w:val="center"/>
          </w:tcPr>
          <w:p>
            <w:pPr>
              <w:pStyle w:val="89"/>
            </w:pPr>
            <w:r>
              <w:t>0.2354</w:t>
            </w:r>
          </w:p>
        </w:tc>
        <w:tc>
          <w:tcPr>
            <w:tcW w:w="1323" w:type="dxa"/>
            <w:vAlign w:val="center"/>
          </w:tcPr>
          <w:p>
            <w:pPr>
              <w:pStyle w:val="89"/>
            </w:pPr>
            <w:r>
              <w:t>0.0628</w:t>
            </w:r>
          </w:p>
        </w:tc>
        <w:tc>
          <w:tcPr>
            <w:tcW w:w="1323" w:type="dxa"/>
            <w:vAlign w:val="center"/>
          </w:tcPr>
          <w:p>
            <w:pPr>
              <w:pStyle w:val="89"/>
            </w:pPr>
            <w:r>
              <w:t>0.0070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2000</w:t>
            </w:r>
          </w:p>
        </w:tc>
        <w:tc>
          <w:tcPr>
            <w:tcW w:w="1184" w:type="dxa"/>
            <w:vAlign w:val="center"/>
          </w:tcPr>
          <w:p>
            <w:pPr>
              <w:pStyle w:val="89"/>
            </w:pPr>
            <w:r>
              <w:t>0.2845</w:t>
            </w:r>
          </w:p>
        </w:tc>
        <w:tc>
          <w:tcPr>
            <w:tcW w:w="1301" w:type="dxa"/>
            <w:vAlign w:val="center"/>
          </w:tcPr>
          <w:p>
            <w:pPr>
              <w:pStyle w:val="89"/>
            </w:pPr>
            <w:r>
              <w:t>0.1422</w:t>
            </w:r>
          </w:p>
        </w:tc>
        <w:tc>
          <w:tcPr>
            <w:tcW w:w="1192" w:type="dxa"/>
            <w:vAlign w:val="center"/>
          </w:tcPr>
          <w:p>
            <w:pPr>
              <w:pStyle w:val="89"/>
            </w:pPr>
            <w:r>
              <w:t>0.0498</w:t>
            </w:r>
          </w:p>
        </w:tc>
        <w:tc>
          <w:tcPr>
            <w:tcW w:w="1287" w:type="dxa"/>
            <w:vAlign w:val="center"/>
          </w:tcPr>
          <w:p>
            <w:pPr>
              <w:pStyle w:val="89"/>
            </w:pPr>
            <w:r>
              <w:t>0.4979</w:t>
            </w:r>
          </w:p>
        </w:tc>
        <w:tc>
          <w:tcPr>
            <w:tcW w:w="1337" w:type="dxa"/>
            <w:vAlign w:val="center"/>
          </w:tcPr>
          <w:p>
            <w:pPr>
              <w:pStyle w:val="89"/>
            </w:pPr>
            <w:r>
              <w:t>0.2135</w:t>
            </w:r>
          </w:p>
        </w:tc>
        <w:tc>
          <w:tcPr>
            <w:tcW w:w="1215" w:type="dxa"/>
            <w:vAlign w:val="center"/>
          </w:tcPr>
          <w:p>
            <w:pPr>
              <w:pStyle w:val="89"/>
            </w:pPr>
            <w:r>
              <w:t>0.1067</w:t>
            </w:r>
          </w:p>
        </w:tc>
        <w:tc>
          <w:tcPr>
            <w:tcW w:w="1312" w:type="dxa"/>
            <w:vAlign w:val="center"/>
          </w:tcPr>
          <w:p>
            <w:pPr>
              <w:pStyle w:val="89"/>
            </w:pPr>
            <w:r>
              <w:t>0.0213</w:t>
            </w:r>
          </w:p>
        </w:tc>
        <w:tc>
          <w:tcPr>
            <w:tcW w:w="1323" w:type="dxa"/>
            <w:vAlign w:val="center"/>
          </w:tcPr>
          <w:p>
            <w:pPr>
              <w:pStyle w:val="89"/>
            </w:pPr>
            <w:r>
              <w:t>0.2135</w:t>
            </w:r>
          </w:p>
        </w:tc>
        <w:tc>
          <w:tcPr>
            <w:tcW w:w="1323" w:type="dxa"/>
            <w:vAlign w:val="center"/>
          </w:tcPr>
          <w:p>
            <w:pPr>
              <w:pStyle w:val="89"/>
            </w:pPr>
            <w:r>
              <w:t>0.0569</w:t>
            </w:r>
          </w:p>
        </w:tc>
        <w:tc>
          <w:tcPr>
            <w:tcW w:w="1323" w:type="dxa"/>
            <w:vAlign w:val="center"/>
          </w:tcPr>
          <w:p>
            <w:pPr>
              <w:pStyle w:val="89"/>
            </w:pPr>
            <w: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2500</w:t>
            </w:r>
          </w:p>
        </w:tc>
        <w:tc>
          <w:tcPr>
            <w:tcW w:w="1184" w:type="dxa"/>
            <w:vAlign w:val="center"/>
          </w:tcPr>
          <w:p>
            <w:pPr>
              <w:pStyle w:val="89"/>
            </w:pPr>
            <w:r>
              <w:t>0.2286</w:t>
            </w:r>
          </w:p>
        </w:tc>
        <w:tc>
          <w:tcPr>
            <w:tcW w:w="1301" w:type="dxa"/>
            <w:vAlign w:val="center"/>
          </w:tcPr>
          <w:p>
            <w:pPr>
              <w:pStyle w:val="89"/>
            </w:pPr>
            <w:r>
              <w:t>0.1143</w:t>
            </w:r>
          </w:p>
        </w:tc>
        <w:tc>
          <w:tcPr>
            <w:tcW w:w="1192" w:type="dxa"/>
            <w:vAlign w:val="center"/>
          </w:tcPr>
          <w:p>
            <w:pPr>
              <w:pStyle w:val="89"/>
            </w:pPr>
            <w:r>
              <w:t>0.0400</w:t>
            </w:r>
          </w:p>
        </w:tc>
        <w:tc>
          <w:tcPr>
            <w:tcW w:w="1287" w:type="dxa"/>
            <w:vAlign w:val="center"/>
          </w:tcPr>
          <w:p>
            <w:pPr>
              <w:pStyle w:val="89"/>
            </w:pPr>
            <w:r>
              <w:t>0.4000</w:t>
            </w:r>
          </w:p>
        </w:tc>
        <w:tc>
          <w:tcPr>
            <w:tcW w:w="1337" w:type="dxa"/>
            <w:vAlign w:val="center"/>
          </w:tcPr>
          <w:p>
            <w:pPr>
              <w:pStyle w:val="89"/>
            </w:pPr>
            <w:r>
              <w:t>0.1715</w:t>
            </w:r>
          </w:p>
        </w:tc>
        <w:tc>
          <w:tcPr>
            <w:tcW w:w="1215" w:type="dxa"/>
            <w:vAlign w:val="center"/>
          </w:tcPr>
          <w:p>
            <w:pPr>
              <w:pStyle w:val="89"/>
            </w:pPr>
            <w:r>
              <w:t>0.0858</w:t>
            </w:r>
          </w:p>
        </w:tc>
        <w:tc>
          <w:tcPr>
            <w:tcW w:w="1312" w:type="dxa"/>
            <w:vAlign w:val="center"/>
          </w:tcPr>
          <w:p>
            <w:pPr>
              <w:pStyle w:val="89"/>
            </w:pPr>
            <w:r>
              <w:t>0.0171</w:t>
            </w:r>
          </w:p>
        </w:tc>
        <w:tc>
          <w:tcPr>
            <w:tcW w:w="1323" w:type="dxa"/>
            <w:vAlign w:val="center"/>
          </w:tcPr>
          <w:p>
            <w:pPr>
              <w:pStyle w:val="89"/>
            </w:pPr>
            <w:r>
              <w:t>0.1715</w:t>
            </w:r>
          </w:p>
        </w:tc>
        <w:tc>
          <w:tcPr>
            <w:tcW w:w="1323" w:type="dxa"/>
            <w:vAlign w:val="center"/>
          </w:tcPr>
          <w:p>
            <w:pPr>
              <w:pStyle w:val="89"/>
            </w:pPr>
            <w:r>
              <w:t>0.0457</w:t>
            </w:r>
          </w:p>
        </w:tc>
        <w:tc>
          <w:tcPr>
            <w:tcW w:w="1323" w:type="dxa"/>
            <w:vAlign w:val="center"/>
          </w:tcPr>
          <w:p>
            <w:pPr>
              <w:pStyle w:val="89"/>
            </w:pPr>
            <w: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3000</w:t>
            </w:r>
          </w:p>
        </w:tc>
        <w:tc>
          <w:tcPr>
            <w:tcW w:w="1184" w:type="dxa"/>
            <w:vAlign w:val="center"/>
          </w:tcPr>
          <w:p>
            <w:pPr>
              <w:pStyle w:val="89"/>
            </w:pPr>
            <w:r>
              <w:t>0.1893</w:t>
            </w:r>
          </w:p>
        </w:tc>
        <w:tc>
          <w:tcPr>
            <w:tcW w:w="1301" w:type="dxa"/>
            <w:vAlign w:val="center"/>
          </w:tcPr>
          <w:p>
            <w:pPr>
              <w:pStyle w:val="89"/>
            </w:pPr>
            <w:r>
              <w:t>0.0946</w:t>
            </w:r>
          </w:p>
        </w:tc>
        <w:tc>
          <w:tcPr>
            <w:tcW w:w="1192" w:type="dxa"/>
            <w:vAlign w:val="center"/>
          </w:tcPr>
          <w:p>
            <w:pPr>
              <w:pStyle w:val="89"/>
            </w:pPr>
            <w:r>
              <w:t>0.0331</w:t>
            </w:r>
          </w:p>
        </w:tc>
        <w:tc>
          <w:tcPr>
            <w:tcW w:w="1287" w:type="dxa"/>
            <w:vAlign w:val="center"/>
          </w:tcPr>
          <w:p>
            <w:pPr>
              <w:pStyle w:val="89"/>
            </w:pPr>
            <w:r>
              <w:t>0.3312</w:t>
            </w:r>
          </w:p>
        </w:tc>
        <w:tc>
          <w:tcPr>
            <w:tcW w:w="1337" w:type="dxa"/>
            <w:vAlign w:val="center"/>
          </w:tcPr>
          <w:p>
            <w:pPr>
              <w:pStyle w:val="89"/>
            </w:pPr>
            <w:r>
              <w:t>0.1420</w:t>
            </w:r>
          </w:p>
        </w:tc>
        <w:tc>
          <w:tcPr>
            <w:tcW w:w="1215" w:type="dxa"/>
            <w:vAlign w:val="center"/>
          </w:tcPr>
          <w:p>
            <w:pPr>
              <w:pStyle w:val="89"/>
            </w:pPr>
            <w:r>
              <w:t>0.0710</w:t>
            </w:r>
          </w:p>
        </w:tc>
        <w:tc>
          <w:tcPr>
            <w:tcW w:w="1312" w:type="dxa"/>
            <w:vAlign w:val="center"/>
          </w:tcPr>
          <w:p>
            <w:pPr>
              <w:pStyle w:val="89"/>
            </w:pPr>
            <w:r>
              <w:t>0.0142</w:t>
            </w:r>
          </w:p>
        </w:tc>
        <w:tc>
          <w:tcPr>
            <w:tcW w:w="1323" w:type="dxa"/>
            <w:vAlign w:val="center"/>
          </w:tcPr>
          <w:p>
            <w:pPr>
              <w:pStyle w:val="89"/>
            </w:pPr>
            <w:r>
              <w:t>0.1420</w:t>
            </w:r>
          </w:p>
        </w:tc>
        <w:tc>
          <w:tcPr>
            <w:tcW w:w="1323" w:type="dxa"/>
            <w:vAlign w:val="center"/>
          </w:tcPr>
          <w:p>
            <w:pPr>
              <w:pStyle w:val="89"/>
            </w:pPr>
            <w:r>
              <w:t>0.0379</w:t>
            </w:r>
          </w:p>
        </w:tc>
        <w:tc>
          <w:tcPr>
            <w:tcW w:w="1323" w:type="dxa"/>
            <w:vAlign w:val="center"/>
          </w:tcPr>
          <w:p>
            <w:pPr>
              <w:pStyle w:val="89"/>
            </w:pPr>
            <w:r>
              <w:t>0.0042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3500</w:t>
            </w:r>
          </w:p>
        </w:tc>
        <w:tc>
          <w:tcPr>
            <w:tcW w:w="1184" w:type="dxa"/>
            <w:vAlign w:val="center"/>
          </w:tcPr>
          <w:p>
            <w:pPr>
              <w:pStyle w:val="89"/>
            </w:pPr>
            <w:r>
              <w:t>0.1604</w:t>
            </w:r>
          </w:p>
        </w:tc>
        <w:tc>
          <w:tcPr>
            <w:tcW w:w="1301" w:type="dxa"/>
            <w:vAlign w:val="center"/>
          </w:tcPr>
          <w:p>
            <w:pPr>
              <w:pStyle w:val="89"/>
            </w:pPr>
            <w:r>
              <w:t>0.0802</w:t>
            </w:r>
          </w:p>
        </w:tc>
        <w:tc>
          <w:tcPr>
            <w:tcW w:w="1192" w:type="dxa"/>
            <w:vAlign w:val="center"/>
          </w:tcPr>
          <w:p>
            <w:pPr>
              <w:pStyle w:val="89"/>
            </w:pPr>
            <w:r>
              <w:t>0.0281</w:t>
            </w:r>
          </w:p>
        </w:tc>
        <w:tc>
          <w:tcPr>
            <w:tcW w:w="1287" w:type="dxa"/>
            <w:vAlign w:val="center"/>
          </w:tcPr>
          <w:p>
            <w:pPr>
              <w:pStyle w:val="89"/>
            </w:pPr>
            <w:r>
              <w:t>0.2806</w:t>
            </w:r>
          </w:p>
        </w:tc>
        <w:tc>
          <w:tcPr>
            <w:tcW w:w="1337" w:type="dxa"/>
            <w:vAlign w:val="center"/>
          </w:tcPr>
          <w:p>
            <w:pPr>
              <w:pStyle w:val="89"/>
            </w:pPr>
            <w:r>
              <w:t>0.1203</w:t>
            </w:r>
          </w:p>
        </w:tc>
        <w:tc>
          <w:tcPr>
            <w:tcW w:w="1215" w:type="dxa"/>
            <w:vAlign w:val="center"/>
          </w:tcPr>
          <w:p>
            <w:pPr>
              <w:pStyle w:val="89"/>
            </w:pPr>
            <w:r>
              <w:t>0.0602</w:t>
            </w:r>
          </w:p>
        </w:tc>
        <w:tc>
          <w:tcPr>
            <w:tcW w:w="1312" w:type="dxa"/>
            <w:vAlign w:val="center"/>
          </w:tcPr>
          <w:p>
            <w:pPr>
              <w:pStyle w:val="89"/>
            </w:pPr>
            <w:r>
              <w:t>0.0120</w:t>
            </w:r>
          </w:p>
        </w:tc>
        <w:tc>
          <w:tcPr>
            <w:tcW w:w="1323" w:type="dxa"/>
            <w:vAlign w:val="center"/>
          </w:tcPr>
          <w:p>
            <w:pPr>
              <w:pStyle w:val="89"/>
            </w:pPr>
            <w:r>
              <w:t>0.1203</w:t>
            </w:r>
          </w:p>
        </w:tc>
        <w:tc>
          <w:tcPr>
            <w:tcW w:w="1323" w:type="dxa"/>
            <w:vAlign w:val="center"/>
          </w:tcPr>
          <w:p>
            <w:pPr>
              <w:pStyle w:val="89"/>
            </w:pPr>
            <w:r>
              <w:t>0.0321</w:t>
            </w:r>
          </w:p>
        </w:tc>
        <w:tc>
          <w:tcPr>
            <w:tcW w:w="1323" w:type="dxa"/>
            <w:vAlign w:val="center"/>
          </w:tcPr>
          <w:p>
            <w:pPr>
              <w:pStyle w:val="89"/>
            </w:pPr>
            <w: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4000</w:t>
            </w:r>
          </w:p>
        </w:tc>
        <w:tc>
          <w:tcPr>
            <w:tcW w:w="1184" w:type="dxa"/>
            <w:vAlign w:val="center"/>
          </w:tcPr>
          <w:p>
            <w:pPr>
              <w:pStyle w:val="89"/>
            </w:pPr>
            <w:r>
              <w:t>0.1384</w:t>
            </w:r>
          </w:p>
        </w:tc>
        <w:tc>
          <w:tcPr>
            <w:tcW w:w="1301" w:type="dxa"/>
            <w:vAlign w:val="center"/>
          </w:tcPr>
          <w:p>
            <w:pPr>
              <w:pStyle w:val="89"/>
            </w:pPr>
            <w:r>
              <w:t>0.0692</w:t>
            </w:r>
          </w:p>
        </w:tc>
        <w:tc>
          <w:tcPr>
            <w:tcW w:w="1192" w:type="dxa"/>
            <w:vAlign w:val="center"/>
          </w:tcPr>
          <w:p>
            <w:pPr>
              <w:pStyle w:val="89"/>
            </w:pPr>
            <w:r>
              <w:t>0.0242</w:t>
            </w:r>
          </w:p>
        </w:tc>
        <w:tc>
          <w:tcPr>
            <w:tcW w:w="1287" w:type="dxa"/>
            <w:vAlign w:val="center"/>
          </w:tcPr>
          <w:p>
            <w:pPr>
              <w:pStyle w:val="89"/>
            </w:pPr>
            <w:r>
              <w:t>0.2422</w:t>
            </w:r>
          </w:p>
        </w:tc>
        <w:tc>
          <w:tcPr>
            <w:tcW w:w="1337" w:type="dxa"/>
            <w:vAlign w:val="center"/>
          </w:tcPr>
          <w:p>
            <w:pPr>
              <w:pStyle w:val="89"/>
            </w:pPr>
            <w:r>
              <w:t>0.1038</w:t>
            </w:r>
          </w:p>
        </w:tc>
        <w:tc>
          <w:tcPr>
            <w:tcW w:w="1215" w:type="dxa"/>
            <w:vAlign w:val="center"/>
          </w:tcPr>
          <w:p>
            <w:pPr>
              <w:pStyle w:val="89"/>
            </w:pPr>
            <w:r>
              <w:t>0.0519</w:t>
            </w:r>
          </w:p>
        </w:tc>
        <w:tc>
          <w:tcPr>
            <w:tcW w:w="1312" w:type="dxa"/>
            <w:vAlign w:val="center"/>
          </w:tcPr>
          <w:p>
            <w:pPr>
              <w:pStyle w:val="89"/>
            </w:pPr>
            <w:r>
              <w:t>0.0104</w:t>
            </w:r>
          </w:p>
        </w:tc>
        <w:tc>
          <w:tcPr>
            <w:tcW w:w="1323" w:type="dxa"/>
            <w:vAlign w:val="center"/>
          </w:tcPr>
          <w:p>
            <w:pPr>
              <w:pStyle w:val="89"/>
            </w:pPr>
            <w:r>
              <w:t>0.1038</w:t>
            </w:r>
          </w:p>
        </w:tc>
        <w:tc>
          <w:tcPr>
            <w:tcW w:w="1323" w:type="dxa"/>
            <w:vAlign w:val="center"/>
          </w:tcPr>
          <w:p>
            <w:pPr>
              <w:pStyle w:val="89"/>
            </w:pPr>
            <w:r>
              <w:t>0.0277</w:t>
            </w:r>
          </w:p>
        </w:tc>
        <w:tc>
          <w:tcPr>
            <w:tcW w:w="1323" w:type="dxa"/>
            <w:vAlign w:val="center"/>
          </w:tcPr>
          <w:p>
            <w:pPr>
              <w:pStyle w:val="89"/>
            </w:pPr>
            <w:r>
              <w:t>0.0031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4500</w:t>
            </w:r>
          </w:p>
        </w:tc>
        <w:tc>
          <w:tcPr>
            <w:tcW w:w="1184" w:type="dxa"/>
            <w:vAlign w:val="center"/>
          </w:tcPr>
          <w:p>
            <w:pPr>
              <w:pStyle w:val="89"/>
            </w:pPr>
            <w:r>
              <w:t>0.1212</w:t>
            </w:r>
          </w:p>
        </w:tc>
        <w:tc>
          <w:tcPr>
            <w:tcW w:w="1301" w:type="dxa"/>
            <w:vAlign w:val="center"/>
          </w:tcPr>
          <w:p>
            <w:pPr>
              <w:pStyle w:val="89"/>
            </w:pPr>
            <w:r>
              <w:t>0.0606</w:t>
            </w:r>
          </w:p>
        </w:tc>
        <w:tc>
          <w:tcPr>
            <w:tcW w:w="1192" w:type="dxa"/>
            <w:vAlign w:val="center"/>
          </w:tcPr>
          <w:p>
            <w:pPr>
              <w:pStyle w:val="89"/>
            </w:pPr>
            <w:r>
              <w:t>0.0212</w:t>
            </w:r>
          </w:p>
        </w:tc>
        <w:tc>
          <w:tcPr>
            <w:tcW w:w="1287" w:type="dxa"/>
            <w:vAlign w:val="center"/>
          </w:tcPr>
          <w:p>
            <w:pPr>
              <w:pStyle w:val="89"/>
            </w:pPr>
            <w:r>
              <w:t>0.2121</w:t>
            </w:r>
          </w:p>
        </w:tc>
        <w:tc>
          <w:tcPr>
            <w:tcW w:w="1337" w:type="dxa"/>
            <w:vAlign w:val="center"/>
          </w:tcPr>
          <w:p>
            <w:pPr>
              <w:pStyle w:val="89"/>
            </w:pPr>
            <w:r>
              <w:t>0.0909</w:t>
            </w:r>
          </w:p>
        </w:tc>
        <w:tc>
          <w:tcPr>
            <w:tcW w:w="1215" w:type="dxa"/>
            <w:vAlign w:val="center"/>
          </w:tcPr>
          <w:p>
            <w:pPr>
              <w:pStyle w:val="89"/>
            </w:pPr>
            <w:r>
              <w:t>0.0455</w:t>
            </w:r>
          </w:p>
        </w:tc>
        <w:tc>
          <w:tcPr>
            <w:tcW w:w="1312" w:type="dxa"/>
            <w:vAlign w:val="center"/>
          </w:tcPr>
          <w:p>
            <w:pPr>
              <w:pStyle w:val="89"/>
            </w:pPr>
            <w:r>
              <w:t>0.0091</w:t>
            </w:r>
          </w:p>
        </w:tc>
        <w:tc>
          <w:tcPr>
            <w:tcW w:w="1323" w:type="dxa"/>
            <w:vAlign w:val="center"/>
          </w:tcPr>
          <w:p>
            <w:pPr>
              <w:pStyle w:val="89"/>
            </w:pPr>
            <w:r>
              <w:t>0.0909</w:t>
            </w:r>
          </w:p>
        </w:tc>
        <w:tc>
          <w:tcPr>
            <w:tcW w:w="1323" w:type="dxa"/>
            <w:vAlign w:val="center"/>
          </w:tcPr>
          <w:p>
            <w:pPr>
              <w:pStyle w:val="89"/>
            </w:pPr>
            <w:r>
              <w:t>0.0242</w:t>
            </w:r>
          </w:p>
        </w:tc>
        <w:tc>
          <w:tcPr>
            <w:tcW w:w="1323" w:type="dxa"/>
            <w:vAlign w:val="center"/>
          </w:tcPr>
          <w:p>
            <w:pPr>
              <w:pStyle w:val="89"/>
            </w:pPr>
            <w:r>
              <w:t>0.0027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5000</w:t>
            </w:r>
          </w:p>
        </w:tc>
        <w:tc>
          <w:tcPr>
            <w:tcW w:w="1184" w:type="dxa"/>
            <w:vAlign w:val="center"/>
          </w:tcPr>
          <w:p>
            <w:pPr>
              <w:pStyle w:val="89"/>
            </w:pPr>
            <w:r>
              <w:t>0.1074</w:t>
            </w:r>
          </w:p>
        </w:tc>
        <w:tc>
          <w:tcPr>
            <w:tcW w:w="1301" w:type="dxa"/>
            <w:vAlign w:val="center"/>
          </w:tcPr>
          <w:p>
            <w:pPr>
              <w:pStyle w:val="89"/>
            </w:pPr>
            <w:r>
              <w:t>0.0537</w:t>
            </w:r>
          </w:p>
        </w:tc>
        <w:tc>
          <w:tcPr>
            <w:tcW w:w="1192" w:type="dxa"/>
            <w:vAlign w:val="center"/>
          </w:tcPr>
          <w:p>
            <w:pPr>
              <w:pStyle w:val="89"/>
            </w:pPr>
            <w:r>
              <w:t>0.0188</w:t>
            </w:r>
          </w:p>
        </w:tc>
        <w:tc>
          <w:tcPr>
            <w:tcW w:w="1287" w:type="dxa"/>
            <w:vAlign w:val="center"/>
          </w:tcPr>
          <w:p>
            <w:pPr>
              <w:pStyle w:val="89"/>
            </w:pPr>
            <w:r>
              <w:t>0.1880</w:t>
            </w:r>
          </w:p>
        </w:tc>
        <w:tc>
          <w:tcPr>
            <w:tcW w:w="1337" w:type="dxa"/>
            <w:vAlign w:val="center"/>
          </w:tcPr>
          <w:p>
            <w:pPr>
              <w:pStyle w:val="89"/>
            </w:pPr>
            <w:r>
              <w:t>0.0806</w:t>
            </w:r>
          </w:p>
        </w:tc>
        <w:tc>
          <w:tcPr>
            <w:tcW w:w="1215" w:type="dxa"/>
            <w:vAlign w:val="center"/>
          </w:tcPr>
          <w:p>
            <w:pPr>
              <w:pStyle w:val="89"/>
            </w:pPr>
            <w:r>
              <w:t>0.0403</w:t>
            </w:r>
          </w:p>
        </w:tc>
        <w:tc>
          <w:tcPr>
            <w:tcW w:w="1312" w:type="dxa"/>
            <w:vAlign w:val="center"/>
          </w:tcPr>
          <w:p>
            <w:pPr>
              <w:pStyle w:val="89"/>
            </w:pPr>
            <w:r>
              <w:t>0.0081</w:t>
            </w:r>
          </w:p>
        </w:tc>
        <w:tc>
          <w:tcPr>
            <w:tcW w:w="1323" w:type="dxa"/>
            <w:vAlign w:val="center"/>
          </w:tcPr>
          <w:p>
            <w:pPr>
              <w:pStyle w:val="89"/>
            </w:pPr>
            <w:r>
              <w:t>0.0806</w:t>
            </w:r>
          </w:p>
        </w:tc>
        <w:tc>
          <w:tcPr>
            <w:tcW w:w="1323" w:type="dxa"/>
            <w:vAlign w:val="center"/>
          </w:tcPr>
          <w:p>
            <w:pPr>
              <w:pStyle w:val="89"/>
            </w:pPr>
            <w:r>
              <w:t>0.0215</w:t>
            </w:r>
          </w:p>
        </w:tc>
        <w:tc>
          <w:tcPr>
            <w:tcW w:w="1323" w:type="dxa"/>
            <w:vAlign w:val="center"/>
          </w:tcPr>
          <w:p>
            <w:pPr>
              <w:pStyle w:val="89"/>
            </w:pPr>
            <w:r>
              <w:t>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10000</w:t>
            </w:r>
          </w:p>
        </w:tc>
        <w:tc>
          <w:tcPr>
            <w:tcW w:w="1184" w:type="dxa"/>
            <w:vAlign w:val="center"/>
          </w:tcPr>
          <w:p>
            <w:pPr>
              <w:pStyle w:val="89"/>
            </w:pPr>
            <w:r>
              <w:t>0.0470</w:t>
            </w:r>
          </w:p>
        </w:tc>
        <w:tc>
          <w:tcPr>
            <w:tcW w:w="1301" w:type="dxa"/>
            <w:vAlign w:val="center"/>
          </w:tcPr>
          <w:p>
            <w:pPr>
              <w:pStyle w:val="89"/>
            </w:pPr>
            <w:r>
              <w:t>0.0235</w:t>
            </w:r>
          </w:p>
        </w:tc>
        <w:tc>
          <w:tcPr>
            <w:tcW w:w="1192" w:type="dxa"/>
            <w:vAlign w:val="center"/>
          </w:tcPr>
          <w:p>
            <w:pPr>
              <w:pStyle w:val="89"/>
            </w:pPr>
            <w:r>
              <w:t>0.0082</w:t>
            </w:r>
          </w:p>
        </w:tc>
        <w:tc>
          <w:tcPr>
            <w:tcW w:w="1287" w:type="dxa"/>
            <w:vAlign w:val="center"/>
          </w:tcPr>
          <w:p>
            <w:pPr>
              <w:pStyle w:val="89"/>
            </w:pPr>
            <w:r>
              <w:t>0.0823</w:t>
            </w:r>
          </w:p>
        </w:tc>
        <w:tc>
          <w:tcPr>
            <w:tcW w:w="1337" w:type="dxa"/>
            <w:vAlign w:val="center"/>
          </w:tcPr>
          <w:p>
            <w:pPr>
              <w:pStyle w:val="89"/>
            </w:pPr>
            <w:r>
              <w:t>0.0353</w:t>
            </w:r>
          </w:p>
        </w:tc>
        <w:tc>
          <w:tcPr>
            <w:tcW w:w="1215" w:type="dxa"/>
            <w:vAlign w:val="center"/>
          </w:tcPr>
          <w:p>
            <w:pPr>
              <w:pStyle w:val="89"/>
            </w:pPr>
            <w:r>
              <w:t>0.0176</w:t>
            </w:r>
          </w:p>
        </w:tc>
        <w:tc>
          <w:tcPr>
            <w:tcW w:w="1312" w:type="dxa"/>
            <w:vAlign w:val="center"/>
          </w:tcPr>
          <w:p>
            <w:pPr>
              <w:pStyle w:val="89"/>
            </w:pPr>
            <w:r>
              <w:t>0.0035</w:t>
            </w:r>
          </w:p>
        </w:tc>
        <w:tc>
          <w:tcPr>
            <w:tcW w:w="1323" w:type="dxa"/>
            <w:vAlign w:val="center"/>
          </w:tcPr>
          <w:p>
            <w:pPr>
              <w:pStyle w:val="89"/>
            </w:pPr>
            <w:r>
              <w:t>0.0353</w:t>
            </w:r>
          </w:p>
        </w:tc>
        <w:tc>
          <w:tcPr>
            <w:tcW w:w="1323" w:type="dxa"/>
            <w:vAlign w:val="center"/>
          </w:tcPr>
          <w:p>
            <w:pPr>
              <w:pStyle w:val="89"/>
            </w:pPr>
            <w:r>
              <w:t>0.0094</w:t>
            </w:r>
          </w:p>
        </w:tc>
        <w:tc>
          <w:tcPr>
            <w:tcW w:w="1323" w:type="dxa"/>
            <w:vAlign w:val="center"/>
          </w:tcPr>
          <w:p>
            <w:pPr>
              <w:pStyle w:val="89"/>
            </w:pPr>
            <w:r>
              <w:t>0.0010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11000</w:t>
            </w:r>
          </w:p>
        </w:tc>
        <w:tc>
          <w:tcPr>
            <w:tcW w:w="1184" w:type="dxa"/>
            <w:vAlign w:val="center"/>
          </w:tcPr>
          <w:p>
            <w:pPr>
              <w:pStyle w:val="89"/>
            </w:pPr>
            <w:r>
              <w:t>0.0418</w:t>
            </w:r>
          </w:p>
        </w:tc>
        <w:tc>
          <w:tcPr>
            <w:tcW w:w="1301" w:type="dxa"/>
            <w:vAlign w:val="center"/>
          </w:tcPr>
          <w:p>
            <w:pPr>
              <w:pStyle w:val="89"/>
            </w:pPr>
            <w:r>
              <w:t>0.0209</w:t>
            </w:r>
          </w:p>
        </w:tc>
        <w:tc>
          <w:tcPr>
            <w:tcW w:w="1192" w:type="dxa"/>
            <w:vAlign w:val="center"/>
          </w:tcPr>
          <w:p>
            <w:pPr>
              <w:pStyle w:val="89"/>
            </w:pPr>
            <w:r>
              <w:t>0.0073</w:t>
            </w:r>
          </w:p>
        </w:tc>
        <w:tc>
          <w:tcPr>
            <w:tcW w:w="1287" w:type="dxa"/>
            <w:vAlign w:val="center"/>
          </w:tcPr>
          <w:p>
            <w:pPr>
              <w:pStyle w:val="89"/>
            </w:pPr>
            <w:r>
              <w:t>0.0732</w:t>
            </w:r>
          </w:p>
        </w:tc>
        <w:tc>
          <w:tcPr>
            <w:tcW w:w="1337" w:type="dxa"/>
            <w:vAlign w:val="center"/>
          </w:tcPr>
          <w:p>
            <w:pPr>
              <w:pStyle w:val="89"/>
            </w:pPr>
            <w:r>
              <w:t>0.0314</w:t>
            </w:r>
          </w:p>
        </w:tc>
        <w:tc>
          <w:tcPr>
            <w:tcW w:w="1215" w:type="dxa"/>
            <w:vAlign w:val="center"/>
          </w:tcPr>
          <w:p>
            <w:pPr>
              <w:pStyle w:val="89"/>
            </w:pPr>
            <w:r>
              <w:t>0.0157</w:t>
            </w:r>
          </w:p>
        </w:tc>
        <w:tc>
          <w:tcPr>
            <w:tcW w:w="1312" w:type="dxa"/>
            <w:vAlign w:val="center"/>
          </w:tcPr>
          <w:p>
            <w:pPr>
              <w:pStyle w:val="89"/>
            </w:pPr>
            <w:r>
              <w:t>0.0031</w:t>
            </w:r>
          </w:p>
        </w:tc>
        <w:tc>
          <w:tcPr>
            <w:tcW w:w="1323" w:type="dxa"/>
            <w:vAlign w:val="center"/>
          </w:tcPr>
          <w:p>
            <w:pPr>
              <w:pStyle w:val="89"/>
            </w:pPr>
            <w:r>
              <w:t>0.0314</w:t>
            </w:r>
          </w:p>
        </w:tc>
        <w:tc>
          <w:tcPr>
            <w:tcW w:w="1323" w:type="dxa"/>
            <w:vAlign w:val="center"/>
          </w:tcPr>
          <w:p>
            <w:pPr>
              <w:pStyle w:val="89"/>
            </w:pPr>
            <w:r>
              <w:t>0.0084</w:t>
            </w:r>
          </w:p>
        </w:tc>
        <w:tc>
          <w:tcPr>
            <w:tcW w:w="1323" w:type="dxa"/>
            <w:vAlign w:val="center"/>
          </w:tcPr>
          <w:p>
            <w:pPr>
              <w:pStyle w:val="89"/>
            </w:pPr>
            <w:r>
              <w:t>0.0009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12000</w:t>
            </w:r>
          </w:p>
        </w:tc>
        <w:tc>
          <w:tcPr>
            <w:tcW w:w="1184" w:type="dxa"/>
            <w:vAlign w:val="center"/>
          </w:tcPr>
          <w:p>
            <w:pPr>
              <w:pStyle w:val="89"/>
            </w:pPr>
            <w:r>
              <w:t>0.0376</w:t>
            </w:r>
          </w:p>
        </w:tc>
        <w:tc>
          <w:tcPr>
            <w:tcW w:w="1301" w:type="dxa"/>
            <w:vAlign w:val="center"/>
          </w:tcPr>
          <w:p>
            <w:pPr>
              <w:pStyle w:val="89"/>
            </w:pPr>
            <w:r>
              <w:t>0.0188</w:t>
            </w:r>
          </w:p>
        </w:tc>
        <w:tc>
          <w:tcPr>
            <w:tcW w:w="1192" w:type="dxa"/>
            <w:vAlign w:val="center"/>
          </w:tcPr>
          <w:p>
            <w:pPr>
              <w:pStyle w:val="89"/>
            </w:pPr>
            <w:r>
              <w:t>0.0066</w:t>
            </w:r>
          </w:p>
        </w:tc>
        <w:tc>
          <w:tcPr>
            <w:tcW w:w="1287" w:type="dxa"/>
            <w:vAlign w:val="center"/>
          </w:tcPr>
          <w:p>
            <w:pPr>
              <w:pStyle w:val="89"/>
            </w:pPr>
            <w:r>
              <w:t>0.0657</w:t>
            </w:r>
          </w:p>
        </w:tc>
        <w:tc>
          <w:tcPr>
            <w:tcW w:w="1337" w:type="dxa"/>
            <w:vAlign w:val="center"/>
          </w:tcPr>
          <w:p>
            <w:pPr>
              <w:pStyle w:val="89"/>
            </w:pPr>
            <w:r>
              <w:t>0.0282</w:t>
            </w:r>
          </w:p>
        </w:tc>
        <w:tc>
          <w:tcPr>
            <w:tcW w:w="1215" w:type="dxa"/>
            <w:vAlign w:val="center"/>
          </w:tcPr>
          <w:p>
            <w:pPr>
              <w:pStyle w:val="89"/>
            </w:pPr>
            <w:r>
              <w:t>0.0141</w:t>
            </w:r>
          </w:p>
        </w:tc>
        <w:tc>
          <w:tcPr>
            <w:tcW w:w="1312" w:type="dxa"/>
            <w:vAlign w:val="center"/>
          </w:tcPr>
          <w:p>
            <w:pPr>
              <w:pStyle w:val="89"/>
            </w:pPr>
            <w:r>
              <w:t>0.0028</w:t>
            </w:r>
          </w:p>
        </w:tc>
        <w:tc>
          <w:tcPr>
            <w:tcW w:w="1323" w:type="dxa"/>
            <w:vAlign w:val="center"/>
          </w:tcPr>
          <w:p>
            <w:pPr>
              <w:pStyle w:val="89"/>
            </w:pPr>
            <w:r>
              <w:t>0.0282</w:t>
            </w:r>
          </w:p>
        </w:tc>
        <w:tc>
          <w:tcPr>
            <w:tcW w:w="1323" w:type="dxa"/>
            <w:vAlign w:val="center"/>
          </w:tcPr>
          <w:p>
            <w:pPr>
              <w:pStyle w:val="89"/>
            </w:pPr>
            <w:r>
              <w:t>0.0075</w:t>
            </w:r>
          </w:p>
        </w:tc>
        <w:tc>
          <w:tcPr>
            <w:tcW w:w="1323" w:type="dxa"/>
            <w:vAlign w:val="center"/>
          </w:tcPr>
          <w:p>
            <w:pPr>
              <w:pStyle w:val="89"/>
            </w:pPr>
            <w: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13000</w:t>
            </w:r>
          </w:p>
        </w:tc>
        <w:tc>
          <w:tcPr>
            <w:tcW w:w="1184" w:type="dxa"/>
            <w:vAlign w:val="center"/>
          </w:tcPr>
          <w:p>
            <w:pPr>
              <w:pStyle w:val="89"/>
            </w:pPr>
            <w:r>
              <w:t>0.0340</w:t>
            </w:r>
          </w:p>
        </w:tc>
        <w:tc>
          <w:tcPr>
            <w:tcW w:w="1301" w:type="dxa"/>
            <w:vAlign w:val="center"/>
          </w:tcPr>
          <w:p>
            <w:pPr>
              <w:pStyle w:val="89"/>
            </w:pPr>
            <w:r>
              <w:t>0.0170</w:t>
            </w:r>
          </w:p>
        </w:tc>
        <w:tc>
          <w:tcPr>
            <w:tcW w:w="1192" w:type="dxa"/>
            <w:vAlign w:val="center"/>
          </w:tcPr>
          <w:p>
            <w:pPr>
              <w:pStyle w:val="89"/>
            </w:pPr>
            <w:r>
              <w:t>0.0060</w:t>
            </w:r>
          </w:p>
        </w:tc>
        <w:tc>
          <w:tcPr>
            <w:tcW w:w="1287" w:type="dxa"/>
            <w:vAlign w:val="center"/>
          </w:tcPr>
          <w:p>
            <w:pPr>
              <w:pStyle w:val="89"/>
            </w:pPr>
            <w:r>
              <w:t>0.0595</w:t>
            </w:r>
          </w:p>
        </w:tc>
        <w:tc>
          <w:tcPr>
            <w:tcW w:w="1337" w:type="dxa"/>
            <w:vAlign w:val="center"/>
          </w:tcPr>
          <w:p>
            <w:pPr>
              <w:pStyle w:val="89"/>
            </w:pPr>
            <w:r>
              <w:t>0.0255</w:t>
            </w:r>
          </w:p>
        </w:tc>
        <w:tc>
          <w:tcPr>
            <w:tcW w:w="1215" w:type="dxa"/>
            <w:vAlign w:val="center"/>
          </w:tcPr>
          <w:p>
            <w:pPr>
              <w:pStyle w:val="89"/>
            </w:pPr>
            <w:r>
              <w:t>0.0128</w:t>
            </w:r>
          </w:p>
        </w:tc>
        <w:tc>
          <w:tcPr>
            <w:tcW w:w="1312" w:type="dxa"/>
            <w:vAlign w:val="center"/>
          </w:tcPr>
          <w:p>
            <w:pPr>
              <w:pStyle w:val="89"/>
            </w:pPr>
            <w:r>
              <w:t>0.0026</w:t>
            </w:r>
          </w:p>
        </w:tc>
        <w:tc>
          <w:tcPr>
            <w:tcW w:w="1323" w:type="dxa"/>
            <w:vAlign w:val="center"/>
          </w:tcPr>
          <w:p>
            <w:pPr>
              <w:pStyle w:val="89"/>
            </w:pPr>
            <w:r>
              <w:t>0.0255</w:t>
            </w:r>
          </w:p>
        </w:tc>
        <w:tc>
          <w:tcPr>
            <w:tcW w:w="1323" w:type="dxa"/>
            <w:vAlign w:val="center"/>
          </w:tcPr>
          <w:p>
            <w:pPr>
              <w:pStyle w:val="89"/>
            </w:pPr>
            <w:r>
              <w:t>0.0068</w:t>
            </w:r>
          </w:p>
        </w:tc>
        <w:tc>
          <w:tcPr>
            <w:tcW w:w="1323" w:type="dxa"/>
            <w:vAlign w:val="center"/>
          </w:tcPr>
          <w:p>
            <w:pPr>
              <w:pStyle w:val="89"/>
            </w:pPr>
            <w: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14000</w:t>
            </w:r>
          </w:p>
        </w:tc>
        <w:tc>
          <w:tcPr>
            <w:tcW w:w="1184" w:type="dxa"/>
            <w:vAlign w:val="center"/>
          </w:tcPr>
          <w:p>
            <w:pPr>
              <w:pStyle w:val="89"/>
            </w:pPr>
            <w:r>
              <w:t>0.0310</w:t>
            </w:r>
          </w:p>
        </w:tc>
        <w:tc>
          <w:tcPr>
            <w:tcW w:w="1301" w:type="dxa"/>
            <w:vAlign w:val="center"/>
          </w:tcPr>
          <w:p>
            <w:pPr>
              <w:pStyle w:val="89"/>
            </w:pPr>
            <w:r>
              <w:t>0.0155</w:t>
            </w:r>
          </w:p>
        </w:tc>
        <w:tc>
          <w:tcPr>
            <w:tcW w:w="1192" w:type="dxa"/>
            <w:vAlign w:val="center"/>
          </w:tcPr>
          <w:p>
            <w:pPr>
              <w:pStyle w:val="89"/>
            </w:pPr>
            <w:r>
              <w:t>0.0054</w:t>
            </w:r>
          </w:p>
        </w:tc>
        <w:tc>
          <w:tcPr>
            <w:tcW w:w="1287" w:type="dxa"/>
            <w:vAlign w:val="center"/>
          </w:tcPr>
          <w:p>
            <w:pPr>
              <w:pStyle w:val="89"/>
            </w:pPr>
            <w:r>
              <w:t>0.0543</w:t>
            </w:r>
          </w:p>
        </w:tc>
        <w:tc>
          <w:tcPr>
            <w:tcW w:w="1337" w:type="dxa"/>
            <w:vAlign w:val="center"/>
          </w:tcPr>
          <w:p>
            <w:pPr>
              <w:pStyle w:val="89"/>
            </w:pPr>
            <w:r>
              <w:t>0.0233</w:t>
            </w:r>
          </w:p>
        </w:tc>
        <w:tc>
          <w:tcPr>
            <w:tcW w:w="1215" w:type="dxa"/>
            <w:vAlign w:val="center"/>
          </w:tcPr>
          <w:p>
            <w:pPr>
              <w:pStyle w:val="89"/>
            </w:pPr>
            <w:r>
              <w:t>0.0116</w:t>
            </w:r>
          </w:p>
        </w:tc>
        <w:tc>
          <w:tcPr>
            <w:tcW w:w="1312" w:type="dxa"/>
            <w:vAlign w:val="center"/>
          </w:tcPr>
          <w:p>
            <w:pPr>
              <w:pStyle w:val="89"/>
            </w:pPr>
            <w:r>
              <w:t>0.0023</w:t>
            </w:r>
          </w:p>
        </w:tc>
        <w:tc>
          <w:tcPr>
            <w:tcW w:w="1323" w:type="dxa"/>
            <w:vAlign w:val="center"/>
          </w:tcPr>
          <w:p>
            <w:pPr>
              <w:pStyle w:val="89"/>
            </w:pPr>
            <w:r>
              <w:t>0.0233</w:t>
            </w:r>
          </w:p>
        </w:tc>
        <w:tc>
          <w:tcPr>
            <w:tcW w:w="1323" w:type="dxa"/>
            <w:vAlign w:val="center"/>
          </w:tcPr>
          <w:p>
            <w:pPr>
              <w:pStyle w:val="89"/>
            </w:pPr>
            <w:r>
              <w:t>0.0062</w:t>
            </w:r>
          </w:p>
        </w:tc>
        <w:tc>
          <w:tcPr>
            <w:tcW w:w="1323" w:type="dxa"/>
            <w:vAlign w:val="center"/>
          </w:tcPr>
          <w:p>
            <w:pPr>
              <w:pStyle w:val="89"/>
            </w:pPr>
            <w: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15000</w:t>
            </w:r>
          </w:p>
        </w:tc>
        <w:tc>
          <w:tcPr>
            <w:tcW w:w="1184" w:type="dxa"/>
            <w:vAlign w:val="center"/>
          </w:tcPr>
          <w:p>
            <w:pPr>
              <w:pStyle w:val="89"/>
            </w:pPr>
            <w:r>
              <w:t>0.0285</w:t>
            </w:r>
          </w:p>
        </w:tc>
        <w:tc>
          <w:tcPr>
            <w:tcW w:w="1301" w:type="dxa"/>
            <w:vAlign w:val="center"/>
          </w:tcPr>
          <w:p>
            <w:pPr>
              <w:pStyle w:val="89"/>
            </w:pPr>
            <w:r>
              <w:t>0.0142</w:t>
            </w:r>
          </w:p>
        </w:tc>
        <w:tc>
          <w:tcPr>
            <w:tcW w:w="1192" w:type="dxa"/>
            <w:vAlign w:val="center"/>
          </w:tcPr>
          <w:p>
            <w:pPr>
              <w:pStyle w:val="89"/>
            </w:pPr>
            <w:r>
              <w:t>0.0050</w:t>
            </w:r>
          </w:p>
        </w:tc>
        <w:tc>
          <w:tcPr>
            <w:tcW w:w="1287" w:type="dxa"/>
            <w:vAlign w:val="center"/>
          </w:tcPr>
          <w:p>
            <w:pPr>
              <w:pStyle w:val="89"/>
            </w:pPr>
            <w:r>
              <w:t>0.0498</w:t>
            </w:r>
          </w:p>
        </w:tc>
        <w:tc>
          <w:tcPr>
            <w:tcW w:w="1337" w:type="dxa"/>
            <w:vAlign w:val="center"/>
          </w:tcPr>
          <w:p>
            <w:pPr>
              <w:pStyle w:val="89"/>
            </w:pPr>
            <w:r>
              <w:t>0.0214</w:t>
            </w:r>
          </w:p>
        </w:tc>
        <w:tc>
          <w:tcPr>
            <w:tcW w:w="1215" w:type="dxa"/>
            <w:vAlign w:val="center"/>
          </w:tcPr>
          <w:p>
            <w:pPr>
              <w:pStyle w:val="89"/>
            </w:pPr>
            <w:r>
              <w:t>0.0107</w:t>
            </w:r>
          </w:p>
        </w:tc>
        <w:tc>
          <w:tcPr>
            <w:tcW w:w="1312" w:type="dxa"/>
            <w:vAlign w:val="center"/>
          </w:tcPr>
          <w:p>
            <w:pPr>
              <w:pStyle w:val="89"/>
            </w:pPr>
            <w:r>
              <w:t>0.0021</w:t>
            </w:r>
          </w:p>
        </w:tc>
        <w:tc>
          <w:tcPr>
            <w:tcW w:w="1323" w:type="dxa"/>
            <w:vAlign w:val="center"/>
          </w:tcPr>
          <w:p>
            <w:pPr>
              <w:pStyle w:val="89"/>
            </w:pPr>
            <w:r>
              <w:t>0.0214</w:t>
            </w:r>
          </w:p>
        </w:tc>
        <w:tc>
          <w:tcPr>
            <w:tcW w:w="1323" w:type="dxa"/>
            <w:vAlign w:val="center"/>
          </w:tcPr>
          <w:p>
            <w:pPr>
              <w:pStyle w:val="89"/>
            </w:pPr>
            <w:r>
              <w:t>0.0057</w:t>
            </w:r>
          </w:p>
        </w:tc>
        <w:tc>
          <w:tcPr>
            <w:tcW w:w="1323" w:type="dxa"/>
            <w:vAlign w:val="center"/>
          </w:tcPr>
          <w:p>
            <w:pPr>
              <w:pStyle w:val="89"/>
            </w:pPr>
            <w: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20000</w:t>
            </w:r>
          </w:p>
        </w:tc>
        <w:tc>
          <w:tcPr>
            <w:tcW w:w="1184" w:type="dxa"/>
            <w:vAlign w:val="center"/>
          </w:tcPr>
          <w:p>
            <w:pPr>
              <w:pStyle w:val="89"/>
            </w:pPr>
            <w:r>
              <w:t>0.0198</w:t>
            </w:r>
          </w:p>
        </w:tc>
        <w:tc>
          <w:tcPr>
            <w:tcW w:w="1301" w:type="dxa"/>
            <w:vAlign w:val="center"/>
          </w:tcPr>
          <w:p>
            <w:pPr>
              <w:pStyle w:val="89"/>
            </w:pPr>
            <w:r>
              <w:t>0.0099</w:t>
            </w:r>
          </w:p>
        </w:tc>
        <w:tc>
          <w:tcPr>
            <w:tcW w:w="1192" w:type="dxa"/>
            <w:vAlign w:val="center"/>
          </w:tcPr>
          <w:p>
            <w:pPr>
              <w:pStyle w:val="89"/>
            </w:pPr>
            <w:r>
              <w:t>0.0035</w:t>
            </w:r>
          </w:p>
        </w:tc>
        <w:tc>
          <w:tcPr>
            <w:tcW w:w="1287" w:type="dxa"/>
            <w:vAlign w:val="center"/>
          </w:tcPr>
          <w:p>
            <w:pPr>
              <w:pStyle w:val="89"/>
            </w:pPr>
            <w:r>
              <w:t>0.0347</w:t>
            </w:r>
          </w:p>
        </w:tc>
        <w:tc>
          <w:tcPr>
            <w:tcW w:w="1337" w:type="dxa"/>
            <w:vAlign w:val="center"/>
          </w:tcPr>
          <w:p>
            <w:pPr>
              <w:pStyle w:val="89"/>
            </w:pPr>
            <w:r>
              <w:t>0.0149</w:t>
            </w:r>
          </w:p>
        </w:tc>
        <w:tc>
          <w:tcPr>
            <w:tcW w:w="1215" w:type="dxa"/>
            <w:vAlign w:val="center"/>
          </w:tcPr>
          <w:p>
            <w:pPr>
              <w:pStyle w:val="89"/>
            </w:pPr>
            <w:r>
              <w:t>0.0074</w:t>
            </w:r>
          </w:p>
        </w:tc>
        <w:tc>
          <w:tcPr>
            <w:tcW w:w="1312" w:type="dxa"/>
            <w:vAlign w:val="center"/>
          </w:tcPr>
          <w:p>
            <w:pPr>
              <w:pStyle w:val="89"/>
            </w:pPr>
            <w:r>
              <w:t>0.0015</w:t>
            </w:r>
          </w:p>
        </w:tc>
        <w:tc>
          <w:tcPr>
            <w:tcW w:w="1323" w:type="dxa"/>
            <w:vAlign w:val="center"/>
          </w:tcPr>
          <w:p>
            <w:pPr>
              <w:pStyle w:val="89"/>
            </w:pPr>
            <w:r>
              <w:t>0.0149</w:t>
            </w:r>
          </w:p>
        </w:tc>
        <w:tc>
          <w:tcPr>
            <w:tcW w:w="1323" w:type="dxa"/>
            <w:vAlign w:val="center"/>
          </w:tcPr>
          <w:p>
            <w:pPr>
              <w:pStyle w:val="89"/>
            </w:pPr>
            <w:r>
              <w:t>0.0040</w:t>
            </w:r>
          </w:p>
        </w:tc>
        <w:tc>
          <w:tcPr>
            <w:tcW w:w="1323" w:type="dxa"/>
            <w:vAlign w:val="center"/>
          </w:tcPr>
          <w:p>
            <w:pPr>
              <w:pStyle w:val="89"/>
            </w:pPr>
            <w: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pPr>
            <w:r>
              <w:t>25000</w:t>
            </w:r>
          </w:p>
        </w:tc>
        <w:tc>
          <w:tcPr>
            <w:tcW w:w="1184" w:type="dxa"/>
            <w:vAlign w:val="center"/>
          </w:tcPr>
          <w:p>
            <w:pPr>
              <w:pStyle w:val="89"/>
            </w:pPr>
            <w:r>
              <w:t>0.0150</w:t>
            </w:r>
          </w:p>
        </w:tc>
        <w:tc>
          <w:tcPr>
            <w:tcW w:w="1301" w:type="dxa"/>
            <w:vAlign w:val="center"/>
          </w:tcPr>
          <w:p>
            <w:pPr>
              <w:pStyle w:val="89"/>
            </w:pPr>
            <w:r>
              <w:t>0.0075</w:t>
            </w:r>
          </w:p>
        </w:tc>
        <w:tc>
          <w:tcPr>
            <w:tcW w:w="1192" w:type="dxa"/>
            <w:vAlign w:val="center"/>
          </w:tcPr>
          <w:p>
            <w:pPr>
              <w:pStyle w:val="89"/>
            </w:pPr>
            <w:r>
              <w:t>0.0026</w:t>
            </w:r>
          </w:p>
        </w:tc>
        <w:tc>
          <w:tcPr>
            <w:tcW w:w="1287" w:type="dxa"/>
            <w:vAlign w:val="center"/>
          </w:tcPr>
          <w:p>
            <w:pPr>
              <w:pStyle w:val="89"/>
            </w:pPr>
            <w:r>
              <w:t>0.0262</w:t>
            </w:r>
          </w:p>
        </w:tc>
        <w:tc>
          <w:tcPr>
            <w:tcW w:w="1337" w:type="dxa"/>
            <w:vAlign w:val="center"/>
          </w:tcPr>
          <w:p>
            <w:pPr>
              <w:pStyle w:val="89"/>
            </w:pPr>
            <w:r>
              <w:t>0.0112</w:t>
            </w:r>
          </w:p>
        </w:tc>
        <w:tc>
          <w:tcPr>
            <w:tcW w:w="1215" w:type="dxa"/>
            <w:vAlign w:val="center"/>
          </w:tcPr>
          <w:p>
            <w:pPr>
              <w:pStyle w:val="89"/>
            </w:pPr>
            <w:r>
              <w:t>0.0056</w:t>
            </w:r>
          </w:p>
        </w:tc>
        <w:tc>
          <w:tcPr>
            <w:tcW w:w="1312" w:type="dxa"/>
            <w:vAlign w:val="center"/>
          </w:tcPr>
          <w:p>
            <w:pPr>
              <w:pStyle w:val="89"/>
            </w:pPr>
            <w:r>
              <w:t>0.0011</w:t>
            </w:r>
          </w:p>
        </w:tc>
        <w:tc>
          <w:tcPr>
            <w:tcW w:w="1323" w:type="dxa"/>
            <w:vAlign w:val="center"/>
          </w:tcPr>
          <w:p>
            <w:pPr>
              <w:pStyle w:val="89"/>
            </w:pPr>
            <w:r>
              <w:t>0.0112</w:t>
            </w:r>
          </w:p>
        </w:tc>
        <w:tc>
          <w:tcPr>
            <w:tcW w:w="1323" w:type="dxa"/>
            <w:vAlign w:val="center"/>
          </w:tcPr>
          <w:p>
            <w:pPr>
              <w:pStyle w:val="89"/>
            </w:pPr>
            <w:r>
              <w:t>0.0030</w:t>
            </w:r>
          </w:p>
        </w:tc>
        <w:tc>
          <w:tcPr>
            <w:tcW w:w="1323" w:type="dxa"/>
            <w:vAlign w:val="center"/>
          </w:tcPr>
          <w:p>
            <w:pPr>
              <w:pStyle w:val="89"/>
            </w:pPr>
            <w: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rPr>
                <w:b/>
              </w:rPr>
            </w:pPr>
            <w:r>
              <w:rPr>
                <w:b/>
              </w:rPr>
              <w:t>下风向最大质量浓度及占标率</w:t>
            </w:r>
          </w:p>
        </w:tc>
        <w:tc>
          <w:tcPr>
            <w:tcW w:w="1184" w:type="dxa"/>
            <w:vAlign w:val="center"/>
          </w:tcPr>
          <w:p>
            <w:pPr>
              <w:pStyle w:val="89"/>
              <w:rPr>
                <w:b/>
              </w:rPr>
            </w:pPr>
            <w:r>
              <w:rPr>
                <w:b/>
              </w:rPr>
              <w:t>2.4451</w:t>
            </w:r>
          </w:p>
        </w:tc>
        <w:tc>
          <w:tcPr>
            <w:tcW w:w="1301" w:type="dxa"/>
            <w:vAlign w:val="center"/>
          </w:tcPr>
          <w:p>
            <w:pPr>
              <w:pStyle w:val="89"/>
              <w:rPr>
                <w:b/>
              </w:rPr>
            </w:pPr>
            <w:r>
              <w:rPr>
                <w:b/>
              </w:rPr>
              <w:t>1.2226</w:t>
            </w:r>
          </w:p>
        </w:tc>
        <w:tc>
          <w:tcPr>
            <w:tcW w:w="1192" w:type="dxa"/>
            <w:vAlign w:val="center"/>
          </w:tcPr>
          <w:p>
            <w:pPr>
              <w:pStyle w:val="89"/>
              <w:rPr>
                <w:b/>
              </w:rPr>
            </w:pPr>
            <w:r>
              <w:rPr>
                <w:b/>
              </w:rPr>
              <w:t>0.4279</w:t>
            </w:r>
          </w:p>
        </w:tc>
        <w:tc>
          <w:tcPr>
            <w:tcW w:w="1287" w:type="dxa"/>
            <w:vAlign w:val="center"/>
          </w:tcPr>
          <w:p>
            <w:pPr>
              <w:pStyle w:val="89"/>
              <w:rPr>
                <w:b/>
              </w:rPr>
            </w:pPr>
            <w:r>
              <w:rPr>
                <w:b/>
              </w:rPr>
              <w:t>4.2789</w:t>
            </w:r>
          </w:p>
        </w:tc>
        <w:tc>
          <w:tcPr>
            <w:tcW w:w="1337" w:type="dxa"/>
            <w:vAlign w:val="center"/>
          </w:tcPr>
          <w:p>
            <w:pPr>
              <w:pStyle w:val="89"/>
              <w:rPr>
                <w:b/>
              </w:rPr>
            </w:pPr>
            <w:r>
              <w:rPr>
                <w:b/>
              </w:rPr>
              <w:t>5.5519</w:t>
            </w:r>
          </w:p>
        </w:tc>
        <w:tc>
          <w:tcPr>
            <w:tcW w:w="1215" w:type="dxa"/>
            <w:vAlign w:val="center"/>
          </w:tcPr>
          <w:p>
            <w:pPr>
              <w:pStyle w:val="89"/>
              <w:rPr>
                <w:b/>
              </w:rPr>
            </w:pPr>
            <w:r>
              <w:rPr>
                <w:b/>
              </w:rPr>
              <w:t>2.7759</w:t>
            </w:r>
          </w:p>
        </w:tc>
        <w:tc>
          <w:tcPr>
            <w:tcW w:w="1312" w:type="dxa"/>
            <w:vAlign w:val="center"/>
          </w:tcPr>
          <w:p>
            <w:pPr>
              <w:pStyle w:val="89"/>
              <w:rPr>
                <w:b/>
              </w:rPr>
            </w:pPr>
            <w:r>
              <w:rPr>
                <w:b/>
              </w:rPr>
              <w:t>0.5552</w:t>
            </w:r>
          </w:p>
        </w:tc>
        <w:tc>
          <w:tcPr>
            <w:tcW w:w="1323" w:type="dxa"/>
            <w:vAlign w:val="center"/>
          </w:tcPr>
          <w:p>
            <w:pPr>
              <w:pStyle w:val="89"/>
              <w:rPr>
                <w:b/>
              </w:rPr>
            </w:pPr>
            <w:r>
              <w:rPr>
                <w:b/>
              </w:rPr>
              <w:t>5.5519</w:t>
            </w:r>
          </w:p>
        </w:tc>
        <w:tc>
          <w:tcPr>
            <w:tcW w:w="1323" w:type="dxa"/>
            <w:vAlign w:val="center"/>
          </w:tcPr>
          <w:p>
            <w:pPr>
              <w:pStyle w:val="89"/>
              <w:rPr>
                <w:b/>
              </w:rPr>
            </w:pPr>
            <w:r>
              <w:rPr>
                <w:b/>
              </w:rPr>
              <w:t>1.4802</w:t>
            </w:r>
          </w:p>
        </w:tc>
        <w:tc>
          <w:tcPr>
            <w:tcW w:w="1323" w:type="dxa"/>
            <w:vAlign w:val="center"/>
          </w:tcPr>
          <w:p>
            <w:pPr>
              <w:pStyle w:val="89"/>
              <w:rPr>
                <w:b/>
              </w:rPr>
            </w:pPr>
            <w:r>
              <w:rPr>
                <w:b/>
              </w:rPr>
              <w:t>0.1645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31" w:type="dxa"/>
            <w:vAlign w:val="center"/>
          </w:tcPr>
          <w:p>
            <w:pPr>
              <w:pStyle w:val="84"/>
              <w:rPr>
                <w:b/>
              </w:rPr>
            </w:pPr>
            <w:r>
              <w:rPr>
                <w:b/>
              </w:rPr>
              <w:t>地面最大浓度出现距离</w:t>
            </w:r>
          </w:p>
        </w:tc>
        <w:tc>
          <w:tcPr>
            <w:tcW w:w="4964" w:type="dxa"/>
            <w:gridSpan w:val="4"/>
            <w:vAlign w:val="center"/>
          </w:tcPr>
          <w:p>
            <w:pPr>
              <w:pStyle w:val="84"/>
              <w:rPr>
                <w:b/>
              </w:rPr>
            </w:pPr>
            <w:r>
              <w:rPr>
                <w:b/>
              </w:rPr>
              <w:t>48m</w:t>
            </w:r>
          </w:p>
        </w:tc>
        <w:tc>
          <w:tcPr>
            <w:tcW w:w="5187" w:type="dxa"/>
            <w:gridSpan w:val="4"/>
            <w:vAlign w:val="center"/>
          </w:tcPr>
          <w:p>
            <w:pPr>
              <w:pStyle w:val="84"/>
              <w:rPr>
                <w:b/>
                <w:highlight w:val="yellow"/>
              </w:rPr>
            </w:pPr>
            <w:r>
              <w:rPr>
                <w:b/>
              </w:rPr>
              <w:t>7m</w:t>
            </w:r>
          </w:p>
        </w:tc>
        <w:tc>
          <w:tcPr>
            <w:tcW w:w="2646" w:type="dxa"/>
            <w:gridSpan w:val="2"/>
            <w:vAlign w:val="center"/>
          </w:tcPr>
          <w:p>
            <w:pPr>
              <w:pStyle w:val="84"/>
              <w:rPr>
                <w:b/>
              </w:rPr>
            </w:pPr>
            <w:r>
              <w:rPr>
                <w:rFonts w:hint="eastAsia"/>
                <w:b/>
              </w:rPr>
              <w:t>7</w:t>
            </w:r>
            <w:r>
              <w:rPr>
                <w:b/>
              </w:rPr>
              <w:t>m</w:t>
            </w:r>
          </w:p>
        </w:tc>
      </w:tr>
    </w:tbl>
    <w:p>
      <w:pPr>
        <w:ind w:firstLine="480"/>
        <w:rPr>
          <w:kern w:val="0"/>
        </w:rPr>
      </w:pPr>
    </w:p>
    <w:p>
      <w:pPr>
        <w:pStyle w:val="85"/>
        <w:rPr>
          <w:rFonts w:hAnsi="Times New Roman"/>
          <w:sz w:val="20"/>
          <w:szCs w:val="20"/>
        </w:rPr>
      </w:pPr>
      <w:r>
        <w:rPr>
          <w:kern w:val="0"/>
        </w:rPr>
        <w:br w:type="column"/>
      </w: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t xml:space="preserve">5  </w:t>
      </w:r>
      <w:r>
        <w:rPr>
          <w:rFonts w:hAnsi="Times New Roman"/>
          <w:szCs w:val="21"/>
        </w:rPr>
        <w:t>正常情况下</w:t>
      </w:r>
      <w:r>
        <w:rPr>
          <w:rFonts w:hint="eastAsia" w:hAnsi="Times New Roman"/>
          <w:szCs w:val="21"/>
        </w:rPr>
        <w:t>面源A</w:t>
      </w:r>
      <w:r>
        <w:rPr>
          <w:rFonts w:hAnsi="Times New Roman"/>
          <w:szCs w:val="21"/>
        </w:rPr>
        <w:t>3</w:t>
      </w:r>
      <w:r>
        <w:rPr>
          <w:rFonts w:hint="eastAsia" w:hAnsi="Times New Roman"/>
          <w:szCs w:val="21"/>
        </w:rPr>
        <w:t>（污水处理</w:t>
      </w:r>
      <w:r>
        <w:rPr>
          <w:rFonts w:hAnsi="Times New Roman"/>
          <w:szCs w:val="21"/>
        </w:rPr>
        <w:t>设施</w:t>
      </w:r>
      <w:r>
        <w:rPr>
          <w:rFonts w:hint="eastAsia" w:hAnsi="Times New Roman"/>
          <w:szCs w:val="21"/>
        </w:rPr>
        <w:t>）、</w:t>
      </w:r>
      <w:r>
        <w:rPr>
          <w:rFonts w:hAnsi="Times New Roman"/>
          <w:szCs w:val="21"/>
        </w:rPr>
        <w:t>点源</w:t>
      </w:r>
      <w:r>
        <w:rPr>
          <w:rFonts w:hint="eastAsia" w:hAnsi="Times New Roman"/>
          <w:szCs w:val="21"/>
        </w:rPr>
        <w:t>P1</w:t>
      </w:r>
      <w:r>
        <w:rPr>
          <w:rFonts w:hAnsi="Times New Roman"/>
          <w:szCs w:val="21"/>
        </w:rPr>
        <w:t>（火炬</w:t>
      </w:r>
      <w:r>
        <w:rPr>
          <w:rFonts w:hint="eastAsia" w:hAnsi="Times New Roman"/>
          <w:szCs w:val="21"/>
        </w:rPr>
        <w:t>燃烧</w:t>
      </w:r>
      <w:r>
        <w:rPr>
          <w:rFonts w:hAnsi="Times New Roman"/>
          <w:szCs w:val="21"/>
        </w:rPr>
        <w:t>排气筒）排放预测结果</w:t>
      </w:r>
    </w:p>
    <w:tbl>
      <w:tblPr>
        <w:tblStyle w:val="27"/>
        <w:tblW w:w="139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97"/>
        <w:gridCol w:w="1251"/>
        <w:gridCol w:w="1376"/>
        <w:gridCol w:w="1365"/>
        <w:gridCol w:w="1251"/>
        <w:gridCol w:w="1248"/>
        <w:gridCol w:w="1248"/>
        <w:gridCol w:w="1248"/>
        <w:gridCol w:w="1248"/>
        <w:gridCol w:w="1248"/>
        <w:gridCol w:w="12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197" w:type="dxa"/>
            <w:vMerge w:val="restart"/>
            <w:vAlign w:val="center"/>
          </w:tcPr>
          <w:p>
            <w:pPr>
              <w:pStyle w:val="84"/>
              <w:rPr>
                <w:rFonts w:hAnsi="Times New Roman"/>
                <w:szCs w:val="21"/>
              </w:rPr>
            </w:pPr>
            <w:r>
              <w:rPr>
                <w:rFonts w:hAnsi="Times New Roman"/>
                <w:szCs w:val="21"/>
              </w:rPr>
              <w:t>距源中心下风向距离（m）</w:t>
            </w:r>
          </w:p>
        </w:tc>
        <w:tc>
          <w:tcPr>
            <w:tcW w:w="5243" w:type="dxa"/>
            <w:gridSpan w:val="4"/>
            <w:vAlign w:val="center"/>
          </w:tcPr>
          <w:p>
            <w:pPr>
              <w:pStyle w:val="84"/>
              <w:rPr>
                <w:rFonts w:hAnsi="Times New Roman"/>
                <w:szCs w:val="21"/>
              </w:rPr>
            </w:pPr>
            <w:r>
              <w:rPr>
                <w:rFonts w:hAnsi="Times New Roman"/>
                <w:szCs w:val="21"/>
              </w:rPr>
              <w:t>A3</w:t>
            </w:r>
            <w:r>
              <w:rPr>
                <w:rFonts w:hint="eastAsia" w:hAnsi="Times New Roman"/>
                <w:szCs w:val="21"/>
              </w:rPr>
              <w:t>（污水</w:t>
            </w:r>
            <w:r>
              <w:rPr>
                <w:rFonts w:hAnsi="Times New Roman"/>
                <w:szCs w:val="21"/>
              </w:rPr>
              <w:t>处理设施</w:t>
            </w:r>
            <w:r>
              <w:rPr>
                <w:rFonts w:hint="eastAsia" w:hAnsi="Times New Roman"/>
                <w:szCs w:val="21"/>
              </w:rPr>
              <w:t>）</w:t>
            </w:r>
          </w:p>
        </w:tc>
        <w:tc>
          <w:tcPr>
            <w:tcW w:w="7488" w:type="dxa"/>
            <w:gridSpan w:val="6"/>
          </w:tcPr>
          <w:p>
            <w:pPr>
              <w:pStyle w:val="84"/>
              <w:rPr>
                <w:rFonts w:hAnsi="Times New Roman"/>
                <w:szCs w:val="21"/>
              </w:rPr>
            </w:pPr>
            <w:r>
              <w:rPr>
                <w:rFonts w:hint="eastAsia" w:hAnsi="Times New Roman"/>
                <w:szCs w:val="21"/>
              </w:rPr>
              <w:t>P1</w:t>
            </w:r>
            <w:r>
              <w:rPr>
                <w:rFonts w:hAnsi="Times New Roman"/>
                <w:szCs w:val="21"/>
              </w:rPr>
              <w:t>（</w:t>
            </w:r>
            <w:r>
              <w:rPr>
                <w:rFonts w:hint="eastAsia" w:hAnsi="Times New Roman"/>
                <w:szCs w:val="21"/>
              </w:rPr>
              <w:t>火炬燃烧</w:t>
            </w:r>
            <w:r>
              <w:rPr>
                <w:rFonts w:hAnsi="Times New Roman"/>
                <w:szCs w:val="21"/>
              </w:rP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197" w:type="dxa"/>
            <w:vMerge w:val="continue"/>
            <w:vAlign w:val="center"/>
          </w:tcPr>
          <w:p>
            <w:pPr>
              <w:pStyle w:val="84"/>
              <w:rPr>
                <w:rFonts w:hAnsi="Times New Roman"/>
                <w:szCs w:val="21"/>
              </w:rPr>
            </w:pPr>
          </w:p>
        </w:tc>
        <w:tc>
          <w:tcPr>
            <w:tcW w:w="2627" w:type="dxa"/>
            <w:gridSpan w:val="2"/>
            <w:vAlign w:val="center"/>
          </w:tcPr>
          <w:p>
            <w:pPr>
              <w:pStyle w:val="84"/>
              <w:rPr>
                <w:rFonts w:hAnsi="Times New Roman"/>
                <w:szCs w:val="21"/>
              </w:rPr>
            </w:pPr>
            <w:r>
              <w:rPr>
                <w:rFonts w:hAnsi="Times New Roman"/>
                <w:szCs w:val="21"/>
              </w:rPr>
              <w:t>A3  NH</w:t>
            </w:r>
            <w:r>
              <w:rPr>
                <w:rFonts w:hAnsi="Times New Roman"/>
                <w:szCs w:val="21"/>
                <w:vertAlign w:val="subscript"/>
              </w:rPr>
              <w:t>3</w:t>
            </w:r>
          </w:p>
        </w:tc>
        <w:tc>
          <w:tcPr>
            <w:tcW w:w="2616" w:type="dxa"/>
            <w:gridSpan w:val="2"/>
            <w:vAlign w:val="center"/>
          </w:tcPr>
          <w:p>
            <w:pPr>
              <w:pStyle w:val="84"/>
              <w:rPr>
                <w:rFonts w:hAnsi="Times New Roman"/>
                <w:szCs w:val="21"/>
              </w:rPr>
            </w:pPr>
            <w:r>
              <w:rPr>
                <w:rFonts w:hAnsi="Times New Roman"/>
                <w:szCs w:val="21"/>
              </w:rPr>
              <w:t>A3  H</w:t>
            </w:r>
            <w:r>
              <w:rPr>
                <w:rFonts w:hAnsi="Times New Roman"/>
                <w:szCs w:val="21"/>
                <w:vertAlign w:val="subscript"/>
              </w:rPr>
              <w:t>2</w:t>
            </w:r>
            <w:r>
              <w:rPr>
                <w:rFonts w:hAnsi="Times New Roman"/>
                <w:szCs w:val="21"/>
              </w:rPr>
              <w:t>S</w:t>
            </w:r>
          </w:p>
        </w:tc>
        <w:tc>
          <w:tcPr>
            <w:tcW w:w="2496" w:type="dxa"/>
            <w:gridSpan w:val="2"/>
          </w:tcPr>
          <w:p>
            <w:pPr>
              <w:pStyle w:val="84"/>
              <w:rPr>
                <w:rFonts w:hAnsi="Times New Roman"/>
                <w:szCs w:val="21"/>
              </w:rPr>
            </w:pPr>
            <w:r>
              <w:rPr>
                <w:rFonts w:hAnsi="Times New Roman"/>
                <w:szCs w:val="21"/>
              </w:rPr>
              <w:t>颗粒物</w:t>
            </w:r>
          </w:p>
        </w:tc>
        <w:tc>
          <w:tcPr>
            <w:tcW w:w="2496" w:type="dxa"/>
            <w:gridSpan w:val="2"/>
          </w:tcPr>
          <w:p>
            <w:pPr>
              <w:pStyle w:val="84"/>
              <w:rPr>
                <w:rFonts w:hAnsi="Times New Roman"/>
                <w:szCs w:val="21"/>
              </w:rPr>
            </w:pPr>
            <w:r>
              <w:rPr>
                <w:rFonts w:hAnsi="Times New Roman"/>
                <w:szCs w:val="21"/>
              </w:rPr>
              <w:t>SO</w:t>
            </w:r>
            <w:r>
              <w:rPr>
                <w:rFonts w:hAnsi="Times New Roman"/>
                <w:szCs w:val="21"/>
                <w:vertAlign w:val="subscript"/>
              </w:rPr>
              <w:t>2</w:t>
            </w:r>
            <w:r>
              <w:rPr>
                <w:rFonts w:hAnsi="Times New Roman"/>
                <w:szCs w:val="21"/>
              </w:rPr>
              <w:t xml:space="preserve">   </w:t>
            </w:r>
          </w:p>
        </w:tc>
        <w:tc>
          <w:tcPr>
            <w:tcW w:w="2496" w:type="dxa"/>
            <w:gridSpan w:val="2"/>
          </w:tcPr>
          <w:p>
            <w:pPr>
              <w:pStyle w:val="84"/>
              <w:rPr>
                <w:rFonts w:hAnsi="Times New Roman"/>
                <w:szCs w:val="21"/>
              </w:rPr>
            </w:pPr>
            <w:r>
              <w:rPr>
                <w:rFonts w:hint="eastAsia" w:hAnsi="Times New Roman"/>
                <w:szCs w:val="21"/>
              </w:rPr>
              <w:t>NO</w:t>
            </w:r>
            <w:r>
              <w:rPr>
                <w:rFonts w:hint="eastAsia" w:hAnsi="Times New Roman"/>
                <w:szCs w:val="21"/>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197" w:type="dxa"/>
            <w:vMerge w:val="continue"/>
            <w:vAlign w:val="center"/>
          </w:tcPr>
          <w:p>
            <w:pPr>
              <w:pStyle w:val="84"/>
              <w:rPr>
                <w:rFonts w:hAnsi="Times New Roman"/>
                <w:szCs w:val="21"/>
              </w:rPr>
            </w:pPr>
          </w:p>
        </w:tc>
        <w:tc>
          <w:tcPr>
            <w:tcW w:w="1251" w:type="dxa"/>
            <w:vAlign w:val="center"/>
          </w:tcPr>
          <w:p>
            <w:pPr>
              <w:pStyle w:val="84"/>
              <w:rPr>
                <w:rFonts w:hAnsi="Times New Roman"/>
                <w:szCs w:val="21"/>
              </w:rPr>
            </w:pPr>
            <w:r>
              <w:rPr>
                <w:rFonts w:hAnsi="Times New Roman"/>
                <w:szCs w:val="21"/>
              </w:rPr>
              <w:t>下风向预测浓度C</w:t>
            </w:r>
            <w:r>
              <w:rPr>
                <w:rFonts w:hint="eastAsia" w:hAnsi="Times New Roman"/>
                <w:szCs w:val="21"/>
              </w:rPr>
              <w:t>（</w:t>
            </w:r>
            <w:r>
              <w:rPr>
                <w:rFonts w:hAnsi="Times New Roman"/>
                <w:szCs w:val="21"/>
              </w:rPr>
              <w:t>μg/m</w:t>
            </w:r>
            <w:r>
              <w:rPr>
                <w:rFonts w:hAnsi="Times New Roman"/>
                <w:szCs w:val="21"/>
                <w:vertAlign w:val="superscript"/>
              </w:rPr>
              <w:t>3</w:t>
            </w:r>
            <w:r>
              <w:rPr>
                <w:rFonts w:hint="eastAsia" w:hAnsi="Times New Roman"/>
                <w:szCs w:val="21"/>
              </w:rPr>
              <w:t>）</w:t>
            </w:r>
            <w:r>
              <w:rPr>
                <w:rFonts w:hAnsi="Times New Roman"/>
                <w:szCs w:val="21"/>
              </w:rPr>
              <w:t xml:space="preserve"> </w:t>
            </w:r>
          </w:p>
        </w:tc>
        <w:tc>
          <w:tcPr>
            <w:tcW w:w="1376" w:type="dxa"/>
            <w:vAlign w:val="center"/>
          </w:tcPr>
          <w:p>
            <w:pPr>
              <w:pStyle w:val="84"/>
              <w:rPr>
                <w:rFonts w:hAnsi="Times New Roman"/>
                <w:szCs w:val="21"/>
              </w:rPr>
            </w:pPr>
            <w:r>
              <w:rPr>
                <w:rFonts w:hAnsi="Times New Roman"/>
                <w:szCs w:val="21"/>
              </w:rPr>
              <w:t>浓度占标率</w:t>
            </w:r>
          </w:p>
          <w:p>
            <w:pPr>
              <w:pStyle w:val="84"/>
              <w:rPr>
                <w:rFonts w:hAnsi="Times New Roman"/>
                <w:szCs w:val="21"/>
              </w:rPr>
            </w:pPr>
            <w:r>
              <w:rPr>
                <w:rFonts w:hAnsi="Times New Roman"/>
                <w:szCs w:val="21"/>
              </w:rPr>
              <w:t>P</w:t>
            </w:r>
            <w:r>
              <w:rPr>
                <w:rFonts w:hint="eastAsia" w:hAnsi="Times New Roman"/>
                <w:szCs w:val="21"/>
              </w:rPr>
              <w:t>（</w:t>
            </w:r>
            <w:r>
              <w:rPr>
                <w:rFonts w:hAnsi="Times New Roman"/>
                <w:szCs w:val="21"/>
              </w:rPr>
              <w:t>%</w:t>
            </w:r>
            <w:r>
              <w:rPr>
                <w:rFonts w:hint="eastAsia" w:hAnsi="Times New Roman"/>
                <w:szCs w:val="21"/>
              </w:rPr>
              <w:t>）</w:t>
            </w:r>
            <w:r>
              <w:rPr>
                <w:rFonts w:hAnsi="Times New Roman"/>
                <w:szCs w:val="21"/>
              </w:rPr>
              <w:t xml:space="preserve"> </w:t>
            </w:r>
          </w:p>
        </w:tc>
        <w:tc>
          <w:tcPr>
            <w:tcW w:w="1365" w:type="dxa"/>
            <w:vAlign w:val="center"/>
          </w:tcPr>
          <w:p>
            <w:pPr>
              <w:pStyle w:val="84"/>
              <w:rPr>
                <w:rFonts w:hAnsi="Times New Roman"/>
                <w:szCs w:val="21"/>
              </w:rPr>
            </w:pPr>
            <w:r>
              <w:rPr>
                <w:rFonts w:hAnsi="Times New Roman"/>
                <w:szCs w:val="21"/>
              </w:rPr>
              <w:t>下风向预测浓度</w:t>
            </w:r>
          </w:p>
          <w:p>
            <w:pPr>
              <w:pStyle w:val="84"/>
              <w:rPr>
                <w:rFonts w:hAnsi="Times New Roman"/>
                <w:szCs w:val="21"/>
              </w:rPr>
            </w:pPr>
            <w:r>
              <w:rPr>
                <w:rFonts w:hAnsi="Times New Roman"/>
                <w:szCs w:val="21"/>
              </w:rPr>
              <w:t>C</w:t>
            </w:r>
            <w:r>
              <w:rPr>
                <w:rFonts w:hint="eastAsia" w:hAnsi="Times New Roman"/>
                <w:szCs w:val="21"/>
              </w:rPr>
              <w:t>（</w:t>
            </w:r>
            <w:r>
              <w:rPr>
                <w:rFonts w:hAnsi="Times New Roman"/>
                <w:szCs w:val="21"/>
              </w:rPr>
              <w:t>μg/m</w:t>
            </w:r>
            <w:r>
              <w:rPr>
                <w:rFonts w:hAnsi="Times New Roman"/>
                <w:szCs w:val="21"/>
                <w:vertAlign w:val="superscript"/>
              </w:rPr>
              <w:t>3</w:t>
            </w:r>
            <w:r>
              <w:rPr>
                <w:rFonts w:hint="eastAsia" w:hAnsi="Times New Roman"/>
                <w:szCs w:val="21"/>
              </w:rPr>
              <w:t>）</w:t>
            </w:r>
          </w:p>
        </w:tc>
        <w:tc>
          <w:tcPr>
            <w:tcW w:w="1251" w:type="dxa"/>
            <w:vAlign w:val="center"/>
          </w:tcPr>
          <w:p>
            <w:pPr>
              <w:pStyle w:val="84"/>
              <w:rPr>
                <w:rFonts w:hAnsi="Times New Roman"/>
                <w:szCs w:val="21"/>
              </w:rPr>
            </w:pPr>
            <w:r>
              <w:rPr>
                <w:rFonts w:hAnsi="Times New Roman"/>
                <w:szCs w:val="21"/>
              </w:rPr>
              <w:t>浓度占标率</w:t>
            </w:r>
          </w:p>
          <w:p>
            <w:pPr>
              <w:pStyle w:val="84"/>
              <w:rPr>
                <w:rFonts w:hAnsi="Times New Roman"/>
                <w:szCs w:val="21"/>
              </w:rPr>
            </w:pPr>
            <w:r>
              <w:rPr>
                <w:rFonts w:hAnsi="Times New Roman"/>
                <w:szCs w:val="21"/>
              </w:rPr>
              <w:t>P</w:t>
            </w:r>
            <w:r>
              <w:rPr>
                <w:rFonts w:hint="eastAsia" w:hAnsi="Times New Roman"/>
                <w:szCs w:val="21"/>
              </w:rPr>
              <w:t>（</w:t>
            </w:r>
            <w:r>
              <w:rPr>
                <w:rFonts w:hAnsi="Times New Roman"/>
                <w:szCs w:val="21"/>
              </w:rPr>
              <w:t>%</w:t>
            </w:r>
            <w:r>
              <w:rPr>
                <w:rFonts w:hint="eastAsia" w:hAnsi="Times New Roman"/>
                <w:szCs w:val="21"/>
              </w:rPr>
              <w:t>）</w:t>
            </w:r>
          </w:p>
        </w:tc>
        <w:tc>
          <w:tcPr>
            <w:tcW w:w="1248" w:type="dxa"/>
            <w:vAlign w:val="center"/>
          </w:tcPr>
          <w:p>
            <w:pPr>
              <w:pStyle w:val="84"/>
              <w:rPr>
                <w:rFonts w:hAnsi="Times New Roman"/>
                <w:szCs w:val="21"/>
              </w:rPr>
            </w:pPr>
            <w:r>
              <w:rPr>
                <w:rFonts w:hAnsi="Times New Roman"/>
                <w:szCs w:val="21"/>
              </w:rPr>
              <w:t>下风向预测浓度</w:t>
            </w:r>
          </w:p>
          <w:p>
            <w:pPr>
              <w:pStyle w:val="84"/>
              <w:rPr>
                <w:rFonts w:hAnsi="Times New Roman"/>
                <w:szCs w:val="21"/>
              </w:rPr>
            </w:pPr>
            <w:r>
              <w:rPr>
                <w:rFonts w:hAnsi="Times New Roman"/>
                <w:szCs w:val="21"/>
              </w:rPr>
              <w:t>C</w:t>
            </w:r>
            <w:r>
              <w:rPr>
                <w:rFonts w:hint="eastAsia" w:hAnsi="Times New Roman"/>
                <w:szCs w:val="21"/>
              </w:rPr>
              <w:t>（</w:t>
            </w:r>
            <w:r>
              <w:rPr>
                <w:rFonts w:hAnsi="Times New Roman"/>
                <w:szCs w:val="21"/>
              </w:rPr>
              <w:t>μg/m</w:t>
            </w:r>
            <w:r>
              <w:rPr>
                <w:rFonts w:hAnsi="Times New Roman"/>
                <w:szCs w:val="21"/>
                <w:vertAlign w:val="superscript"/>
              </w:rPr>
              <w:t>3</w:t>
            </w:r>
            <w:r>
              <w:rPr>
                <w:rFonts w:hint="eastAsia" w:hAnsi="Times New Roman"/>
                <w:szCs w:val="21"/>
              </w:rPr>
              <w:t>）</w:t>
            </w:r>
          </w:p>
        </w:tc>
        <w:tc>
          <w:tcPr>
            <w:tcW w:w="1248" w:type="dxa"/>
            <w:vAlign w:val="center"/>
          </w:tcPr>
          <w:p>
            <w:pPr>
              <w:pStyle w:val="84"/>
              <w:rPr>
                <w:rFonts w:hAnsi="Times New Roman"/>
                <w:szCs w:val="21"/>
              </w:rPr>
            </w:pPr>
            <w:r>
              <w:rPr>
                <w:rFonts w:hAnsi="Times New Roman"/>
                <w:szCs w:val="21"/>
              </w:rPr>
              <w:t>浓度占标率</w:t>
            </w:r>
          </w:p>
          <w:p>
            <w:pPr>
              <w:pStyle w:val="84"/>
              <w:rPr>
                <w:rFonts w:hAnsi="Times New Roman"/>
                <w:szCs w:val="21"/>
              </w:rPr>
            </w:pPr>
            <w:r>
              <w:rPr>
                <w:rFonts w:hAnsi="Times New Roman"/>
                <w:szCs w:val="21"/>
              </w:rPr>
              <w:t>P</w:t>
            </w:r>
            <w:r>
              <w:rPr>
                <w:rFonts w:hint="eastAsia" w:hAnsi="Times New Roman"/>
                <w:szCs w:val="21"/>
              </w:rPr>
              <w:t>（</w:t>
            </w:r>
            <w:r>
              <w:rPr>
                <w:rFonts w:hAnsi="Times New Roman"/>
                <w:szCs w:val="21"/>
              </w:rPr>
              <w:t>%</w:t>
            </w:r>
            <w:r>
              <w:rPr>
                <w:rFonts w:hint="eastAsia" w:hAnsi="Times New Roman"/>
                <w:szCs w:val="21"/>
              </w:rPr>
              <w:t>）</w:t>
            </w:r>
          </w:p>
        </w:tc>
        <w:tc>
          <w:tcPr>
            <w:tcW w:w="1248" w:type="dxa"/>
            <w:vAlign w:val="center"/>
          </w:tcPr>
          <w:p>
            <w:pPr>
              <w:pStyle w:val="84"/>
              <w:rPr>
                <w:rFonts w:hAnsi="Times New Roman"/>
                <w:szCs w:val="21"/>
              </w:rPr>
            </w:pPr>
            <w:r>
              <w:rPr>
                <w:rFonts w:hAnsi="Times New Roman"/>
                <w:szCs w:val="21"/>
              </w:rPr>
              <w:t>下风向预测浓度</w:t>
            </w:r>
          </w:p>
          <w:p>
            <w:pPr>
              <w:pStyle w:val="84"/>
              <w:rPr>
                <w:rFonts w:hAnsi="Times New Roman"/>
                <w:szCs w:val="21"/>
              </w:rPr>
            </w:pPr>
            <w:r>
              <w:rPr>
                <w:rFonts w:hAnsi="Times New Roman"/>
                <w:szCs w:val="21"/>
              </w:rPr>
              <w:t>C</w:t>
            </w:r>
            <w:r>
              <w:rPr>
                <w:rFonts w:hint="eastAsia" w:hAnsi="Times New Roman"/>
                <w:szCs w:val="21"/>
              </w:rPr>
              <w:t>（</w:t>
            </w:r>
            <w:r>
              <w:rPr>
                <w:rFonts w:hAnsi="Times New Roman"/>
                <w:szCs w:val="21"/>
              </w:rPr>
              <w:t>μg/m</w:t>
            </w:r>
            <w:r>
              <w:rPr>
                <w:rFonts w:hAnsi="Times New Roman"/>
                <w:szCs w:val="21"/>
                <w:vertAlign w:val="superscript"/>
              </w:rPr>
              <w:t>3</w:t>
            </w:r>
            <w:r>
              <w:rPr>
                <w:rFonts w:hint="eastAsia" w:hAnsi="Times New Roman"/>
                <w:szCs w:val="21"/>
              </w:rPr>
              <w:t>）</w:t>
            </w:r>
          </w:p>
        </w:tc>
        <w:tc>
          <w:tcPr>
            <w:tcW w:w="1248" w:type="dxa"/>
            <w:vAlign w:val="center"/>
          </w:tcPr>
          <w:p>
            <w:pPr>
              <w:pStyle w:val="84"/>
              <w:rPr>
                <w:rFonts w:hAnsi="Times New Roman"/>
                <w:szCs w:val="21"/>
              </w:rPr>
            </w:pPr>
            <w:r>
              <w:rPr>
                <w:rFonts w:hAnsi="Times New Roman"/>
                <w:szCs w:val="21"/>
              </w:rPr>
              <w:t>浓度占标率</w:t>
            </w:r>
          </w:p>
          <w:p>
            <w:pPr>
              <w:pStyle w:val="84"/>
              <w:rPr>
                <w:rFonts w:hAnsi="Times New Roman"/>
                <w:szCs w:val="21"/>
              </w:rPr>
            </w:pPr>
            <w:r>
              <w:rPr>
                <w:rFonts w:hAnsi="Times New Roman"/>
                <w:szCs w:val="21"/>
              </w:rPr>
              <w:t>P</w:t>
            </w:r>
            <w:r>
              <w:rPr>
                <w:rFonts w:hint="eastAsia" w:hAnsi="Times New Roman"/>
                <w:szCs w:val="21"/>
              </w:rPr>
              <w:t>（</w:t>
            </w:r>
            <w:r>
              <w:rPr>
                <w:rFonts w:hAnsi="Times New Roman"/>
                <w:szCs w:val="21"/>
              </w:rPr>
              <w:t>%</w:t>
            </w:r>
            <w:r>
              <w:rPr>
                <w:rFonts w:hint="eastAsia" w:hAnsi="Times New Roman"/>
                <w:szCs w:val="21"/>
              </w:rPr>
              <w:t>）</w:t>
            </w:r>
          </w:p>
        </w:tc>
        <w:tc>
          <w:tcPr>
            <w:tcW w:w="1248" w:type="dxa"/>
            <w:vAlign w:val="center"/>
          </w:tcPr>
          <w:p>
            <w:pPr>
              <w:pStyle w:val="84"/>
              <w:rPr>
                <w:rFonts w:hAnsi="Times New Roman"/>
                <w:szCs w:val="21"/>
              </w:rPr>
            </w:pPr>
            <w:r>
              <w:rPr>
                <w:rFonts w:hAnsi="Times New Roman"/>
                <w:szCs w:val="21"/>
              </w:rPr>
              <w:t>下风向预测浓度</w:t>
            </w:r>
          </w:p>
          <w:p>
            <w:pPr>
              <w:pStyle w:val="84"/>
              <w:rPr>
                <w:rFonts w:hAnsi="Times New Roman"/>
                <w:szCs w:val="21"/>
              </w:rPr>
            </w:pPr>
            <w:r>
              <w:rPr>
                <w:rFonts w:hAnsi="Times New Roman"/>
                <w:szCs w:val="21"/>
              </w:rPr>
              <w:t>C</w:t>
            </w:r>
            <w:r>
              <w:rPr>
                <w:rFonts w:hint="eastAsia" w:hAnsi="Times New Roman"/>
                <w:szCs w:val="21"/>
              </w:rPr>
              <w:t>（</w:t>
            </w:r>
            <w:r>
              <w:rPr>
                <w:rFonts w:hAnsi="Times New Roman"/>
                <w:szCs w:val="21"/>
              </w:rPr>
              <w:t>μg/m</w:t>
            </w:r>
            <w:r>
              <w:rPr>
                <w:rFonts w:hAnsi="Times New Roman"/>
                <w:szCs w:val="21"/>
                <w:vertAlign w:val="superscript"/>
              </w:rPr>
              <w:t>3</w:t>
            </w:r>
            <w:r>
              <w:rPr>
                <w:rFonts w:hint="eastAsia" w:hAnsi="Times New Roman"/>
                <w:szCs w:val="21"/>
              </w:rPr>
              <w:t>）</w:t>
            </w:r>
          </w:p>
        </w:tc>
        <w:tc>
          <w:tcPr>
            <w:tcW w:w="1248" w:type="dxa"/>
            <w:vAlign w:val="center"/>
          </w:tcPr>
          <w:p>
            <w:pPr>
              <w:pStyle w:val="84"/>
              <w:rPr>
                <w:rFonts w:hAnsi="Times New Roman"/>
                <w:szCs w:val="21"/>
              </w:rPr>
            </w:pPr>
            <w:r>
              <w:rPr>
                <w:rFonts w:hAnsi="Times New Roman"/>
                <w:szCs w:val="21"/>
              </w:rPr>
              <w:t>浓度占标率</w:t>
            </w:r>
          </w:p>
          <w:p>
            <w:pPr>
              <w:pStyle w:val="84"/>
              <w:rPr>
                <w:rFonts w:hAnsi="Times New Roman"/>
                <w:szCs w:val="21"/>
              </w:rPr>
            </w:pPr>
            <w:r>
              <w:rPr>
                <w:rFonts w:hAnsi="Times New Roman"/>
                <w:szCs w:val="21"/>
              </w:rPr>
              <w:t>P</w:t>
            </w:r>
            <w:r>
              <w:rPr>
                <w:rFonts w:hint="eastAsia" w:hAnsi="Times New Roman"/>
                <w:szCs w:val="21"/>
              </w:rPr>
              <w:t>（</w:t>
            </w:r>
            <w:r>
              <w:rPr>
                <w:rFonts w:hAnsi="Times New Roman"/>
                <w:szCs w:val="21"/>
              </w:rPr>
              <w:t>%</w:t>
            </w:r>
            <w:r>
              <w:rPr>
                <w:rFonts w:hint="eastAsia"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50</w:t>
            </w:r>
          </w:p>
        </w:tc>
        <w:tc>
          <w:tcPr>
            <w:tcW w:w="1251" w:type="dxa"/>
            <w:vAlign w:val="center"/>
          </w:tcPr>
          <w:p>
            <w:pPr>
              <w:pStyle w:val="89"/>
            </w:pPr>
            <w:r>
              <w:t>0.2339</w:t>
            </w:r>
          </w:p>
        </w:tc>
        <w:tc>
          <w:tcPr>
            <w:tcW w:w="1376" w:type="dxa"/>
            <w:vAlign w:val="center"/>
          </w:tcPr>
          <w:p>
            <w:pPr>
              <w:pStyle w:val="89"/>
            </w:pPr>
            <w:r>
              <w:t>0.1169</w:t>
            </w:r>
          </w:p>
        </w:tc>
        <w:tc>
          <w:tcPr>
            <w:tcW w:w="1365" w:type="dxa"/>
            <w:vAlign w:val="center"/>
          </w:tcPr>
          <w:p>
            <w:pPr>
              <w:pStyle w:val="89"/>
            </w:pPr>
            <w:r>
              <w:t>0.0078</w:t>
            </w:r>
          </w:p>
        </w:tc>
        <w:tc>
          <w:tcPr>
            <w:tcW w:w="1251" w:type="dxa"/>
            <w:vAlign w:val="center"/>
          </w:tcPr>
          <w:p>
            <w:pPr>
              <w:pStyle w:val="89"/>
            </w:pPr>
            <w:r>
              <w:t>0.0780</w:t>
            </w:r>
          </w:p>
        </w:tc>
        <w:tc>
          <w:tcPr>
            <w:tcW w:w="1248" w:type="dxa"/>
            <w:vAlign w:val="center"/>
          </w:tcPr>
          <w:p>
            <w:pPr>
              <w:pStyle w:val="89"/>
            </w:pPr>
            <w:r>
              <w:t>0.0141</w:t>
            </w:r>
          </w:p>
        </w:tc>
        <w:tc>
          <w:tcPr>
            <w:tcW w:w="1248" w:type="dxa"/>
            <w:vAlign w:val="center"/>
          </w:tcPr>
          <w:p>
            <w:pPr>
              <w:pStyle w:val="89"/>
            </w:pPr>
            <w:r>
              <w:t>0.0031</w:t>
            </w:r>
          </w:p>
        </w:tc>
        <w:tc>
          <w:tcPr>
            <w:tcW w:w="1248" w:type="dxa"/>
            <w:vAlign w:val="center"/>
          </w:tcPr>
          <w:p>
            <w:pPr>
              <w:pStyle w:val="89"/>
            </w:pPr>
            <w:r>
              <w:t>0.0028</w:t>
            </w:r>
          </w:p>
        </w:tc>
        <w:tc>
          <w:tcPr>
            <w:tcW w:w="1248" w:type="dxa"/>
            <w:vAlign w:val="center"/>
          </w:tcPr>
          <w:p>
            <w:pPr>
              <w:pStyle w:val="89"/>
            </w:pPr>
            <w:r>
              <w:t>0.0006</w:t>
            </w:r>
          </w:p>
        </w:tc>
        <w:tc>
          <w:tcPr>
            <w:tcW w:w="1248" w:type="dxa"/>
            <w:vAlign w:val="center"/>
          </w:tcPr>
          <w:p>
            <w:pPr>
              <w:pStyle w:val="89"/>
            </w:pPr>
            <w:r>
              <w:t>0.1414</w:t>
            </w:r>
          </w:p>
        </w:tc>
        <w:tc>
          <w:tcPr>
            <w:tcW w:w="1248" w:type="dxa"/>
            <w:vAlign w:val="center"/>
          </w:tcPr>
          <w:p>
            <w:pPr>
              <w:pStyle w:val="89"/>
            </w:pPr>
            <w:r>
              <w:t>0.0566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100</w:t>
            </w:r>
          </w:p>
        </w:tc>
        <w:tc>
          <w:tcPr>
            <w:tcW w:w="1251" w:type="dxa"/>
            <w:vAlign w:val="center"/>
          </w:tcPr>
          <w:p>
            <w:pPr>
              <w:pStyle w:val="89"/>
            </w:pPr>
            <w:r>
              <w:t>0.1599</w:t>
            </w:r>
          </w:p>
        </w:tc>
        <w:tc>
          <w:tcPr>
            <w:tcW w:w="1376" w:type="dxa"/>
            <w:vAlign w:val="center"/>
          </w:tcPr>
          <w:p>
            <w:pPr>
              <w:pStyle w:val="89"/>
            </w:pPr>
            <w:r>
              <w:t>0.0799</w:t>
            </w:r>
          </w:p>
        </w:tc>
        <w:tc>
          <w:tcPr>
            <w:tcW w:w="1365" w:type="dxa"/>
            <w:vAlign w:val="center"/>
          </w:tcPr>
          <w:p>
            <w:pPr>
              <w:pStyle w:val="89"/>
            </w:pPr>
            <w:r>
              <w:t>0.0053</w:t>
            </w:r>
          </w:p>
        </w:tc>
        <w:tc>
          <w:tcPr>
            <w:tcW w:w="1251" w:type="dxa"/>
            <w:vAlign w:val="center"/>
          </w:tcPr>
          <w:p>
            <w:pPr>
              <w:pStyle w:val="89"/>
            </w:pPr>
            <w:r>
              <w:t>0.0533</w:t>
            </w:r>
          </w:p>
        </w:tc>
        <w:tc>
          <w:tcPr>
            <w:tcW w:w="1248" w:type="dxa"/>
            <w:vAlign w:val="center"/>
          </w:tcPr>
          <w:p>
            <w:pPr>
              <w:pStyle w:val="89"/>
            </w:pPr>
            <w:r>
              <w:t>0.0411</w:t>
            </w:r>
          </w:p>
        </w:tc>
        <w:tc>
          <w:tcPr>
            <w:tcW w:w="1248" w:type="dxa"/>
            <w:vAlign w:val="center"/>
          </w:tcPr>
          <w:p>
            <w:pPr>
              <w:pStyle w:val="89"/>
            </w:pPr>
            <w:r>
              <w:t>0.0091</w:t>
            </w:r>
          </w:p>
        </w:tc>
        <w:tc>
          <w:tcPr>
            <w:tcW w:w="1248" w:type="dxa"/>
            <w:vAlign w:val="center"/>
          </w:tcPr>
          <w:p>
            <w:pPr>
              <w:pStyle w:val="89"/>
            </w:pPr>
            <w:r>
              <w:t>0.0082</w:t>
            </w:r>
          </w:p>
        </w:tc>
        <w:tc>
          <w:tcPr>
            <w:tcW w:w="1248" w:type="dxa"/>
            <w:vAlign w:val="center"/>
          </w:tcPr>
          <w:p>
            <w:pPr>
              <w:pStyle w:val="89"/>
            </w:pPr>
            <w:r>
              <w:t>0.0016</w:t>
            </w:r>
          </w:p>
        </w:tc>
        <w:tc>
          <w:tcPr>
            <w:tcW w:w="1248" w:type="dxa"/>
            <w:vAlign w:val="center"/>
          </w:tcPr>
          <w:p>
            <w:pPr>
              <w:pStyle w:val="89"/>
            </w:pPr>
            <w:r>
              <w:t>0.4107</w:t>
            </w:r>
          </w:p>
        </w:tc>
        <w:tc>
          <w:tcPr>
            <w:tcW w:w="1248" w:type="dxa"/>
            <w:vAlign w:val="center"/>
          </w:tcPr>
          <w:p>
            <w:pPr>
              <w:pStyle w:val="89"/>
            </w:pPr>
            <w:r>
              <w:t>0.1643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200</w:t>
            </w:r>
          </w:p>
        </w:tc>
        <w:tc>
          <w:tcPr>
            <w:tcW w:w="1251" w:type="dxa"/>
            <w:vAlign w:val="center"/>
          </w:tcPr>
          <w:p>
            <w:pPr>
              <w:pStyle w:val="89"/>
            </w:pPr>
            <w:r>
              <w:t>0.1090</w:t>
            </w:r>
          </w:p>
        </w:tc>
        <w:tc>
          <w:tcPr>
            <w:tcW w:w="1376" w:type="dxa"/>
            <w:vAlign w:val="center"/>
          </w:tcPr>
          <w:p>
            <w:pPr>
              <w:pStyle w:val="89"/>
            </w:pPr>
            <w:r>
              <w:t>0.0545</w:t>
            </w:r>
          </w:p>
        </w:tc>
        <w:tc>
          <w:tcPr>
            <w:tcW w:w="1365" w:type="dxa"/>
            <w:vAlign w:val="center"/>
          </w:tcPr>
          <w:p>
            <w:pPr>
              <w:pStyle w:val="89"/>
            </w:pPr>
            <w:r>
              <w:t>0.0036</w:t>
            </w:r>
          </w:p>
        </w:tc>
        <w:tc>
          <w:tcPr>
            <w:tcW w:w="1251" w:type="dxa"/>
            <w:vAlign w:val="center"/>
          </w:tcPr>
          <w:p>
            <w:pPr>
              <w:pStyle w:val="89"/>
            </w:pPr>
            <w:r>
              <w:t>0.0363</w:t>
            </w:r>
          </w:p>
        </w:tc>
        <w:tc>
          <w:tcPr>
            <w:tcW w:w="1248" w:type="dxa"/>
            <w:vAlign w:val="center"/>
          </w:tcPr>
          <w:p>
            <w:pPr>
              <w:pStyle w:val="89"/>
            </w:pPr>
            <w:r>
              <w:t>0.0213</w:t>
            </w:r>
          </w:p>
        </w:tc>
        <w:tc>
          <w:tcPr>
            <w:tcW w:w="1248" w:type="dxa"/>
            <w:vAlign w:val="center"/>
          </w:tcPr>
          <w:p>
            <w:pPr>
              <w:pStyle w:val="89"/>
            </w:pPr>
            <w:r>
              <w:t>0.0047</w:t>
            </w:r>
          </w:p>
        </w:tc>
        <w:tc>
          <w:tcPr>
            <w:tcW w:w="1248" w:type="dxa"/>
            <w:vAlign w:val="center"/>
          </w:tcPr>
          <w:p>
            <w:pPr>
              <w:pStyle w:val="89"/>
            </w:pPr>
            <w:r>
              <w:t>0.0043</w:t>
            </w:r>
          </w:p>
        </w:tc>
        <w:tc>
          <w:tcPr>
            <w:tcW w:w="1248" w:type="dxa"/>
            <w:vAlign w:val="center"/>
          </w:tcPr>
          <w:p>
            <w:pPr>
              <w:pStyle w:val="89"/>
            </w:pPr>
            <w:r>
              <w:t>0.0009</w:t>
            </w:r>
          </w:p>
        </w:tc>
        <w:tc>
          <w:tcPr>
            <w:tcW w:w="1248" w:type="dxa"/>
            <w:vAlign w:val="center"/>
          </w:tcPr>
          <w:p>
            <w:pPr>
              <w:pStyle w:val="89"/>
            </w:pPr>
            <w:r>
              <w:t>0.2126</w:t>
            </w:r>
          </w:p>
        </w:tc>
        <w:tc>
          <w:tcPr>
            <w:tcW w:w="1248" w:type="dxa"/>
            <w:vAlign w:val="center"/>
          </w:tcPr>
          <w:p>
            <w:pPr>
              <w:pStyle w:val="89"/>
            </w:pPr>
            <w:r>
              <w:t>0.0851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300</w:t>
            </w:r>
          </w:p>
        </w:tc>
        <w:tc>
          <w:tcPr>
            <w:tcW w:w="1251" w:type="dxa"/>
            <w:vAlign w:val="center"/>
          </w:tcPr>
          <w:p>
            <w:pPr>
              <w:pStyle w:val="89"/>
            </w:pPr>
            <w:r>
              <w:t>0.0834</w:t>
            </w:r>
          </w:p>
        </w:tc>
        <w:tc>
          <w:tcPr>
            <w:tcW w:w="1376" w:type="dxa"/>
            <w:vAlign w:val="center"/>
          </w:tcPr>
          <w:p>
            <w:pPr>
              <w:pStyle w:val="89"/>
            </w:pPr>
            <w:r>
              <w:t>0.0417</w:t>
            </w:r>
          </w:p>
        </w:tc>
        <w:tc>
          <w:tcPr>
            <w:tcW w:w="1365" w:type="dxa"/>
            <w:vAlign w:val="center"/>
          </w:tcPr>
          <w:p>
            <w:pPr>
              <w:pStyle w:val="89"/>
            </w:pPr>
            <w:r>
              <w:t>0.0028</w:t>
            </w:r>
          </w:p>
        </w:tc>
        <w:tc>
          <w:tcPr>
            <w:tcW w:w="1251" w:type="dxa"/>
            <w:vAlign w:val="center"/>
          </w:tcPr>
          <w:p>
            <w:pPr>
              <w:pStyle w:val="89"/>
            </w:pPr>
            <w:r>
              <w:t>0.0278</w:t>
            </w:r>
          </w:p>
        </w:tc>
        <w:tc>
          <w:tcPr>
            <w:tcW w:w="1248" w:type="dxa"/>
            <w:vAlign w:val="center"/>
          </w:tcPr>
          <w:p>
            <w:pPr>
              <w:pStyle w:val="89"/>
            </w:pPr>
            <w:r>
              <w:t>0.0165</w:t>
            </w:r>
          </w:p>
        </w:tc>
        <w:tc>
          <w:tcPr>
            <w:tcW w:w="1248" w:type="dxa"/>
            <w:vAlign w:val="center"/>
          </w:tcPr>
          <w:p>
            <w:pPr>
              <w:pStyle w:val="89"/>
            </w:pPr>
            <w:r>
              <w:t>0.0037</w:t>
            </w:r>
          </w:p>
        </w:tc>
        <w:tc>
          <w:tcPr>
            <w:tcW w:w="1248" w:type="dxa"/>
            <w:vAlign w:val="center"/>
          </w:tcPr>
          <w:p>
            <w:pPr>
              <w:pStyle w:val="89"/>
            </w:pPr>
            <w:r>
              <w:t>0.0033</w:t>
            </w:r>
          </w:p>
        </w:tc>
        <w:tc>
          <w:tcPr>
            <w:tcW w:w="1248" w:type="dxa"/>
            <w:vAlign w:val="center"/>
          </w:tcPr>
          <w:p>
            <w:pPr>
              <w:pStyle w:val="89"/>
            </w:pPr>
            <w:r>
              <w:t>0.0007</w:t>
            </w:r>
          </w:p>
        </w:tc>
        <w:tc>
          <w:tcPr>
            <w:tcW w:w="1248" w:type="dxa"/>
            <w:vAlign w:val="center"/>
          </w:tcPr>
          <w:p>
            <w:pPr>
              <w:pStyle w:val="89"/>
            </w:pPr>
            <w:r>
              <w:t>0.1655</w:t>
            </w:r>
          </w:p>
        </w:tc>
        <w:tc>
          <w:tcPr>
            <w:tcW w:w="1248" w:type="dxa"/>
            <w:vAlign w:val="center"/>
          </w:tcPr>
          <w:p>
            <w:pPr>
              <w:pStyle w:val="89"/>
            </w:pPr>
            <w:r>
              <w:t>0.0662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400</w:t>
            </w:r>
          </w:p>
        </w:tc>
        <w:tc>
          <w:tcPr>
            <w:tcW w:w="1251" w:type="dxa"/>
            <w:vAlign w:val="center"/>
          </w:tcPr>
          <w:p>
            <w:pPr>
              <w:pStyle w:val="89"/>
            </w:pPr>
            <w:r>
              <w:t>0.0709</w:t>
            </w:r>
          </w:p>
        </w:tc>
        <w:tc>
          <w:tcPr>
            <w:tcW w:w="1376" w:type="dxa"/>
            <w:vAlign w:val="center"/>
          </w:tcPr>
          <w:p>
            <w:pPr>
              <w:pStyle w:val="89"/>
            </w:pPr>
            <w:r>
              <w:t>0.0354</w:t>
            </w:r>
          </w:p>
        </w:tc>
        <w:tc>
          <w:tcPr>
            <w:tcW w:w="1365" w:type="dxa"/>
            <w:vAlign w:val="center"/>
          </w:tcPr>
          <w:p>
            <w:pPr>
              <w:pStyle w:val="89"/>
            </w:pPr>
            <w:r>
              <w:t>0.0024</w:t>
            </w:r>
          </w:p>
        </w:tc>
        <w:tc>
          <w:tcPr>
            <w:tcW w:w="1251" w:type="dxa"/>
            <w:vAlign w:val="center"/>
          </w:tcPr>
          <w:p>
            <w:pPr>
              <w:pStyle w:val="89"/>
            </w:pPr>
            <w:r>
              <w:t>0.0236</w:t>
            </w:r>
          </w:p>
        </w:tc>
        <w:tc>
          <w:tcPr>
            <w:tcW w:w="1248" w:type="dxa"/>
            <w:vAlign w:val="center"/>
          </w:tcPr>
          <w:p>
            <w:pPr>
              <w:pStyle w:val="89"/>
            </w:pPr>
            <w:r>
              <w:t>0.0120</w:t>
            </w:r>
          </w:p>
        </w:tc>
        <w:tc>
          <w:tcPr>
            <w:tcW w:w="1248" w:type="dxa"/>
            <w:vAlign w:val="center"/>
          </w:tcPr>
          <w:p>
            <w:pPr>
              <w:pStyle w:val="89"/>
            </w:pPr>
            <w:r>
              <w:t>0.0027</w:t>
            </w:r>
          </w:p>
        </w:tc>
        <w:tc>
          <w:tcPr>
            <w:tcW w:w="1248" w:type="dxa"/>
            <w:vAlign w:val="center"/>
          </w:tcPr>
          <w:p>
            <w:pPr>
              <w:pStyle w:val="89"/>
            </w:pPr>
            <w:r>
              <w:t>0.0024</w:t>
            </w:r>
          </w:p>
        </w:tc>
        <w:tc>
          <w:tcPr>
            <w:tcW w:w="1248" w:type="dxa"/>
            <w:vAlign w:val="center"/>
          </w:tcPr>
          <w:p>
            <w:pPr>
              <w:pStyle w:val="89"/>
            </w:pPr>
            <w:r>
              <w:t>0.0005</w:t>
            </w:r>
          </w:p>
        </w:tc>
        <w:tc>
          <w:tcPr>
            <w:tcW w:w="1248" w:type="dxa"/>
            <w:vAlign w:val="center"/>
          </w:tcPr>
          <w:p>
            <w:pPr>
              <w:pStyle w:val="89"/>
            </w:pPr>
            <w:r>
              <w:t>0.1202</w:t>
            </w:r>
          </w:p>
        </w:tc>
        <w:tc>
          <w:tcPr>
            <w:tcW w:w="1248" w:type="dxa"/>
            <w:vAlign w:val="center"/>
          </w:tcPr>
          <w:p>
            <w:pPr>
              <w:pStyle w:val="89"/>
            </w:pPr>
            <w:r>
              <w:t>0.0481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500</w:t>
            </w:r>
          </w:p>
        </w:tc>
        <w:tc>
          <w:tcPr>
            <w:tcW w:w="1251" w:type="dxa"/>
            <w:vAlign w:val="center"/>
          </w:tcPr>
          <w:p>
            <w:pPr>
              <w:pStyle w:val="89"/>
            </w:pPr>
            <w:r>
              <w:t>0.0611</w:t>
            </w:r>
          </w:p>
        </w:tc>
        <w:tc>
          <w:tcPr>
            <w:tcW w:w="1376" w:type="dxa"/>
            <w:vAlign w:val="center"/>
          </w:tcPr>
          <w:p>
            <w:pPr>
              <w:pStyle w:val="89"/>
            </w:pPr>
            <w:r>
              <w:t>0.0306</w:t>
            </w:r>
          </w:p>
        </w:tc>
        <w:tc>
          <w:tcPr>
            <w:tcW w:w="1365" w:type="dxa"/>
            <w:vAlign w:val="center"/>
          </w:tcPr>
          <w:p>
            <w:pPr>
              <w:pStyle w:val="89"/>
            </w:pPr>
            <w:r>
              <w:t>0.0020</w:t>
            </w:r>
          </w:p>
        </w:tc>
        <w:tc>
          <w:tcPr>
            <w:tcW w:w="1251" w:type="dxa"/>
            <w:vAlign w:val="center"/>
          </w:tcPr>
          <w:p>
            <w:pPr>
              <w:pStyle w:val="89"/>
            </w:pPr>
            <w:r>
              <w:t>0.0204</w:t>
            </w:r>
          </w:p>
        </w:tc>
        <w:tc>
          <w:tcPr>
            <w:tcW w:w="1248" w:type="dxa"/>
            <w:vAlign w:val="center"/>
          </w:tcPr>
          <w:p>
            <w:pPr>
              <w:pStyle w:val="89"/>
            </w:pPr>
            <w:r>
              <w:t>0.0067</w:t>
            </w:r>
          </w:p>
        </w:tc>
        <w:tc>
          <w:tcPr>
            <w:tcW w:w="1248" w:type="dxa"/>
            <w:vAlign w:val="center"/>
          </w:tcPr>
          <w:p>
            <w:pPr>
              <w:pStyle w:val="89"/>
            </w:pPr>
            <w:r>
              <w:t>0.0015</w:t>
            </w:r>
          </w:p>
        </w:tc>
        <w:tc>
          <w:tcPr>
            <w:tcW w:w="1248" w:type="dxa"/>
            <w:vAlign w:val="center"/>
          </w:tcPr>
          <w:p>
            <w:pPr>
              <w:pStyle w:val="89"/>
            </w:pPr>
            <w:r>
              <w:t>0.0013</w:t>
            </w:r>
          </w:p>
        </w:tc>
        <w:tc>
          <w:tcPr>
            <w:tcW w:w="1248" w:type="dxa"/>
            <w:vAlign w:val="center"/>
          </w:tcPr>
          <w:p>
            <w:pPr>
              <w:pStyle w:val="89"/>
            </w:pPr>
            <w:r>
              <w:t>0.0003</w:t>
            </w:r>
          </w:p>
        </w:tc>
        <w:tc>
          <w:tcPr>
            <w:tcW w:w="1248" w:type="dxa"/>
            <w:vAlign w:val="center"/>
          </w:tcPr>
          <w:p>
            <w:pPr>
              <w:pStyle w:val="89"/>
            </w:pPr>
            <w:r>
              <w:t>0.0668</w:t>
            </w:r>
          </w:p>
        </w:tc>
        <w:tc>
          <w:tcPr>
            <w:tcW w:w="1248" w:type="dxa"/>
            <w:vAlign w:val="center"/>
          </w:tcPr>
          <w:p>
            <w:pPr>
              <w:pStyle w:val="89"/>
            </w:pPr>
            <w:r>
              <w:t>0.0267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600</w:t>
            </w:r>
          </w:p>
        </w:tc>
        <w:tc>
          <w:tcPr>
            <w:tcW w:w="1251" w:type="dxa"/>
            <w:vAlign w:val="center"/>
          </w:tcPr>
          <w:p>
            <w:pPr>
              <w:pStyle w:val="89"/>
            </w:pPr>
            <w:r>
              <w:t>0.0536</w:t>
            </w:r>
          </w:p>
        </w:tc>
        <w:tc>
          <w:tcPr>
            <w:tcW w:w="1376" w:type="dxa"/>
            <w:vAlign w:val="center"/>
          </w:tcPr>
          <w:p>
            <w:pPr>
              <w:pStyle w:val="89"/>
            </w:pPr>
            <w:r>
              <w:t>0.0268</w:t>
            </w:r>
          </w:p>
        </w:tc>
        <w:tc>
          <w:tcPr>
            <w:tcW w:w="1365" w:type="dxa"/>
            <w:vAlign w:val="center"/>
          </w:tcPr>
          <w:p>
            <w:pPr>
              <w:pStyle w:val="89"/>
            </w:pPr>
            <w:r>
              <w:t>0.0018</w:t>
            </w:r>
          </w:p>
        </w:tc>
        <w:tc>
          <w:tcPr>
            <w:tcW w:w="1251" w:type="dxa"/>
            <w:vAlign w:val="center"/>
          </w:tcPr>
          <w:p>
            <w:pPr>
              <w:pStyle w:val="89"/>
            </w:pPr>
            <w:r>
              <w:t>0.0179</w:t>
            </w:r>
          </w:p>
        </w:tc>
        <w:tc>
          <w:tcPr>
            <w:tcW w:w="1248" w:type="dxa"/>
            <w:vAlign w:val="center"/>
          </w:tcPr>
          <w:p>
            <w:pPr>
              <w:pStyle w:val="89"/>
            </w:pPr>
            <w:r>
              <w:t>0.0089</w:t>
            </w:r>
          </w:p>
        </w:tc>
        <w:tc>
          <w:tcPr>
            <w:tcW w:w="1248" w:type="dxa"/>
            <w:vAlign w:val="center"/>
          </w:tcPr>
          <w:p>
            <w:pPr>
              <w:pStyle w:val="89"/>
            </w:pPr>
            <w:r>
              <w:t>0.0020</w:t>
            </w:r>
          </w:p>
        </w:tc>
        <w:tc>
          <w:tcPr>
            <w:tcW w:w="1248" w:type="dxa"/>
            <w:vAlign w:val="center"/>
          </w:tcPr>
          <w:p>
            <w:pPr>
              <w:pStyle w:val="89"/>
            </w:pPr>
            <w:r>
              <w:t>0.0018</w:t>
            </w:r>
          </w:p>
        </w:tc>
        <w:tc>
          <w:tcPr>
            <w:tcW w:w="1248" w:type="dxa"/>
            <w:vAlign w:val="center"/>
          </w:tcPr>
          <w:p>
            <w:pPr>
              <w:pStyle w:val="89"/>
            </w:pPr>
            <w:r>
              <w:t>0.0004</w:t>
            </w:r>
          </w:p>
        </w:tc>
        <w:tc>
          <w:tcPr>
            <w:tcW w:w="1248" w:type="dxa"/>
            <w:vAlign w:val="center"/>
          </w:tcPr>
          <w:p>
            <w:pPr>
              <w:pStyle w:val="89"/>
            </w:pPr>
            <w:r>
              <w:t>0.0891</w:t>
            </w:r>
          </w:p>
        </w:tc>
        <w:tc>
          <w:tcPr>
            <w:tcW w:w="1248" w:type="dxa"/>
            <w:vAlign w:val="center"/>
          </w:tcPr>
          <w:p>
            <w:pPr>
              <w:pStyle w:val="89"/>
            </w:pPr>
            <w:r>
              <w:t>0.0356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700</w:t>
            </w:r>
          </w:p>
        </w:tc>
        <w:tc>
          <w:tcPr>
            <w:tcW w:w="1251" w:type="dxa"/>
            <w:vAlign w:val="center"/>
          </w:tcPr>
          <w:p>
            <w:pPr>
              <w:pStyle w:val="89"/>
            </w:pPr>
            <w:r>
              <w:t>0.0486</w:t>
            </w:r>
          </w:p>
        </w:tc>
        <w:tc>
          <w:tcPr>
            <w:tcW w:w="1376" w:type="dxa"/>
            <w:vAlign w:val="center"/>
          </w:tcPr>
          <w:p>
            <w:pPr>
              <w:pStyle w:val="89"/>
            </w:pPr>
            <w:r>
              <w:t>0.0243</w:t>
            </w:r>
          </w:p>
        </w:tc>
        <w:tc>
          <w:tcPr>
            <w:tcW w:w="1365" w:type="dxa"/>
            <w:vAlign w:val="center"/>
          </w:tcPr>
          <w:p>
            <w:pPr>
              <w:pStyle w:val="89"/>
            </w:pPr>
            <w:r>
              <w:t>0.0016</w:t>
            </w:r>
          </w:p>
        </w:tc>
        <w:tc>
          <w:tcPr>
            <w:tcW w:w="1251" w:type="dxa"/>
            <w:vAlign w:val="center"/>
          </w:tcPr>
          <w:p>
            <w:pPr>
              <w:pStyle w:val="89"/>
            </w:pPr>
            <w:r>
              <w:t>0.0162</w:t>
            </w:r>
          </w:p>
        </w:tc>
        <w:tc>
          <w:tcPr>
            <w:tcW w:w="1248" w:type="dxa"/>
            <w:vAlign w:val="center"/>
          </w:tcPr>
          <w:p>
            <w:pPr>
              <w:pStyle w:val="89"/>
            </w:pPr>
            <w:r>
              <w:t>0.0081</w:t>
            </w:r>
          </w:p>
        </w:tc>
        <w:tc>
          <w:tcPr>
            <w:tcW w:w="1248" w:type="dxa"/>
            <w:vAlign w:val="center"/>
          </w:tcPr>
          <w:p>
            <w:pPr>
              <w:pStyle w:val="89"/>
            </w:pPr>
            <w:r>
              <w:t>0.0018</w:t>
            </w:r>
          </w:p>
        </w:tc>
        <w:tc>
          <w:tcPr>
            <w:tcW w:w="1248" w:type="dxa"/>
            <w:vAlign w:val="center"/>
          </w:tcPr>
          <w:p>
            <w:pPr>
              <w:pStyle w:val="89"/>
            </w:pPr>
            <w:r>
              <w:t>0.0016</w:t>
            </w:r>
          </w:p>
        </w:tc>
        <w:tc>
          <w:tcPr>
            <w:tcW w:w="1248" w:type="dxa"/>
            <w:vAlign w:val="center"/>
          </w:tcPr>
          <w:p>
            <w:pPr>
              <w:pStyle w:val="89"/>
            </w:pPr>
            <w:r>
              <w:t>0.0003</w:t>
            </w:r>
          </w:p>
        </w:tc>
        <w:tc>
          <w:tcPr>
            <w:tcW w:w="1248" w:type="dxa"/>
            <w:vAlign w:val="center"/>
          </w:tcPr>
          <w:p>
            <w:pPr>
              <w:pStyle w:val="89"/>
            </w:pPr>
            <w:r>
              <w:t>0.0815</w:t>
            </w:r>
          </w:p>
        </w:tc>
        <w:tc>
          <w:tcPr>
            <w:tcW w:w="1248" w:type="dxa"/>
            <w:vAlign w:val="center"/>
          </w:tcPr>
          <w:p>
            <w:pPr>
              <w:pStyle w:val="89"/>
            </w:pPr>
            <w:r>
              <w:t>0.0326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800</w:t>
            </w:r>
          </w:p>
        </w:tc>
        <w:tc>
          <w:tcPr>
            <w:tcW w:w="1251" w:type="dxa"/>
            <w:vAlign w:val="center"/>
          </w:tcPr>
          <w:p>
            <w:pPr>
              <w:pStyle w:val="89"/>
            </w:pPr>
            <w:r>
              <w:t>0.0443</w:t>
            </w:r>
          </w:p>
        </w:tc>
        <w:tc>
          <w:tcPr>
            <w:tcW w:w="1376" w:type="dxa"/>
            <w:vAlign w:val="center"/>
          </w:tcPr>
          <w:p>
            <w:pPr>
              <w:pStyle w:val="89"/>
            </w:pPr>
            <w:r>
              <w:t>0.0222</w:t>
            </w:r>
          </w:p>
        </w:tc>
        <w:tc>
          <w:tcPr>
            <w:tcW w:w="1365" w:type="dxa"/>
            <w:vAlign w:val="center"/>
          </w:tcPr>
          <w:p>
            <w:pPr>
              <w:pStyle w:val="89"/>
            </w:pPr>
            <w:r>
              <w:t>0.0015</w:t>
            </w:r>
          </w:p>
        </w:tc>
        <w:tc>
          <w:tcPr>
            <w:tcW w:w="1251" w:type="dxa"/>
            <w:vAlign w:val="center"/>
          </w:tcPr>
          <w:p>
            <w:pPr>
              <w:pStyle w:val="89"/>
            </w:pPr>
            <w:r>
              <w:t>0.0148</w:t>
            </w:r>
          </w:p>
        </w:tc>
        <w:tc>
          <w:tcPr>
            <w:tcW w:w="1248" w:type="dxa"/>
            <w:vAlign w:val="center"/>
          </w:tcPr>
          <w:p>
            <w:pPr>
              <w:pStyle w:val="89"/>
            </w:pPr>
            <w:r>
              <w:t>0.0054</w:t>
            </w:r>
          </w:p>
        </w:tc>
        <w:tc>
          <w:tcPr>
            <w:tcW w:w="1248" w:type="dxa"/>
            <w:vAlign w:val="center"/>
          </w:tcPr>
          <w:p>
            <w:pPr>
              <w:pStyle w:val="89"/>
            </w:pPr>
            <w:r>
              <w:t>0.0012</w:t>
            </w:r>
          </w:p>
        </w:tc>
        <w:tc>
          <w:tcPr>
            <w:tcW w:w="1248" w:type="dxa"/>
            <w:vAlign w:val="center"/>
          </w:tcPr>
          <w:p>
            <w:pPr>
              <w:pStyle w:val="89"/>
            </w:pPr>
            <w:r>
              <w:t>0.0011</w:t>
            </w:r>
          </w:p>
        </w:tc>
        <w:tc>
          <w:tcPr>
            <w:tcW w:w="1248" w:type="dxa"/>
            <w:vAlign w:val="center"/>
          </w:tcPr>
          <w:p>
            <w:pPr>
              <w:pStyle w:val="89"/>
            </w:pPr>
            <w:r>
              <w:t>0.0002</w:t>
            </w:r>
          </w:p>
        </w:tc>
        <w:tc>
          <w:tcPr>
            <w:tcW w:w="1248" w:type="dxa"/>
            <w:vAlign w:val="center"/>
          </w:tcPr>
          <w:p>
            <w:pPr>
              <w:pStyle w:val="89"/>
            </w:pPr>
            <w:r>
              <w:t>0.0541</w:t>
            </w:r>
          </w:p>
        </w:tc>
        <w:tc>
          <w:tcPr>
            <w:tcW w:w="1248" w:type="dxa"/>
            <w:vAlign w:val="center"/>
          </w:tcPr>
          <w:p>
            <w:pPr>
              <w:pStyle w:val="89"/>
            </w:pPr>
            <w:r>
              <w:t>0.0216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900</w:t>
            </w:r>
          </w:p>
        </w:tc>
        <w:tc>
          <w:tcPr>
            <w:tcW w:w="1251" w:type="dxa"/>
            <w:vAlign w:val="center"/>
          </w:tcPr>
          <w:p>
            <w:pPr>
              <w:pStyle w:val="89"/>
            </w:pPr>
            <w:r>
              <w:t>0.0408</w:t>
            </w:r>
          </w:p>
        </w:tc>
        <w:tc>
          <w:tcPr>
            <w:tcW w:w="1376" w:type="dxa"/>
            <w:vAlign w:val="center"/>
          </w:tcPr>
          <w:p>
            <w:pPr>
              <w:pStyle w:val="89"/>
            </w:pPr>
            <w:r>
              <w:t>0.0204</w:t>
            </w:r>
          </w:p>
        </w:tc>
        <w:tc>
          <w:tcPr>
            <w:tcW w:w="1365" w:type="dxa"/>
            <w:vAlign w:val="center"/>
          </w:tcPr>
          <w:p>
            <w:pPr>
              <w:pStyle w:val="89"/>
            </w:pPr>
            <w:r>
              <w:t>0.0014</w:t>
            </w:r>
          </w:p>
        </w:tc>
        <w:tc>
          <w:tcPr>
            <w:tcW w:w="1251" w:type="dxa"/>
            <w:vAlign w:val="center"/>
          </w:tcPr>
          <w:p>
            <w:pPr>
              <w:pStyle w:val="89"/>
            </w:pPr>
            <w:r>
              <w:t>0.0136</w:t>
            </w:r>
          </w:p>
        </w:tc>
        <w:tc>
          <w:tcPr>
            <w:tcW w:w="1248" w:type="dxa"/>
            <w:vAlign w:val="center"/>
          </w:tcPr>
          <w:p>
            <w:pPr>
              <w:pStyle w:val="89"/>
            </w:pPr>
            <w:r>
              <w:t>0.0064</w:t>
            </w:r>
          </w:p>
        </w:tc>
        <w:tc>
          <w:tcPr>
            <w:tcW w:w="1248" w:type="dxa"/>
            <w:vAlign w:val="center"/>
          </w:tcPr>
          <w:p>
            <w:pPr>
              <w:pStyle w:val="89"/>
            </w:pPr>
            <w:r>
              <w:t>0.0014</w:t>
            </w:r>
          </w:p>
        </w:tc>
        <w:tc>
          <w:tcPr>
            <w:tcW w:w="1248" w:type="dxa"/>
            <w:vAlign w:val="center"/>
          </w:tcPr>
          <w:p>
            <w:pPr>
              <w:pStyle w:val="89"/>
            </w:pPr>
            <w:r>
              <w:t>0.0013</w:t>
            </w:r>
          </w:p>
        </w:tc>
        <w:tc>
          <w:tcPr>
            <w:tcW w:w="1248" w:type="dxa"/>
            <w:vAlign w:val="center"/>
          </w:tcPr>
          <w:p>
            <w:pPr>
              <w:pStyle w:val="89"/>
            </w:pPr>
            <w:r>
              <w:t>0.0003</w:t>
            </w:r>
          </w:p>
        </w:tc>
        <w:tc>
          <w:tcPr>
            <w:tcW w:w="1248" w:type="dxa"/>
            <w:vAlign w:val="center"/>
          </w:tcPr>
          <w:p>
            <w:pPr>
              <w:pStyle w:val="89"/>
            </w:pPr>
            <w:r>
              <w:t>0.0639</w:t>
            </w:r>
          </w:p>
        </w:tc>
        <w:tc>
          <w:tcPr>
            <w:tcW w:w="1248" w:type="dxa"/>
            <w:vAlign w:val="center"/>
          </w:tcPr>
          <w:p>
            <w:pPr>
              <w:pStyle w:val="89"/>
            </w:pPr>
            <w:r>
              <w:t>0.0256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1000</w:t>
            </w:r>
          </w:p>
        </w:tc>
        <w:tc>
          <w:tcPr>
            <w:tcW w:w="1251" w:type="dxa"/>
            <w:vAlign w:val="center"/>
          </w:tcPr>
          <w:p>
            <w:pPr>
              <w:pStyle w:val="89"/>
            </w:pPr>
            <w:r>
              <w:t>0.0378</w:t>
            </w:r>
          </w:p>
        </w:tc>
        <w:tc>
          <w:tcPr>
            <w:tcW w:w="1376" w:type="dxa"/>
            <w:vAlign w:val="center"/>
          </w:tcPr>
          <w:p>
            <w:pPr>
              <w:pStyle w:val="89"/>
            </w:pPr>
            <w:r>
              <w:t>0.0189</w:t>
            </w:r>
          </w:p>
        </w:tc>
        <w:tc>
          <w:tcPr>
            <w:tcW w:w="1365" w:type="dxa"/>
            <w:vAlign w:val="center"/>
          </w:tcPr>
          <w:p>
            <w:pPr>
              <w:pStyle w:val="89"/>
            </w:pPr>
            <w:r>
              <w:t>0.0013</w:t>
            </w:r>
          </w:p>
        </w:tc>
        <w:tc>
          <w:tcPr>
            <w:tcW w:w="1251" w:type="dxa"/>
            <w:vAlign w:val="center"/>
          </w:tcPr>
          <w:p>
            <w:pPr>
              <w:pStyle w:val="89"/>
            </w:pPr>
            <w:r>
              <w:t>0.0126</w:t>
            </w:r>
          </w:p>
        </w:tc>
        <w:tc>
          <w:tcPr>
            <w:tcW w:w="1248" w:type="dxa"/>
            <w:vAlign w:val="center"/>
          </w:tcPr>
          <w:p>
            <w:pPr>
              <w:pStyle w:val="89"/>
            </w:pPr>
            <w:r>
              <w:t>0.0056</w:t>
            </w:r>
          </w:p>
        </w:tc>
        <w:tc>
          <w:tcPr>
            <w:tcW w:w="1248" w:type="dxa"/>
            <w:vAlign w:val="center"/>
          </w:tcPr>
          <w:p>
            <w:pPr>
              <w:pStyle w:val="89"/>
            </w:pPr>
            <w:r>
              <w:t>0.0012</w:t>
            </w:r>
          </w:p>
        </w:tc>
        <w:tc>
          <w:tcPr>
            <w:tcW w:w="1248" w:type="dxa"/>
            <w:vAlign w:val="center"/>
          </w:tcPr>
          <w:p>
            <w:pPr>
              <w:pStyle w:val="89"/>
            </w:pPr>
            <w:r>
              <w:t>0.0011</w:t>
            </w:r>
          </w:p>
        </w:tc>
        <w:tc>
          <w:tcPr>
            <w:tcW w:w="1248" w:type="dxa"/>
            <w:vAlign w:val="center"/>
          </w:tcPr>
          <w:p>
            <w:pPr>
              <w:pStyle w:val="89"/>
            </w:pPr>
            <w:r>
              <w:t>0.0002</w:t>
            </w:r>
          </w:p>
        </w:tc>
        <w:tc>
          <w:tcPr>
            <w:tcW w:w="1248" w:type="dxa"/>
            <w:vAlign w:val="center"/>
          </w:tcPr>
          <w:p>
            <w:pPr>
              <w:pStyle w:val="89"/>
            </w:pPr>
            <w:r>
              <w:t>0.0561</w:t>
            </w:r>
          </w:p>
        </w:tc>
        <w:tc>
          <w:tcPr>
            <w:tcW w:w="1248" w:type="dxa"/>
            <w:vAlign w:val="center"/>
          </w:tcPr>
          <w:p>
            <w:pPr>
              <w:pStyle w:val="89"/>
            </w:pPr>
            <w:r>
              <w:t>0.0224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1200</w:t>
            </w:r>
          </w:p>
        </w:tc>
        <w:tc>
          <w:tcPr>
            <w:tcW w:w="1251" w:type="dxa"/>
            <w:vAlign w:val="center"/>
          </w:tcPr>
          <w:p>
            <w:pPr>
              <w:pStyle w:val="89"/>
            </w:pPr>
            <w:r>
              <w:t>0.0331</w:t>
            </w:r>
          </w:p>
        </w:tc>
        <w:tc>
          <w:tcPr>
            <w:tcW w:w="1376" w:type="dxa"/>
            <w:vAlign w:val="center"/>
          </w:tcPr>
          <w:p>
            <w:pPr>
              <w:pStyle w:val="89"/>
            </w:pPr>
            <w:r>
              <w:t>0.0166</w:t>
            </w:r>
          </w:p>
        </w:tc>
        <w:tc>
          <w:tcPr>
            <w:tcW w:w="1365" w:type="dxa"/>
            <w:vAlign w:val="center"/>
          </w:tcPr>
          <w:p>
            <w:pPr>
              <w:pStyle w:val="89"/>
            </w:pPr>
            <w:r>
              <w:t>0.0011</w:t>
            </w:r>
          </w:p>
        </w:tc>
        <w:tc>
          <w:tcPr>
            <w:tcW w:w="1251" w:type="dxa"/>
            <w:vAlign w:val="center"/>
          </w:tcPr>
          <w:p>
            <w:pPr>
              <w:pStyle w:val="89"/>
            </w:pPr>
            <w:r>
              <w:t>0.0110</w:t>
            </w:r>
          </w:p>
        </w:tc>
        <w:tc>
          <w:tcPr>
            <w:tcW w:w="1248" w:type="dxa"/>
            <w:vAlign w:val="center"/>
          </w:tcPr>
          <w:p>
            <w:pPr>
              <w:pStyle w:val="89"/>
            </w:pPr>
            <w:r>
              <w:t>0.0055</w:t>
            </w:r>
          </w:p>
        </w:tc>
        <w:tc>
          <w:tcPr>
            <w:tcW w:w="1248" w:type="dxa"/>
            <w:vAlign w:val="center"/>
          </w:tcPr>
          <w:p>
            <w:pPr>
              <w:pStyle w:val="89"/>
            </w:pPr>
            <w:r>
              <w:t>0.0012</w:t>
            </w:r>
          </w:p>
        </w:tc>
        <w:tc>
          <w:tcPr>
            <w:tcW w:w="1248" w:type="dxa"/>
            <w:vAlign w:val="center"/>
          </w:tcPr>
          <w:p>
            <w:pPr>
              <w:pStyle w:val="89"/>
            </w:pPr>
            <w:r>
              <w:t>0.0011</w:t>
            </w:r>
          </w:p>
        </w:tc>
        <w:tc>
          <w:tcPr>
            <w:tcW w:w="1248" w:type="dxa"/>
            <w:vAlign w:val="center"/>
          </w:tcPr>
          <w:p>
            <w:pPr>
              <w:pStyle w:val="89"/>
            </w:pPr>
            <w:r>
              <w:t>0.0002</w:t>
            </w:r>
          </w:p>
        </w:tc>
        <w:tc>
          <w:tcPr>
            <w:tcW w:w="1248" w:type="dxa"/>
            <w:vAlign w:val="center"/>
          </w:tcPr>
          <w:p>
            <w:pPr>
              <w:pStyle w:val="89"/>
            </w:pPr>
            <w:r>
              <w:t>0.0553</w:t>
            </w:r>
          </w:p>
        </w:tc>
        <w:tc>
          <w:tcPr>
            <w:tcW w:w="1248" w:type="dxa"/>
            <w:vAlign w:val="center"/>
          </w:tcPr>
          <w:p>
            <w:pPr>
              <w:pStyle w:val="89"/>
            </w:pPr>
            <w:r>
              <w:t>0.0221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1400</w:t>
            </w:r>
          </w:p>
        </w:tc>
        <w:tc>
          <w:tcPr>
            <w:tcW w:w="1251" w:type="dxa"/>
            <w:vAlign w:val="center"/>
          </w:tcPr>
          <w:p>
            <w:pPr>
              <w:pStyle w:val="89"/>
            </w:pPr>
            <w:r>
              <w:t>0.0293</w:t>
            </w:r>
          </w:p>
        </w:tc>
        <w:tc>
          <w:tcPr>
            <w:tcW w:w="1376" w:type="dxa"/>
            <w:vAlign w:val="center"/>
          </w:tcPr>
          <w:p>
            <w:pPr>
              <w:pStyle w:val="89"/>
            </w:pPr>
            <w:r>
              <w:t>0.0146</w:t>
            </w:r>
          </w:p>
        </w:tc>
        <w:tc>
          <w:tcPr>
            <w:tcW w:w="1365" w:type="dxa"/>
            <w:vAlign w:val="center"/>
          </w:tcPr>
          <w:p>
            <w:pPr>
              <w:pStyle w:val="89"/>
            </w:pPr>
            <w:r>
              <w:t>0.0010</w:t>
            </w:r>
          </w:p>
        </w:tc>
        <w:tc>
          <w:tcPr>
            <w:tcW w:w="1251" w:type="dxa"/>
            <w:vAlign w:val="center"/>
          </w:tcPr>
          <w:p>
            <w:pPr>
              <w:pStyle w:val="89"/>
            </w:pPr>
            <w:r>
              <w:t>0.0098</w:t>
            </w:r>
          </w:p>
        </w:tc>
        <w:tc>
          <w:tcPr>
            <w:tcW w:w="1248" w:type="dxa"/>
            <w:vAlign w:val="center"/>
          </w:tcPr>
          <w:p>
            <w:pPr>
              <w:pStyle w:val="89"/>
            </w:pPr>
            <w:r>
              <w:t>0.0048</w:t>
            </w:r>
          </w:p>
        </w:tc>
        <w:tc>
          <w:tcPr>
            <w:tcW w:w="1248" w:type="dxa"/>
            <w:vAlign w:val="center"/>
          </w:tcPr>
          <w:p>
            <w:pPr>
              <w:pStyle w:val="89"/>
            </w:pPr>
            <w:r>
              <w:t>0.0011</w:t>
            </w:r>
          </w:p>
        </w:tc>
        <w:tc>
          <w:tcPr>
            <w:tcW w:w="1248" w:type="dxa"/>
            <w:vAlign w:val="center"/>
          </w:tcPr>
          <w:p>
            <w:pPr>
              <w:pStyle w:val="89"/>
            </w:pPr>
            <w:r>
              <w:t>0.0010</w:t>
            </w:r>
          </w:p>
        </w:tc>
        <w:tc>
          <w:tcPr>
            <w:tcW w:w="1248" w:type="dxa"/>
            <w:vAlign w:val="center"/>
          </w:tcPr>
          <w:p>
            <w:pPr>
              <w:pStyle w:val="89"/>
            </w:pPr>
            <w:r>
              <w:t>0.0002</w:t>
            </w:r>
          </w:p>
        </w:tc>
        <w:tc>
          <w:tcPr>
            <w:tcW w:w="1248" w:type="dxa"/>
            <w:vAlign w:val="center"/>
          </w:tcPr>
          <w:p>
            <w:pPr>
              <w:pStyle w:val="89"/>
            </w:pPr>
            <w:r>
              <w:t>0.0478</w:t>
            </w:r>
          </w:p>
        </w:tc>
        <w:tc>
          <w:tcPr>
            <w:tcW w:w="1248" w:type="dxa"/>
            <w:vAlign w:val="center"/>
          </w:tcPr>
          <w:p>
            <w:pPr>
              <w:pStyle w:val="89"/>
            </w:pPr>
            <w:r>
              <w:t>0.0191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1600</w:t>
            </w:r>
          </w:p>
        </w:tc>
        <w:tc>
          <w:tcPr>
            <w:tcW w:w="1251" w:type="dxa"/>
            <w:vAlign w:val="center"/>
          </w:tcPr>
          <w:p>
            <w:pPr>
              <w:pStyle w:val="89"/>
            </w:pPr>
            <w:r>
              <w:t>0.0262</w:t>
            </w:r>
          </w:p>
        </w:tc>
        <w:tc>
          <w:tcPr>
            <w:tcW w:w="1376" w:type="dxa"/>
            <w:vAlign w:val="center"/>
          </w:tcPr>
          <w:p>
            <w:pPr>
              <w:pStyle w:val="89"/>
            </w:pPr>
            <w:r>
              <w:t>0.0131</w:t>
            </w:r>
          </w:p>
        </w:tc>
        <w:tc>
          <w:tcPr>
            <w:tcW w:w="1365" w:type="dxa"/>
            <w:vAlign w:val="center"/>
          </w:tcPr>
          <w:p>
            <w:pPr>
              <w:pStyle w:val="89"/>
            </w:pPr>
            <w:r>
              <w:t>0.0009</w:t>
            </w:r>
          </w:p>
        </w:tc>
        <w:tc>
          <w:tcPr>
            <w:tcW w:w="1251" w:type="dxa"/>
            <w:vAlign w:val="center"/>
          </w:tcPr>
          <w:p>
            <w:pPr>
              <w:pStyle w:val="89"/>
            </w:pPr>
            <w:r>
              <w:t>0.0087</w:t>
            </w:r>
          </w:p>
        </w:tc>
        <w:tc>
          <w:tcPr>
            <w:tcW w:w="1248" w:type="dxa"/>
            <w:vAlign w:val="center"/>
          </w:tcPr>
          <w:p>
            <w:pPr>
              <w:pStyle w:val="89"/>
            </w:pPr>
            <w:r>
              <w:t>0.0035</w:t>
            </w:r>
          </w:p>
        </w:tc>
        <w:tc>
          <w:tcPr>
            <w:tcW w:w="1248" w:type="dxa"/>
            <w:vAlign w:val="center"/>
          </w:tcPr>
          <w:p>
            <w:pPr>
              <w:pStyle w:val="89"/>
            </w:pPr>
            <w:r>
              <w:t>0.0008</w:t>
            </w:r>
          </w:p>
        </w:tc>
        <w:tc>
          <w:tcPr>
            <w:tcW w:w="1248" w:type="dxa"/>
            <w:vAlign w:val="center"/>
          </w:tcPr>
          <w:p>
            <w:pPr>
              <w:pStyle w:val="89"/>
            </w:pPr>
            <w:r>
              <w:t>0.0007</w:t>
            </w:r>
          </w:p>
        </w:tc>
        <w:tc>
          <w:tcPr>
            <w:tcW w:w="1248" w:type="dxa"/>
            <w:vAlign w:val="center"/>
          </w:tcPr>
          <w:p>
            <w:pPr>
              <w:pStyle w:val="89"/>
            </w:pPr>
            <w:r>
              <w:t>0.0001</w:t>
            </w:r>
          </w:p>
        </w:tc>
        <w:tc>
          <w:tcPr>
            <w:tcW w:w="1248" w:type="dxa"/>
            <w:vAlign w:val="center"/>
          </w:tcPr>
          <w:p>
            <w:pPr>
              <w:pStyle w:val="89"/>
            </w:pPr>
            <w:r>
              <w:t>0.0347</w:t>
            </w:r>
          </w:p>
        </w:tc>
        <w:tc>
          <w:tcPr>
            <w:tcW w:w="1248" w:type="dxa"/>
            <w:vAlign w:val="center"/>
          </w:tcPr>
          <w:p>
            <w:pPr>
              <w:pStyle w:val="89"/>
            </w:pPr>
            <w:r>
              <w:t>0.0139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1800</w:t>
            </w:r>
          </w:p>
        </w:tc>
        <w:tc>
          <w:tcPr>
            <w:tcW w:w="1251" w:type="dxa"/>
            <w:vAlign w:val="center"/>
          </w:tcPr>
          <w:p>
            <w:pPr>
              <w:pStyle w:val="89"/>
            </w:pPr>
            <w:r>
              <w:t>0.0235</w:t>
            </w:r>
          </w:p>
        </w:tc>
        <w:tc>
          <w:tcPr>
            <w:tcW w:w="1376" w:type="dxa"/>
            <w:vAlign w:val="center"/>
          </w:tcPr>
          <w:p>
            <w:pPr>
              <w:pStyle w:val="89"/>
            </w:pPr>
            <w:r>
              <w:t>0.0118</w:t>
            </w:r>
          </w:p>
        </w:tc>
        <w:tc>
          <w:tcPr>
            <w:tcW w:w="1365" w:type="dxa"/>
            <w:vAlign w:val="center"/>
          </w:tcPr>
          <w:p>
            <w:pPr>
              <w:pStyle w:val="89"/>
            </w:pPr>
            <w:r>
              <w:t>0.0008</w:t>
            </w:r>
          </w:p>
        </w:tc>
        <w:tc>
          <w:tcPr>
            <w:tcW w:w="1251" w:type="dxa"/>
            <w:vAlign w:val="center"/>
          </w:tcPr>
          <w:p>
            <w:pPr>
              <w:pStyle w:val="89"/>
            </w:pPr>
            <w:r>
              <w:t>0.0078</w:t>
            </w:r>
          </w:p>
        </w:tc>
        <w:tc>
          <w:tcPr>
            <w:tcW w:w="1248" w:type="dxa"/>
            <w:vAlign w:val="center"/>
          </w:tcPr>
          <w:p>
            <w:pPr>
              <w:pStyle w:val="89"/>
            </w:pPr>
            <w:r>
              <w:t>0.0032</w:t>
            </w:r>
          </w:p>
        </w:tc>
        <w:tc>
          <w:tcPr>
            <w:tcW w:w="1248" w:type="dxa"/>
            <w:vAlign w:val="center"/>
          </w:tcPr>
          <w:p>
            <w:pPr>
              <w:pStyle w:val="89"/>
            </w:pPr>
            <w:r>
              <w:t>0.0007</w:t>
            </w:r>
          </w:p>
        </w:tc>
        <w:tc>
          <w:tcPr>
            <w:tcW w:w="1248" w:type="dxa"/>
            <w:vAlign w:val="center"/>
          </w:tcPr>
          <w:p>
            <w:pPr>
              <w:pStyle w:val="89"/>
            </w:pPr>
            <w:r>
              <w:t>0.0006</w:t>
            </w:r>
          </w:p>
        </w:tc>
        <w:tc>
          <w:tcPr>
            <w:tcW w:w="1248" w:type="dxa"/>
            <w:vAlign w:val="center"/>
          </w:tcPr>
          <w:p>
            <w:pPr>
              <w:pStyle w:val="89"/>
            </w:pPr>
            <w:r>
              <w:t>0.0001</w:t>
            </w:r>
          </w:p>
        </w:tc>
        <w:tc>
          <w:tcPr>
            <w:tcW w:w="1248" w:type="dxa"/>
            <w:vAlign w:val="center"/>
          </w:tcPr>
          <w:p>
            <w:pPr>
              <w:pStyle w:val="89"/>
            </w:pPr>
            <w:r>
              <w:t>0.0318</w:t>
            </w:r>
          </w:p>
        </w:tc>
        <w:tc>
          <w:tcPr>
            <w:tcW w:w="1248" w:type="dxa"/>
            <w:vAlign w:val="center"/>
          </w:tcPr>
          <w:p>
            <w:pPr>
              <w:pStyle w:val="89"/>
            </w:pPr>
            <w:r>
              <w:t>0.0127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2000</w:t>
            </w:r>
          </w:p>
        </w:tc>
        <w:tc>
          <w:tcPr>
            <w:tcW w:w="1251" w:type="dxa"/>
            <w:vAlign w:val="center"/>
          </w:tcPr>
          <w:p>
            <w:pPr>
              <w:pStyle w:val="89"/>
            </w:pPr>
            <w:r>
              <w:t>0.0213</w:t>
            </w:r>
          </w:p>
        </w:tc>
        <w:tc>
          <w:tcPr>
            <w:tcW w:w="1376" w:type="dxa"/>
            <w:vAlign w:val="center"/>
          </w:tcPr>
          <w:p>
            <w:pPr>
              <w:pStyle w:val="89"/>
            </w:pPr>
            <w:r>
              <w:t>0.0107</w:t>
            </w:r>
          </w:p>
        </w:tc>
        <w:tc>
          <w:tcPr>
            <w:tcW w:w="1365" w:type="dxa"/>
            <w:vAlign w:val="center"/>
          </w:tcPr>
          <w:p>
            <w:pPr>
              <w:pStyle w:val="89"/>
            </w:pPr>
            <w:r>
              <w:t>0.0007</w:t>
            </w:r>
          </w:p>
        </w:tc>
        <w:tc>
          <w:tcPr>
            <w:tcW w:w="1251" w:type="dxa"/>
            <w:vAlign w:val="center"/>
          </w:tcPr>
          <w:p>
            <w:pPr>
              <w:pStyle w:val="89"/>
            </w:pPr>
            <w:r>
              <w:t>0.0071</w:t>
            </w:r>
          </w:p>
        </w:tc>
        <w:tc>
          <w:tcPr>
            <w:tcW w:w="1248" w:type="dxa"/>
            <w:vAlign w:val="center"/>
          </w:tcPr>
          <w:p>
            <w:pPr>
              <w:pStyle w:val="89"/>
            </w:pPr>
            <w:r>
              <w:t>0.0037</w:t>
            </w:r>
          </w:p>
        </w:tc>
        <w:tc>
          <w:tcPr>
            <w:tcW w:w="1248" w:type="dxa"/>
            <w:vAlign w:val="center"/>
          </w:tcPr>
          <w:p>
            <w:pPr>
              <w:pStyle w:val="89"/>
            </w:pPr>
            <w:r>
              <w:t>0.0008</w:t>
            </w:r>
          </w:p>
        </w:tc>
        <w:tc>
          <w:tcPr>
            <w:tcW w:w="1248" w:type="dxa"/>
            <w:vAlign w:val="center"/>
          </w:tcPr>
          <w:p>
            <w:pPr>
              <w:pStyle w:val="89"/>
            </w:pPr>
            <w:r>
              <w:t>0.0007</w:t>
            </w:r>
          </w:p>
        </w:tc>
        <w:tc>
          <w:tcPr>
            <w:tcW w:w="1248" w:type="dxa"/>
            <w:vAlign w:val="center"/>
          </w:tcPr>
          <w:p>
            <w:pPr>
              <w:pStyle w:val="89"/>
            </w:pPr>
            <w:r>
              <w:t>0.0001</w:t>
            </w:r>
          </w:p>
        </w:tc>
        <w:tc>
          <w:tcPr>
            <w:tcW w:w="1248" w:type="dxa"/>
            <w:vAlign w:val="center"/>
          </w:tcPr>
          <w:p>
            <w:pPr>
              <w:pStyle w:val="89"/>
            </w:pPr>
            <w:r>
              <w:t>0.0374</w:t>
            </w:r>
          </w:p>
        </w:tc>
        <w:tc>
          <w:tcPr>
            <w:tcW w:w="1248" w:type="dxa"/>
            <w:vAlign w:val="center"/>
          </w:tcPr>
          <w:p>
            <w:pPr>
              <w:pStyle w:val="89"/>
            </w:pPr>
            <w:r>
              <w:t>0.0150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2500</w:t>
            </w:r>
          </w:p>
        </w:tc>
        <w:tc>
          <w:tcPr>
            <w:tcW w:w="1251" w:type="dxa"/>
            <w:vAlign w:val="center"/>
          </w:tcPr>
          <w:p>
            <w:pPr>
              <w:pStyle w:val="89"/>
            </w:pPr>
            <w:r>
              <w:t>0.0171</w:t>
            </w:r>
          </w:p>
        </w:tc>
        <w:tc>
          <w:tcPr>
            <w:tcW w:w="1376" w:type="dxa"/>
            <w:vAlign w:val="center"/>
          </w:tcPr>
          <w:p>
            <w:pPr>
              <w:pStyle w:val="89"/>
            </w:pPr>
            <w:r>
              <w:t>0.0086</w:t>
            </w:r>
          </w:p>
        </w:tc>
        <w:tc>
          <w:tcPr>
            <w:tcW w:w="1365" w:type="dxa"/>
            <w:vAlign w:val="center"/>
          </w:tcPr>
          <w:p>
            <w:pPr>
              <w:pStyle w:val="89"/>
            </w:pPr>
            <w:r>
              <w:t>0.0006</w:t>
            </w:r>
          </w:p>
        </w:tc>
        <w:tc>
          <w:tcPr>
            <w:tcW w:w="1251" w:type="dxa"/>
            <w:vAlign w:val="center"/>
          </w:tcPr>
          <w:p>
            <w:pPr>
              <w:pStyle w:val="89"/>
            </w:pPr>
            <w:r>
              <w:t>0.0057</w:t>
            </w:r>
          </w:p>
        </w:tc>
        <w:tc>
          <w:tcPr>
            <w:tcW w:w="1248" w:type="dxa"/>
            <w:vAlign w:val="center"/>
          </w:tcPr>
          <w:p>
            <w:pPr>
              <w:pStyle w:val="89"/>
            </w:pPr>
            <w:r>
              <w:t>0.0023</w:t>
            </w:r>
          </w:p>
        </w:tc>
        <w:tc>
          <w:tcPr>
            <w:tcW w:w="1248" w:type="dxa"/>
            <w:vAlign w:val="center"/>
          </w:tcPr>
          <w:p>
            <w:pPr>
              <w:pStyle w:val="89"/>
            </w:pPr>
            <w:r>
              <w:t>0.0005</w:t>
            </w:r>
          </w:p>
        </w:tc>
        <w:tc>
          <w:tcPr>
            <w:tcW w:w="1248" w:type="dxa"/>
            <w:vAlign w:val="center"/>
          </w:tcPr>
          <w:p>
            <w:pPr>
              <w:pStyle w:val="89"/>
            </w:pPr>
            <w:r>
              <w:t>0.0005</w:t>
            </w:r>
          </w:p>
        </w:tc>
        <w:tc>
          <w:tcPr>
            <w:tcW w:w="1248" w:type="dxa"/>
            <w:vAlign w:val="center"/>
          </w:tcPr>
          <w:p>
            <w:pPr>
              <w:pStyle w:val="89"/>
            </w:pPr>
            <w:r>
              <w:t>0.0001</w:t>
            </w:r>
          </w:p>
        </w:tc>
        <w:tc>
          <w:tcPr>
            <w:tcW w:w="1248" w:type="dxa"/>
            <w:vAlign w:val="center"/>
          </w:tcPr>
          <w:p>
            <w:pPr>
              <w:pStyle w:val="89"/>
            </w:pPr>
            <w:r>
              <w:t>0.0229</w:t>
            </w:r>
          </w:p>
        </w:tc>
        <w:tc>
          <w:tcPr>
            <w:tcW w:w="1248" w:type="dxa"/>
            <w:vAlign w:val="center"/>
          </w:tcPr>
          <w:p>
            <w:pPr>
              <w:pStyle w:val="89"/>
            </w:pPr>
            <w:r>
              <w:t>0.0092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3000</w:t>
            </w:r>
          </w:p>
        </w:tc>
        <w:tc>
          <w:tcPr>
            <w:tcW w:w="1251" w:type="dxa"/>
            <w:vAlign w:val="center"/>
          </w:tcPr>
          <w:p>
            <w:pPr>
              <w:pStyle w:val="89"/>
            </w:pPr>
            <w:r>
              <w:t>0.0142</w:t>
            </w:r>
          </w:p>
        </w:tc>
        <w:tc>
          <w:tcPr>
            <w:tcW w:w="1376" w:type="dxa"/>
            <w:vAlign w:val="center"/>
          </w:tcPr>
          <w:p>
            <w:pPr>
              <w:pStyle w:val="89"/>
            </w:pPr>
            <w:r>
              <w:t>0.0071</w:t>
            </w:r>
          </w:p>
        </w:tc>
        <w:tc>
          <w:tcPr>
            <w:tcW w:w="1365" w:type="dxa"/>
            <w:vAlign w:val="center"/>
          </w:tcPr>
          <w:p>
            <w:pPr>
              <w:pStyle w:val="89"/>
            </w:pPr>
            <w:r>
              <w:t>0.0005</w:t>
            </w:r>
          </w:p>
        </w:tc>
        <w:tc>
          <w:tcPr>
            <w:tcW w:w="1251" w:type="dxa"/>
            <w:vAlign w:val="center"/>
          </w:tcPr>
          <w:p>
            <w:pPr>
              <w:pStyle w:val="89"/>
            </w:pPr>
            <w:r>
              <w:t>0.0047</w:t>
            </w:r>
          </w:p>
        </w:tc>
        <w:tc>
          <w:tcPr>
            <w:tcW w:w="1248" w:type="dxa"/>
            <w:vAlign w:val="center"/>
          </w:tcPr>
          <w:p>
            <w:pPr>
              <w:pStyle w:val="89"/>
            </w:pPr>
            <w:r>
              <w:t>0.0006</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0.0055</w:t>
            </w:r>
          </w:p>
        </w:tc>
        <w:tc>
          <w:tcPr>
            <w:tcW w:w="1248" w:type="dxa"/>
            <w:vAlign w:val="center"/>
          </w:tcPr>
          <w:p>
            <w:pPr>
              <w:pStyle w:val="89"/>
            </w:pPr>
            <w:r>
              <w:t>0.0022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3500</w:t>
            </w:r>
          </w:p>
        </w:tc>
        <w:tc>
          <w:tcPr>
            <w:tcW w:w="1251" w:type="dxa"/>
            <w:vAlign w:val="center"/>
          </w:tcPr>
          <w:p>
            <w:pPr>
              <w:pStyle w:val="89"/>
            </w:pPr>
            <w:r>
              <w:t>0.0120</w:t>
            </w:r>
          </w:p>
        </w:tc>
        <w:tc>
          <w:tcPr>
            <w:tcW w:w="1376" w:type="dxa"/>
            <w:vAlign w:val="center"/>
          </w:tcPr>
          <w:p>
            <w:pPr>
              <w:pStyle w:val="89"/>
            </w:pPr>
            <w:r>
              <w:t>0.0060</w:t>
            </w:r>
          </w:p>
        </w:tc>
        <w:tc>
          <w:tcPr>
            <w:tcW w:w="1365" w:type="dxa"/>
            <w:vAlign w:val="center"/>
          </w:tcPr>
          <w:p>
            <w:pPr>
              <w:pStyle w:val="89"/>
            </w:pPr>
            <w:r>
              <w:t>0.0004</w:t>
            </w:r>
          </w:p>
        </w:tc>
        <w:tc>
          <w:tcPr>
            <w:tcW w:w="1251" w:type="dxa"/>
            <w:vAlign w:val="center"/>
          </w:tcPr>
          <w:p>
            <w:pPr>
              <w:pStyle w:val="89"/>
            </w:pPr>
            <w:r>
              <w:t>0.0040</w:t>
            </w:r>
          </w:p>
        </w:tc>
        <w:tc>
          <w:tcPr>
            <w:tcW w:w="1248" w:type="dxa"/>
            <w:vAlign w:val="center"/>
          </w:tcPr>
          <w:p>
            <w:pPr>
              <w:pStyle w:val="89"/>
            </w:pPr>
            <w:r>
              <w:t>0.0006</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0.0063</w:t>
            </w:r>
          </w:p>
        </w:tc>
        <w:tc>
          <w:tcPr>
            <w:tcW w:w="1248" w:type="dxa"/>
            <w:vAlign w:val="center"/>
          </w:tcPr>
          <w:p>
            <w:pPr>
              <w:pStyle w:val="89"/>
            </w:pPr>
            <w:r>
              <w:t>0.0025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4000</w:t>
            </w:r>
          </w:p>
        </w:tc>
        <w:tc>
          <w:tcPr>
            <w:tcW w:w="1251" w:type="dxa"/>
            <w:vAlign w:val="center"/>
          </w:tcPr>
          <w:p>
            <w:pPr>
              <w:pStyle w:val="89"/>
            </w:pPr>
            <w:r>
              <w:t>0.0104</w:t>
            </w:r>
          </w:p>
        </w:tc>
        <w:tc>
          <w:tcPr>
            <w:tcW w:w="1376" w:type="dxa"/>
            <w:vAlign w:val="center"/>
          </w:tcPr>
          <w:p>
            <w:pPr>
              <w:pStyle w:val="89"/>
            </w:pPr>
            <w:r>
              <w:t>0.0052</w:t>
            </w:r>
          </w:p>
        </w:tc>
        <w:tc>
          <w:tcPr>
            <w:tcW w:w="1365" w:type="dxa"/>
            <w:vAlign w:val="center"/>
          </w:tcPr>
          <w:p>
            <w:pPr>
              <w:pStyle w:val="89"/>
            </w:pPr>
            <w:r>
              <w:t>0.0003</w:t>
            </w:r>
          </w:p>
        </w:tc>
        <w:tc>
          <w:tcPr>
            <w:tcW w:w="1251" w:type="dxa"/>
            <w:vAlign w:val="center"/>
          </w:tcPr>
          <w:p>
            <w:pPr>
              <w:pStyle w:val="89"/>
            </w:pPr>
            <w:r>
              <w:t>0.0035</w:t>
            </w:r>
          </w:p>
        </w:tc>
        <w:tc>
          <w:tcPr>
            <w:tcW w:w="1248" w:type="dxa"/>
            <w:vAlign w:val="center"/>
          </w:tcPr>
          <w:p>
            <w:pPr>
              <w:pStyle w:val="89"/>
            </w:pPr>
            <w:r>
              <w:t>0.0019</w:t>
            </w:r>
          </w:p>
        </w:tc>
        <w:tc>
          <w:tcPr>
            <w:tcW w:w="1248" w:type="dxa"/>
            <w:vAlign w:val="center"/>
          </w:tcPr>
          <w:p>
            <w:pPr>
              <w:pStyle w:val="89"/>
            </w:pPr>
            <w:r>
              <w:t>0.0004</w:t>
            </w:r>
          </w:p>
        </w:tc>
        <w:tc>
          <w:tcPr>
            <w:tcW w:w="1248" w:type="dxa"/>
            <w:vAlign w:val="center"/>
          </w:tcPr>
          <w:p>
            <w:pPr>
              <w:pStyle w:val="89"/>
            </w:pPr>
            <w:r>
              <w:t>0.0004</w:t>
            </w:r>
          </w:p>
        </w:tc>
        <w:tc>
          <w:tcPr>
            <w:tcW w:w="1248" w:type="dxa"/>
            <w:vAlign w:val="center"/>
          </w:tcPr>
          <w:p>
            <w:pPr>
              <w:pStyle w:val="89"/>
            </w:pPr>
            <w:r>
              <w:t>0.0001</w:t>
            </w:r>
          </w:p>
        </w:tc>
        <w:tc>
          <w:tcPr>
            <w:tcW w:w="1248" w:type="dxa"/>
            <w:vAlign w:val="center"/>
          </w:tcPr>
          <w:p>
            <w:pPr>
              <w:pStyle w:val="89"/>
            </w:pPr>
            <w:r>
              <w:t>0.0195</w:t>
            </w:r>
          </w:p>
        </w:tc>
        <w:tc>
          <w:tcPr>
            <w:tcW w:w="1248" w:type="dxa"/>
            <w:vAlign w:val="center"/>
          </w:tcPr>
          <w:p>
            <w:pPr>
              <w:pStyle w:val="89"/>
            </w:pPr>
            <w:r>
              <w:t>0.0078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4500</w:t>
            </w:r>
          </w:p>
        </w:tc>
        <w:tc>
          <w:tcPr>
            <w:tcW w:w="1251" w:type="dxa"/>
            <w:vAlign w:val="center"/>
          </w:tcPr>
          <w:p>
            <w:pPr>
              <w:pStyle w:val="89"/>
            </w:pPr>
            <w:r>
              <w:t>0.0091</w:t>
            </w:r>
          </w:p>
        </w:tc>
        <w:tc>
          <w:tcPr>
            <w:tcW w:w="1376" w:type="dxa"/>
            <w:vAlign w:val="center"/>
          </w:tcPr>
          <w:p>
            <w:pPr>
              <w:pStyle w:val="89"/>
            </w:pPr>
            <w:r>
              <w:t>0.0045</w:t>
            </w:r>
          </w:p>
        </w:tc>
        <w:tc>
          <w:tcPr>
            <w:tcW w:w="1365" w:type="dxa"/>
            <w:vAlign w:val="center"/>
          </w:tcPr>
          <w:p>
            <w:pPr>
              <w:pStyle w:val="89"/>
            </w:pPr>
            <w:r>
              <w:t>0.0003</w:t>
            </w:r>
          </w:p>
        </w:tc>
        <w:tc>
          <w:tcPr>
            <w:tcW w:w="1251" w:type="dxa"/>
            <w:vAlign w:val="center"/>
          </w:tcPr>
          <w:p>
            <w:pPr>
              <w:pStyle w:val="89"/>
            </w:pPr>
            <w:r>
              <w:t>0.0030</w:t>
            </w:r>
          </w:p>
        </w:tc>
        <w:tc>
          <w:tcPr>
            <w:tcW w:w="1248" w:type="dxa"/>
            <w:vAlign w:val="center"/>
          </w:tcPr>
          <w:p>
            <w:pPr>
              <w:pStyle w:val="89"/>
            </w:pPr>
            <w:r>
              <w:t>0.0005</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0.0047</w:t>
            </w:r>
          </w:p>
        </w:tc>
        <w:tc>
          <w:tcPr>
            <w:tcW w:w="1248" w:type="dxa"/>
            <w:vAlign w:val="center"/>
          </w:tcPr>
          <w:p>
            <w:pPr>
              <w:pStyle w:val="89"/>
            </w:pPr>
            <w:r>
              <w:t>0.0019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5000</w:t>
            </w:r>
          </w:p>
        </w:tc>
        <w:tc>
          <w:tcPr>
            <w:tcW w:w="1251" w:type="dxa"/>
            <w:vAlign w:val="center"/>
          </w:tcPr>
          <w:p>
            <w:pPr>
              <w:pStyle w:val="89"/>
            </w:pPr>
            <w:r>
              <w:t>0.0081</w:t>
            </w:r>
          </w:p>
        </w:tc>
        <w:tc>
          <w:tcPr>
            <w:tcW w:w="1376" w:type="dxa"/>
            <w:vAlign w:val="center"/>
          </w:tcPr>
          <w:p>
            <w:pPr>
              <w:pStyle w:val="89"/>
            </w:pPr>
            <w:r>
              <w:t>0.0040</w:t>
            </w:r>
          </w:p>
        </w:tc>
        <w:tc>
          <w:tcPr>
            <w:tcW w:w="1365" w:type="dxa"/>
            <w:vAlign w:val="center"/>
          </w:tcPr>
          <w:p>
            <w:pPr>
              <w:pStyle w:val="89"/>
            </w:pPr>
            <w:r>
              <w:t>0.0003</w:t>
            </w:r>
          </w:p>
        </w:tc>
        <w:tc>
          <w:tcPr>
            <w:tcW w:w="1251" w:type="dxa"/>
            <w:vAlign w:val="center"/>
          </w:tcPr>
          <w:p>
            <w:pPr>
              <w:pStyle w:val="89"/>
            </w:pPr>
            <w:r>
              <w:t>0.0027</w:t>
            </w:r>
          </w:p>
        </w:tc>
        <w:tc>
          <w:tcPr>
            <w:tcW w:w="1248" w:type="dxa"/>
            <w:vAlign w:val="center"/>
          </w:tcPr>
          <w:p>
            <w:pPr>
              <w:pStyle w:val="89"/>
            </w:pPr>
            <w:r>
              <w:t>0.0015</w:t>
            </w:r>
          </w:p>
        </w:tc>
        <w:tc>
          <w:tcPr>
            <w:tcW w:w="1248" w:type="dxa"/>
            <w:vAlign w:val="center"/>
          </w:tcPr>
          <w:p>
            <w:pPr>
              <w:pStyle w:val="89"/>
            </w:pPr>
            <w:r>
              <w:t>0.0003</w:t>
            </w:r>
          </w:p>
        </w:tc>
        <w:tc>
          <w:tcPr>
            <w:tcW w:w="1248" w:type="dxa"/>
            <w:vAlign w:val="center"/>
          </w:tcPr>
          <w:p>
            <w:pPr>
              <w:pStyle w:val="89"/>
            </w:pPr>
            <w:r>
              <w:t>0.0003</w:t>
            </w:r>
          </w:p>
        </w:tc>
        <w:tc>
          <w:tcPr>
            <w:tcW w:w="1248" w:type="dxa"/>
            <w:vAlign w:val="center"/>
          </w:tcPr>
          <w:p>
            <w:pPr>
              <w:pStyle w:val="89"/>
            </w:pPr>
            <w:r>
              <w:t>0.0001</w:t>
            </w:r>
          </w:p>
        </w:tc>
        <w:tc>
          <w:tcPr>
            <w:tcW w:w="1248" w:type="dxa"/>
            <w:vAlign w:val="center"/>
          </w:tcPr>
          <w:p>
            <w:pPr>
              <w:pStyle w:val="89"/>
            </w:pPr>
            <w:r>
              <w:t>0.0152</w:t>
            </w:r>
          </w:p>
        </w:tc>
        <w:tc>
          <w:tcPr>
            <w:tcW w:w="1248" w:type="dxa"/>
            <w:vAlign w:val="center"/>
          </w:tcPr>
          <w:p>
            <w:pPr>
              <w:pStyle w:val="89"/>
            </w:pPr>
            <w:r>
              <w:t>0.0061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10000</w:t>
            </w:r>
          </w:p>
        </w:tc>
        <w:tc>
          <w:tcPr>
            <w:tcW w:w="1251" w:type="dxa"/>
            <w:vAlign w:val="center"/>
          </w:tcPr>
          <w:p>
            <w:pPr>
              <w:pStyle w:val="89"/>
            </w:pPr>
            <w:r>
              <w:t>0.0035</w:t>
            </w:r>
          </w:p>
        </w:tc>
        <w:tc>
          <w:tcPr>
            <w:tcW w:w="1376" w:type="dxa"/>
            <w:vAlign w:val="center"/>
          </w:tcPr>
          <w:p>
            <w:pPr>
              <w:pStyle w:val="89"/>
            </w:pPr>
            <w:r>
              <w:t>0.0018</w:t>
            </w:r>
          </w:p>
        </w:tc>
        <w:tc>
          <w:tcPr>
            <w:tcW w:w="1365" w:type="dxa"/>
            <w:vAlign w:val="center"/>
          </w:tcPr>
          <w:p>
            <w:pPr>
              <w:pStyle w:val="89"/>
            </w:pPr>
            <w:r>
              <w:t>0.0001</w:t>
            </w:r>
          </w:p>
        </w:tc>
        <w:tc>
          <w:tcPr>
            <w:tcW w:w="1251" w:type="dxa"/>
            <w:vAlign w:val="center"/>
          </w:tcPr>
          <w:p>
            <w:pPr>
              <w:pStyle w:val="89"/>
            </w:pPr>
            <w:r>
              <w:t>0.0012</w:t>
            </w:r>
          </w:p>
        </w:tc>
        <w:tc>
          <w:tcPr>
            <w:tcW w:w="1248" w:type="dxa"/>
            <w:vAlign w:val="center"/>
          </w:tcPr>
          <w:p>
            <w:pPr>
              <w:pStyle w:val="89"/>
            </w:pPr>
            <w:r>
              <w:t>0.0007</w:t>
            </w:r>
          </w:p>
        </w:tc>
        <w:tc>
          <w:tcPr>
            <w:tcW w:w="1248" w:type="dxa"/>
            <w:vAlign w:val="center"/>
          </w:tcPr>
          <w:p>
            <w:pPr>
              <w:pStyle w:val="89"/>
            </w:pPr>
            <w:r>
              <w:t>0.0002</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0.0070</w:t>
            </w:r>
          </w:p>
        </w:tc>
        <w:tc>
          <w:tcPr>
            <w:tcW w:w="1248" w:type="dxa"/>
            <w:vAlign w:val="center"/>
          </w:tcPr>
          <w:p>
            <w:pPr>
              <w:pStyle w:val="89"/>
            </w:pPr>
            <w:r>
              <w:t>0.0028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11000</w:t>
            </w:r>
          </w:p>
        </w:tc>
        <w:tc>
          <w:tcPr>
            <w:tcW w:w="1251" w:type="dxa"/>
            <w:vAlign w:val="center"/>
          </w:tcPr>
          <w:p>
            <w:pPr>
              <w:pStyle w:val="89"/>
            </w:pPr>
            <w:r>
              <w:t>0.0031</w:t>
            </w:r>
          </w:p>
        </w:tc>
        <w:tc>
          <w:tcPr>
            <w:tcW w:w="1376" w:type="dxa"/>
            <w:vAlign w:val="center"/>
          </w:tcPr>
          <w:p>
            <w:pPr>
              <w:pStyle w:val="89"/>
            </w:pPr>
            <w:r>
              <w:t>0.0016</w:t>
            </w:r>
          </w:p>
        </w:tc>
        <w:tc>
          <w:tcPr>
            <w:tcW w:w="1365" w:type="dxa"/>
            <w:vAlign w:val="center"/>
          </w:tcPr>
          <w:p>
            <w:pPr>
              <w:pStyle w:val="89"/>
            </w:pPr>
            <w:r>
              <w:t>0.0001</w:t>
            </w:r>
          </w:p>
        </w:tc>
        <w:tc>
          <w:tcPr>
            <w:tcW w:w="1251" w:type="dxa"/>
            <w:vAlign w:val="center"/>
          </w:tcPr>
          <w:p>
            <w:pPr>
              <w:pStyle w:val="89"/>
            </w:pPr>
            <w:r>
              <w:t>0.0010</w:t>
            </w:r>
          </w:p>
        </w:tc>
        <w:tc>
          <w:tcPr>
            <w:tcW w:w="1248" w:type="dxa"/>
            <w:vAlign w:val="center"/>
          </w:tcPr>
          <w:p>
            <w:pPr>
              <w:pStyle w:val="89"/>
            </w:pPr>
            <w:r>
              <w:t>0.0005</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0.0051</w:t>
            </w:r>
          </w:p>
        </w:tc>
        <w:tc>
          <w:tcPr>
            <w:tcW w:w="1248" w:type="dxa"/>
            <w:vAlign w:val="center"/>
          </w:tcPr>
          <w:p>
            <w:pPr>
              <w:pStyle w:val="89"/>
            </w:pPr>
            <w:r>
              <w:t>0.0021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12000</w:t>
            </w:r>
          </w:p>
        </w:tc>
        <w:tc>
          <w:tcPr>
            <w:tcW w:w="1251" w:type="dxa"/>
            <w:vAlign w:val="center"/>
          </w:tcPr>
          <w:p>
            <w:pPr>
              <w:pStyle w:val="89"/>
            </w:pPr>
            <w:r>
              <w:t>0.0028</w:t>
            </w:r>
          </w:p>
        </w:tc>
        <w:tc>
          <w:tcPr>
            <w:tcW w:w="1376" w:type="dxa"/>
            <w:vAlign w:val="center"/>
          </w:tcPr>
          <w:p>
            <w:pPr>
              <w:pStyle w:val="89"/>
            </w:pPr>
            <w:r>
              <w:t>0.0014</w:t>
            </w:r>
          </w:p>
        </w:tc>
        <w:tc>
          <w:tcPr>
            <w:tcW w:w="1365" w:type="dxa"/>
            <w:vAlign w:val="center"/>
          </w:tcPr>
          <w:p>
            <w:pPr>
              <w:pStyle w:val="89"/>
            </w:pPr>
            <w:r>
              <w:t>0.0001</w:t>
            </w:r>
          </w:p>
        </w:tc>
        <w:tc>
          <w:tcPr>
            <w:tcW w:w="1251" w:type="dxa"/>
            <w:vAlign w:val="center"/>
          </w:tcPr>
          <w:p>
            <w:pPr>
              <w:pStyle w:val="89"/>
            </w:pPr>
            <w:r>
              <w:t>0.0009</w:t>
            </w:r>
          </w:p>
        </w:tc>
        <w:tc>
          <w:tcPr>
            <w:tcW w:w="1248" w:type="dxa"/>
            <w:vAlign w:val="center"/>
          </w:tcPr>
          <w:p>
            <w:pPr>
              <w:pStyle w:val="89"/>
            </w:pPr>
            <w:r>
              <w:t>0.0005</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0.0052</w:t>
            </w:r>
          </w:p>
        </w:tc>
        <w:tc>
          <w:tcPr>
            <w:tcW w:w="1248" w:type="dxa"/>
            <w:vAlign w:val="center"/>
          </w:tcPr>
          <w:p>
            <w:pPr>
              <w:pStyle w:val="89"/>
            </w:pPr>
            <w:r>
              <w:t>0.0021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13000</w:t>
            </w:r>
          </w:p>
        </w:tc>
        <w:tc>
          <w:tcPr>
            <w:tcW w:w="1251" w:type="dxa"/>
            <w:vAlign w:val="center"/>
          </w:tcPr>
          <w:p>
            <w:pPr>
              <w:pStyle w:val="89"/>
            </w:pPr>
            <w:r>
              <w:t>0.0026</w:t>
            </w:r>
          </w:p>
        </w:tc>
        <w:tc>
          <w:tcPr>
            <w:tcW w:w="1376" w:type="dxa"/>
            <w:vAlign w:val="center"/>
          </w:tcPr>
          <w:p>
            <w:pPr>
              <w:pStyle w:val="89"/>
            </w:pPr>
            <w:r>
              <w:t>0.0013</w:t>
            </w:r>
          </w:p>
        </w:tc>
        <w:tc>
          <w:tcPr>
            <w:tcW w:w="1365" w:type="dxa"/>
            <w:vAlign w:val="center"/>
          </w:tcPr>
          <w:p>
            <w:pPr>
              <w:pStyle w:val="89"/>
            </w:pPr>
            <w:r>
              <w:t>0.0001</w:t>
            </w:r>
          </w:p>
        </w:tc>
        <w:tc>
          <w:tcPr>
            <w:tcW w:w="1251" w:type="dxa"/>
            <w:vAlign w:val="center"/>
          </w:tcPr>
          <w:p>
            <w:pPr>
              <w:pStyle w:val="89"/>
            </w:pPr>
            <w:r>
              <w:t>0.0009</w:t>
            </w:r>
          </w:p>
        </w:tc>
        <w:tc>
          <w:tcPr>
            <w:tcW w:w="1248" w:type="dxa"/>
            <w:vAlign w:val="center"/>
          </w:tcPr>
          <w:p>
            <w:pPr>
              <w:pStyle w:val="89"/>
            </w:pPr>
            <w:r>
              <w:t>0.0005</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0.0051</w:t>
            </w:r>
          </w:p>
        </w:tc>
        <w:tc>
          <w:tcPr>
            <w:tcW w:w="1248" w:type="dxa"/>
            <w:vAlign w:val="center"/>
          </w:tcPr>
          <w:p>
            <w:pPr>
              <w:pStyle w:val="89"/>
            </w:pPr>
            <w:r>
              <w:t>0.0020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14000</w:t>
            </w:r>
          </w:p>
        </w:tc>
        <w:tc>
          <w:tcPr>
            <w:tcW w:w="1251" w:type="dxa"/>
            <w:vAlign w:val="center"/>
          </w:tcPr>
          <w:p>
            <w:pPr>
              <w:pStyle w:val="89"/>
            </w:pPr>
            <w:r>
              <w:t>0.0023</w:t>
            </w:r>
          </w:p>
        </w:tc>
        <w:tc>
          <w:tcPr>
            <w:tcW w:w="1376" w:type="dxa"/>
            <w:vAlign w:val="center"/>
          </w:tcPr>
          <w:p>
            <w:pPr>
              <w:pStyle w:val="89"/>
            </w:pPr>
            <w:r>
              <w:t>0.0012</w:t>
            </w:r>
          </w:p>
        </w:tc>
        <w:tc>
          <w:tcPr>
            <w:tcW w:w="1365" w:type="dxa"/>
            <w:vAlign w:val="center"/>
          </w:tcPr>
          <w:p>
            <w:pPr>
              <w:pStyle w:val="89"/>
            </w:pPr>
            <w:r>
              <w:t>0.0001</w:t>
            </w:r>
          </w:p>
        </w:tc>
        <w:tc>
          <w:tcPr>
            <w:tcW w:w="1251" w:type="dxa"/>
            <w:vAlign w:val="center"/>
          </w:tcPr>
          <w:p>
            <w:pPr>
              <w:pStyle w:val="89"/>
            </w:pPr>
            <w:r>
              <w:t>0.0008</w:t>
            </w:r>
          </w:p>
        </w:tc>
        <w:tc>
          <w:tcPr>
            <w:tcW w:w="1248" w:type="dxa"/>
            <w:vAlign w:val="center"/>
          </w:tcPr>
          <w:p>
            <w:pPr>
              <w:pStyle w:val="89"/>
            </w:pPr>
            <w:r>
              <w:t>0.0005</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0.0045</w:t>
            </w:r>
          </w:p>
        </w:tc>
        <w:tc>
          <w:tcPr>
            <w:tcW w:w="1248" w:type="dxa"/>
            <w:vAlign w:val="center"/>
          </w:tcPr>
          <w:p>
            <w:pPr>
              <w:pStyle w:val="89"/>
            </w:pPr>
            <w:r>
              <w:t>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15000</w:t>
            </w:r>
          </w:p>
        </w:tc>
        <w:tc>
          <w:tcPr>
            <w:tcW w:w="1251" w:type="dxa"/>
            <w:vAlign w:val="center"/>
          </w:tcPr>
          <w:p>
            <w:pPr>
              <w:pStyle w:val="89"/>
            </w:pPr>
            <w:r>
              <w:t>0.0021</w:t>
            </w:r>
          </w:p>
        </w:tc>
        <w:tc>
          <w:tcPr>
            <w:tcW w:w="1376" w:type="dxa"/>
            <w:vAlign w:val="center"/>
          </w:tcPr>
          <w:p>
            <w:pPr>
              <w:pStyle w:val="89"/>
            </w:pPr>
            <w:r>
              <w:t>0.0011</w:t>
            </w:r>
          </w:p>
        </w:tc>
        <w:tc>
          <w:tcPr>
            <w:tcW w:w="1365" w:type="dxa"/>
            <w:vAlign w:val="center"/>
          </w:tcPr>
          <w:p>
            <w:pPr>
              <w:pStyle w:val="89"/>
            </w:pPr>
            <w:r>
              <w:t>0.0001</w:t>
            </w:r>
          </w:p>
        </w:tc>
        <w:tc>
          <w:tcPr>
            <w:tcW w:w="1251" w:type="dxa"/>
            <w:vAlign w:val="center"/>
          </w:tcPr>
          <w:p>
            <w:pPr>
              <w:pStyle w:val="89"/>
            </w:pPr>
            <w:r>
              <w:t>0.0007</w:t>
            </w:r>
          </w:p>
        </w:tc>
        <w:tc>
          <w:tcPr>
            <w:tcW w:w="1248" w:type="dxa"/>
            <w:vAlign w:val="center"/>
          </w:tcPr>
          <w:p>
            <w:pPr>
              <w:pStyle w:val="89"/>
            </w:pPr>
            <w:r>
              <w:t>0.0003</w:t>
            </w:r>
          </w:p>
        </w:tc>
        <w:tc>
          <w:tcPr>
            <w:tcW w:w="1248" w:type="dxa"/>
            <w:vAlign w:val="center"/>
          </w:tcPr>
          <w:p>
            <w:pPr>
              <w:pStyle w:val="89"/>
            </w:pPr>
            <w:r>
              <w:t>0.0001</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0.0033</w:t>
            </w:r>
          </w:p>
        </w:tc>
        <w:tc>
          <w:tcPr>
            <w:tcW w:w="1248" w:type="dxa"/>
            <w:vAlign w:val="center"/>
          </w:tcPr>
          <w:p>
            <w:pPr>
              <w:pStyle w:val="89"/>
            </w:pPr>
            <w: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20000</w:t>
            </w:r>
          </w:p>
        </w:tc>
        <w:tc>
          <w:tcPr>
            <w:tcW w:w="1251" w:type="dxa"/>
            <w:vAlign w:val="center"/>
          </w:tcPr>
          <w:p>
            <w:pPr>
              <w:pStyle w:val="89"/>
            </w:pPr>
            <w:r>
              <w:t>0.0015</w:t>
            </w:r>
          </w:p>
        </w:tc>
        <w:tc>
          <w:tcPr>
            <w:tcW w:w="1376" w:type="dxa"/>
            <w:vAlign w:val="center"/>
          </w:tcPr>
          <w:p>
            <w:pPr>
              <w:pStyle w:val="89"/>
            </w:pPr>
            <w:r>
              <w:t>0.0007</w:t>
            </w:r>
          </w:p>
        </w:tc>
        <w:tc>
          <w:tcPr>
            <w:tcW w:w="1365" w:type="dxa"/>
            <w:vAlign w:val="center"/>
          </w:tcPr>
          <w:p>
            <w:pPr>
              <w:pStyle w:val="89"/>
            </w:pPr>
            <w:r>
              <w:t>0.0000</w:t>
            </w:r>
          </w:p>
        </w:tc>
        <w:tc>
          <w:tcPr>
            <w:tcW w:w="1251" w:type="dxa"/>
            <w:vAlign w:val="center"/>
          </w:tcPr>
          <w:p>
            <w:pPr>
              <w:pStyle w:val="89"/>
            </w:pPr>
            <w:r>
              <w:t>0.0005</w:t>
            </w:r>
          </w:p>
        </w:tc>
        <w:tc>
          <w:tcPr>
            <w:tcW w:w="1248" w:type="dxa"/>
            <w:vAlign w:val="center"/>
          </w:tcPr>
          <w:p>
            <w:pPr>
              <w:pStyle w:val="89"/>
            </w:pPr>
            <w:r>
              <w:t>0.0002</w:t>
            </w:r>
          </w:p>
        </w:tc>
        <w:tc>
          <w:tcPr>
            <w:tcW w:w="1248" w:type="dxa"/>
            <w:vAlign w:val="center"/>
          </w:tcPr>
          <w:p>
            <w:pPr>
              <w:pStyle w:val="89"/>
            </w:pPr>
            <w:r>
              <w:t>0.0001</w:t>
            </w:r>
          </w:p>
        </w:tc>
        <w:tc>
          <w:tcPr>
            <w:tcW w:w="1248" w:type="dxa"/>
            <w:vAlign w:val="center"/>
          </w:tcPr>
          <w:p>
            <w:pPr>
              <w:pStyle w:val="89"/>
            </w:pPr>
            <w:r>
              <w:t>0.0000</w:t>
            </w:r>
          </w:p>
        </w:tc>
        <w:tc>
          <w:tcPr>
            <w:tcW w:w="1248" w:type="dxa"/>
            <w:vAlign w:val="center"/>
          </w:tcPr>
          <w:p>
            <w:pPr>
              <w:pStyle w:val="89"/>
            </w:pPr>
            <w:r>
              <w:t>0.0000</w:t>
            </w:r>
          </w:p>
        </w:tc>
        <w:tc>
          <w:tcPr>
            <w:tcW w:w="1248" w:type="dxa"/>
            <w:vAlign w:val="center"/>
          </w:tcPr>
          <w:p>
            <w:pPr>
              <w:pStyle w:val="89"/>
            </w:pPr>
            <w:r>
              <w:t>0.0024</w:t>
            </w:r>
          </w:p>
        </w:tc>
        <w:tc>
          <w:tcPr>
            <w:tcW w:w="1248" w:type="dxa"/>
            <w:vAlign w:val="center"/>
          </w:tcPr>
          <w:p>
            <w:pPr>
              <w:pStyle w:val="89"/>
            </w:pPr>
            <w:r>
              <w:t>0.0009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szCs w:val="21"/>
              </w:rPr>
            </w:pPr>
            <w:r>
              <w:rPr>
                <w:rFonts w:hAnsi="Times New Roman"/>
                <w:szCs w:val="21"/>
              </w:rPr>
              <w:t>25000</w:t>
            </w:r>
          </w:p>
        </w:tc>
        <w:tc>
          <w:tcPr>
            <w:tcW w:w="1251" w:type="dxa"/>
            <w:vAlign w:val="center"/>
          </w:tcPr>
          <w:p>
            <w:pPr>
              <w:pStyle w:val="89"/>
            </w:pPr>
            <w:r>
              <w:t>0.0011</w:t>
            </w:r>
          </w:p>
        </w:tc>
        <w:tc>
          <w:tcPr>
            <w:tcW w:w="1376" w:type="dxa"/>
            <w:vAlign w:val="center"/>
          </w:tcPr>
          <w:p>
            <w:pPr>
              <w:pStyle w:val="89"/>
            </w:pPr>
            <w:r>
              <w:t>0.0006</w:t>
            </w:r>
          </w:p>
        </w:tc>
        <w:tc>
          <w:tcPr>
            <w:tcW w:w="1365" w:type="dxa"/>
            <w:vAlign w:val="center"/>
          </w:tcPr>
          <w:p>
            <w:pPr>
              <w:pStyle w:val="89"/>
            </w:pPr>
            <w:r>
              <w:t>0.0000</w:t>
            </w:r>
          </w:p>
        </w:tc>
        <w:tc>
          <w:tcPr>
            <w:tcW w:w="1251" w:type="dxa"/>
            <w:vAlign w:val="center"/>
          </w:tcPr>
          <w:p>
            <w:pPr>
              <w:pStyle w:val="89"/>
            </w:pPr>
            <w:r>
              <w:t>0.0004</w:t>
            </w:r>
          </w:p>
        </w:tc>
        <w:tc>
          <w:tcPr>
            <w:tcW w:w="1248" w:type="dxa"/>
            <w:vAlign w:val="center"/>
          </w:tcPr>
          <w:p>
            <w:pPr>
              <w:pStyle w:val="89"/>
            </w:pPr>
            <w:r>
              <w:t>0.0002</w:t>
            </w:r>
          </w:p>
        </w:tc>
        <w:tc>
          <w:tcPr>
            <w:tcW w:w="1248" w:type="dxa"/>
            <w:vAlign w:val="center"/>
          </w:tcPr>
          <w:p>
            <w:pPr>
              <w:pStyle w:val="89"/>
            </w:pPr>
            <w:r>
              <w:t>0.0000</w:t>
            </w:r>
          </w:p>
        </w:tc>
        <w:tc>
          <w:tcPr>
            <w:tcW w:w="1248" w:type="dxa"/>
            <w:vAlign w:val="center"/>
          </w:tcPr>
          <w:p>
            <w:pPr>
              <w:pStyle w:val="89"/>
            </w:pPr>
            <w:r>
              <w:t>0.0000</w:t>
            </w:r>
          </w:p>
        </w:tc>
        <w:tc>
          <w:tcPr>
            <w:tcW w:w="1248" w:type="dxa"/>
            <w:vAlign w:val="center"/>
          </w:tcPr>
          <w:p>
            <w:pPr>
              <w:pStyle w:val="89"/>
            </w:pPr>
            <w:r>
              <w:t>0.0000</w:t>
            </w:r>
          </w:p>
        </w:tc>
        <w:tc>
          <w:tcPr>
            <w:tcW w:w="1248" w:type="dxa"/>
            <w:vAlign w:val="center"/>
          </w:tcPr>
          <w:p>
            <w:pPr>
              <w:pStyle w:val="89"/>
            </w:pPr>
            <w:r>
              <w:t>0.0019</w:t>
            </w:r>
          </w:p>
        </w:tc>
        <w:tc>
          <w:tcPr>
            <w:tcW w:w="1248" w:type="dxa"/>
            <w:vAlign w:val="center"/>
          </w:tcPr>
          <w:p>
            <w:pPr>
              <w:pStyle w:val="89"/>
            </w:pPr>
            <w: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b/>
                <w:szCs w:val="21"/>
              </w:rPr>
            </w:pPr>
            <w:r>
              <w:rPr>
                <w:rFonts w:hAnsi="Times New Roman"/>
                <w:b/>
                <w:szCs w:val="21"/>
              </w:rPr>
              <w:t>下风向最大质量浓度及占标率</w:t>
            </w:r>
          </w:p>
        </w:tc>
        <w:tc>
          <w:tcPr>
            <w:tcW w:w="1251" w:type="dxa"/>
            <w:vAlign w:val="center"/>
          </w:tcPr>
          <w:p>
            <w:pPr>
              <w:pStyle w:val="89"/>
              <w:rPr>
                <w:b/>
              </w:rPr>
            </w:pPr>
            <w:r>
              <w:rPr>
                <w:b/>
              </w:rPr>
              <w:t>0.3447</w:t>
            </w:r>
          </w:p>
        </w:tc>
        <w:tc>
          <w:tcPr>
            <w:tcW w:w="1376" w:type="dxa"/>
            <w:vAlign w:val="center"/>
          </w:tcPr>
          <w:p>
            <w:pPr>
              <w:pStyle w:val="89"/>
              <w:rPr>
                <w:b/>
              </w:rPr>
            </w:pPr>
            <w:r>
              <w:rPr>
                <w:b/>
              </w:rPr>
              <w:t>0.1724</w:t>
            </w:r>
          </w:p>
        </w:tc>
        <w:tc>
          <w:tcPr>
            <w:tcW w:w="1365" w:type="dxa"/>
            <w:vAlign w:val="center"/>
          </w:tcPr>
          <w:p>
            <w:pPr>
              <w:pStyle w:val="89"/>
              <w:rPr>
                <w:b/>
              </w:rPr>
            </w:pPr>
            <w:r>
              <w:rPr>
                <w:b/>
              </w:rPr>
              <w:t>0.0115</w:t>
            </w:r>
          </w:p>
        </w:tc>
        <w:tc>
          <w:tcPr>
            <w:tcW w:w="1251" w:type="dxa"/>
            <w:vAlign w:val="center"/>
          </w:tcPr>
          <w:p>
            <w:pPr>
              <w:pStyle w:val="89"/>
              <w:rPr>
                <w:b/>
              </w:rPr>
            </w:pPr>
            <w:r>
              <w:rPr>
                <w:b/>
              </w:rPr>
              <w:t>0.1149</w:t>
            </w:r>
          </w:p>
        </w:tc>
        <w:tc>
          <w:tcPr>
            <w:tcW w:w="1248" w:type="dxa"/>
            <w:vAlign w:val="center"/>
          </w:tcPr>
          <w:p>
            <w:pPr>
              <w:pStyle w:val="89"/>
              <w:rPr>
                <w:b/>
              </w:rPr>
            </w:pPr>
            <w:r>
              <w:rPr>
                <w:b/>
              </w:rPr>
              <w:t>0.0513</w:t>
            </w:r>
          </w:p>
        </w:tc>
        <w:tc>
          <w:tcPr>
            <w:tcW w:w="1248" w:type="dxa"/>
            <w:vAlign w:val="center"/>
          </w:tcPr>
          <w:p>
            <w:pPr>
              <w:pStyle w:val="89"/>
              <w:rPr>
                <w:b/>
              </w:rPr>
            </w:pPr>
            <w:r>
              <w:rPr>
                <w:b/>
              </w:rPr>
              <w:t>0.0114</w:t>
            </w:r>
          </w:p>
        </w:tc>
        <w:tc>
          <w:tcPr>
            <w:tcW w:w="1248" w:type="dxa"/>
            <w:vAlign w:val="center"/>
          </w:tcPr>
          <w:p>
            <w:pPr>
              <w:pStyle w:val="89"/>
              <w:rPr>
                <w:b/>
              </w:rPr>
            </w:pPr>
            <w:r>
              <w:rPr>
                <w:b/>
              </w:rPr>
              <w:t>0.0103</w:t>
            </w:r>
          </w:p>
        </w:tc>
        <w:tc>
          <w:tcPr>
            <w:tcW w:w="1248" w:type="dxa"/>
            <w:vAlign w:val="center"/>
          </w:tcPr>
          <w:p>
            <w:pPr>
              <w:pStyle w:val="89"/>
              <w:rPr>
                <w:b/>
              </w:rPr>
            </w:pPr>
            <w:r>
              <w:rPr>
                <w:b/>
              </w:rPr>
              <w:t>0.0021</w:t>
            </w:r>
          </w:p>
        </w:tc>
        <w:tc>
          <w:tcPr>
            <w:tcW w:w="1248" w:type="dxa"/>
            <w:vAlign w:val="center"/>
          </w:tcPr>
          <w:p>
            <w:pPr>
              <w:pStyle w:val="89"/>
              <w:rPr>
                <w:b/>
              </w:rPr>
            </w:pPr>
            <w:r>
              <w:rPr>
                <w:b/>
              </w:rPr>
              <w:t>0.5134</w:t>
            </w:r>
          </w:p>
        </w:tc>
        <w:tc>
          <w:tcPr>
            <w:tcW w:w="1248" w:type="dxa"/>
            <w:vAlign w:val="center"/>
          </w:tcPr>
          <w:p>
            <w:pPr>
              <w:pStyle w:val="89"/>
              <w:rPr>
                <w:b/>
              </w:rPr>
            </w:pPr>
            <w:r>
              <w:rPr>
                <w:b/>
              </w:rPr>
              <w:t>0.2054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197" w:type="dxa"/>
            <w:vAlign w:val="center"/>
          </w:tcPr>
          <w:p>
            <w:pPr>
              <w:pStyle w:val="84"/>
              <w:rPr>
                <w:rFonts w:hAnsi="Times New Roman"/>
                <w:b/>
                <w:szCs w:val="21"/>
              </w:rPr>
            </w:pPr>
            <w:r>
              <w:rPr>
                <w:rFonts w:hAnsi="Times New Roman"/>
                <w:b/>
                <w:szCs w:val="21"/>
              </w:rPr>
              <w:t>地面最大浓度出现距离</w:t>
            </w:r>
          </w:p>
        </w:tc>
        <w:tc>
          <w:tcPr>
            <w:tcW w:w="5243" w:type="dxa"/>
            <w:gridSpan w:val="4"/>
            <w:vAlign w:val="center"/>
          </w:tcPr>
          <w:p>
            <w:pPr>
              <w:pStyle w:val="84"/>
              <w:rPr>
                <w:rFonts w:hAnsi="Times New Roman"/>
                <w:b/>
                <w:szCs w:val="21"/>
              </w:rPr>
            </w:pPr>
            <w:r>
              <w:rPr>
                <w:rFonts w:hAnsi="Times New Roman"/>
                <w:b/>
                <w:szCs w:val="21"/>
              </w:rPr>
              <w:t>25m</w:t>
            </w:r>
          </w:p>
        </w:tc>
        <w:tc>
          <w:tcPr>
            <w:tcW w:w="7488" w:type="dxa"/>
            <w:gridSpan w:val="6"/>
            <w:vAlign w:val="center"/>
          </w:tcPr>
          <w:p>
            <w:pPr>
              <w:pStyle w:val="84"/>
              <w:rPr>
                <w:rFonts w:hAnsi="Times New Roman"/>
                <w:b/>
                <w:szCs w:val="21"/>
              </w:rPr>
            </w:pPr>
            <w:r>
              <w:rPr>
                <w:rFonts w:hAnsi="Times New Roman"/>
                <w:b/>
                <w:szCs w:val="21"/>
              </w:rPr>
              <w:t>75m</w:t>
            </w:r>
          </w:p>
        </w:tc>
      </w:tr>
    </w:tbl>
    <w:p>
      <w:pPr>
        <w:ind w:firstLine="480"/>
        <w:rPr>
          <w:kern w:val="0"/>
        </w:rPr>
      </w:pPr>
    </w:p>
    <w:p>
      <w:pPr>
        <w:pStyle w:val="85"/>
        <w:jc w:val="both"/>
        <w:rPr>
          <w:kern w:val="0"/>
        </w:rPr>
      </w:pPr>
    </w:p>
    <w:p>
      <w:pPr>
        <w:ind w:firstLine="480"/>
        <w:rPr>
          <w:kern w:val="0"/>
        </w:rPr>
        <w:sectPr>
          <w:headerReference r:id="rId49" w:type="default"/>
          <w:headerReference r:id="rId50" w:type="even"/>
          <w:pgSz w:w="16838" w:h="11906" w:orient="landscape"/>
          <w:pgMar w:top="1800" w:right="1440" w:bottom="1800" w:left="1440" w:header="992" w:footer="992" w:gutter="0"/>
          <w:pgNumType w:fmt="numberInDash"/>
          <w:cols w:space="425" w:num="1"/>
          <w:docGrid w:type="lines" w:linePitch="326" w:charSpace="0"/>
        </w:sectPr>
      </w:pPr>
    </w:p>
    <w:p>
      <w:pPr>
        <w:pStyle w:val="5"/>
      </w:pPr>
      <w:r>
        <w:rPr>
          <w:rFonts w:hint="eastAsia"/>
        </w:rPr>
        <w:t>污染物</w:t>
      </w:r>
      <w:r>
        <w:t>源强核算</w:t>
      </w:r>
    </w:p>
    <w:p>
      <w:pPr>
        <w:pStyle w:val="85"/>
        <w:rPr>
          <w:rFonts w:hAnsi="Times New Roman"/>
          <w:snapToGrid w:val="0"/>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t xml:space="preserve">6 </w:t>
      </w:r>
      <w:r>
        <w:rPr>
          <w:rFonts w:hAnsi="Times New Roman"/>
          <w:snapToGrid w:val="0"/>
        </w:rPr>
        <w:t>大气污染物有组织排放量核算表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414"/>
        <w:gridCol w:w="1417"/>
        <w:gridCol w:w="1672"/>
        <w:gridCol w:w="1596"/>
        <w:gridCol w:w="1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7" w:type="dxa"/>
            <w:shd w:val="clear" w:color="auto" w:fill="auto"/>
            <w:vAlign w:val="center"/>
          </w:tcPr>
          <w:p>
            <w:pPr>
              <w:pStyle w:val="89"/>
              <w:rPr>
                <w:snapToGrid w:val="0"/>
              </w:rPr>
            </w:pPr>
            <w:r>
              <w:rPr>
                <w:snapToGrid w:val="0"/>
              </w:rPr>
              <w:t>序号</w:t>
            </w:r>
          </w:p>
        </w:tc>
        <w:tc>
          <w:tcPr>
            <w:tcW w:w="1414" w:type="dxa"/>
            <w:shd w:val="clear" w:color="auto" w:fill="auto"/>
            <w:vAlign w:val="center"/>
          </w:tcPr>
          <w:p>
            <w:pPr>
              <w:pStyle w:val="89"/>
              <w:rPr>
                <w:snapToGrid w:val="0"/>
              </w:rPr>
            </w:pPr>
            <w:r>
              <w:rPr>
                <w:snapToGrid w:val="0"/>
              </w:rPr>
              <w:t>排放口编号</w:t>
            </w:r>
          </w:p>
        </w:tc>
        <w:tc>
          <w:tcPr>
            <w:tcW w:w="1417" w:type="dxa"/>
            <w:shd w:val="clear" w:color="auto" w:fill="auto"/>
            <w:vAlign w:val="center"/>
          </w:tcPr>
          <w:p>
            <w:pPr>
              <w:pStyle w:val="89"/>
              <w:rPr>
                <w:snapToGrid w:val="0"/>
              </w:rPr>
            </w:pPr>
            <w:r>
              <w:rPr>
                <w:snapToGrid w:val="0"/>
              </w:rPr>
              <w:t>污染物</w:t>
            </w:r>
          </w:p>
        </w:tc>
        <w:tc>
          <w:tcPr>
            <w:tcW w:w="1672" w:type="dxa"/>
            <w:shd w:val="clear" w:color="auto" w:fill="auto"/>
            <w:vAlign w:val="center"/>
          </w:tcPr>
          <w:p>
            <w:pPr>
              <w:pStyle w:val="89"/>
              <w:rPr>
                <w:snapToGrid w:val="0"/>
              </w:rPr>
            </w:pPr>
            <w:r>
              <w:rPr>
                <w:snapToGrid w:val="0"/>
              </w:rPr>
              <w:t>核算排放浓度</w:t>
            </w:r>
          </w:p>
          <w:p>
            <w:pPr>
              <w:pStyle w:val="89"/>
            </w:pPr>
            <w:r>
              <w:t>（</w:t>
            </w:r>
            <w:r>
              <w:rPr>
                <w:rFonts w:hint="eastAsia"/>
              </w:rPr>
              <w:t>m</w:t>
            </w:r>
            <w:r>
              <w:t>g/m</w:t>
            </w:r>
            <w:r>
              <w:rPr>
                <w:vertAlign w:val="superscript"/>
              </w:rPr>
              <w:t>3</w:t>
            </w:r>
            <w:r>
              <w:t>）</w:t>
            </w:r>
          </w:p>
        </w:tc>
        <w:tc>
          <w:tcPr>
            <w:tcW w:w="1596" w:type="dxa"/>
            <w:shd w:val="clear" w:color="auto" w:fill="auto"/>
            <w:vAlign w:val="center"/>
          </w:tcPr>
          <w:p>
            <w:pPr>
              <w:pStyle w:val="89"/>
              <w:rPr>
                <w:snapToGrid w:val="0"/>
              </w:rPr>
            </w:pPr>
            <w:r>
              <w:rPr>
                <w:snapToGrid w:val="0"/>
              </w:rPr>
              <w:t>核算排放速率</w:t>
            </w:r>
          </w:p>
          <w:p>
            <w:pPr>
              <w:pStyle w:val="89"/>
            </w:pPr>
            <w:r>
              <w:t>（kg/h）</w:t>
            </w:r>
          </w:p>
        </w:tc>
        <w:tc>
          <w:tcPr>
            <w:tcW w:w="1620" w:type="dxa"/>
            <w:shd w:val="clear" w:color="auto" w:fill="auto"/>
            <w:vAlign w:val="center"/>
          </w:tcPr>
          <w:p>
            <w:pPr>
              <w:pStyle w:val="89"/>
              <w:rPr>
                <w:snapToGrid w:val="0"/>
              </w:rPr>
            </w:pPr>
            <w:r>
              <w:rPr>
                <w:snapToGrid w:val="0"/>
              </w:rPr>
              <w:t>核算年排放量</w:t>
            </w:r>
          </w:p>
          <w:p>
            <w:pPr>
              <w:pStyle w:val="89"/>
            </w:pP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76" w:type="dxa"/>
            <w:gridSpan w:val="6"/>
            <w:shd w:val="clear" w:color="auto" w:fill="auto"/>
            <w:vAlign w:val="center"/>
          </w:tcPr>
          <w:p>
            <w:pPr>
              <w:pStyle w:val="89"/>
              <w:rPr>
                <w:snapToGrid w:val="0"/>
              </w:rPr>
            </w:pPr>
            <w:r>
              <w:rPr>
                <w:snapToGrid w:val="0"/>
              </w:rPr>
              <w:t>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7" w:type="dxa"/>
            <w:shd w:val="clear" w:color="auto" w:fill="auto"/>
            <w:vAlign w:val="center"/>
          </w:tcPr>
          <w:p>
            <w:pPr>
              <w:pStyle w:val="89"/>
              <w:rPr>
                <w:snapToGrid w:val="0"/>
              </w:rPr>
            </w:pPr>
            <w:r>
              <w:rPr>
                <w:snapToGrid w:val="0"/>
              </w:rPr>
              <w:t>1</w:t>
            </w:r>
          </w:p>
        </w:tc>
        <w:tc>
          <w:tcPr>
            <w:tcW w:w="1414" w:type="dxa"/>
            <w:vMerge w:val="restart"/>
            <w:shd w:val="clear" w:color="auto" w:fill="auto"/>
            <w:vAlign w:val="center"/>
          </w:tcPr>
          <w:p>
            <w:pPr>
              <w:pStyle w:val="89"/>
              <w:rPr>
                <w:snapToGrid w:val="0"/>
              </w:rPr>
            </w:pPr>
            <w:r>
              <w:rPr>
                <w:rFonts w:hint="eastAsia"/>
                <w:snapToGrid w:val="0"/>
              </w:rPr>
              <w:t>火炬</w:t>
            </w:r>
            <w:r>
              <w:rPr>
                <w:snapToGrid w:val="0"/>
              </w:rPr>
              <w:t>排气筒</w:t>
            </w:r>
            <w:r>
              <w:rPr>
                <w:rFonts w:hint="eastAsia"/>
                <w:snapToGrid w:val="0"/>
              </w:rPr>
              <w:t>P1</w:t>
            </w:r>
          </w:p>
        </w:tc>
        <w:tc>
          <w:tcPr>
            <w:tcW w:w="1417" w:type="dxa"/>
            <w:shd w:val="clear" w:color="auto" w:fill="auto"/>
            <w:vAlign w:val="center"/>
          </w:tcPr>
          <w:p>
            <w:pPr>
              <w:pStyle w:val="89"/>
            </w:pPr>
            <w:r>
              <w:rPr>
                <w:rFonts w:hint="eastAsia"/>
              </w:rPr>
              <w:t>颗粒物</w:t>
            </w:r>
          </w:p>
        </w:tc>
        <w:tc>
          <w:tcPr>
            <w:tcW w:w="1672" w:type="dxa"/>
            <w:shd w:val="clear" w:color="auto" w:fill="auto"/>
            <w:vAlign w:val="center"/>
          </w:tcPr>
          <w:p>
            <w:pPr>
              <w:pStyle w:val="89"/>
              <w:rPr>
                <w:snapToGrid w:val="0"/>
              </w:rPr>
            </w:pPr>
            <w:r>
              <w:rPr>
                <w:rFonts w:hint="eastAsia"/>
                <w:snapToGrid w:val="0"/>
              </w:rPr>
              <w:t>26.54</w:t>
            </w:r>
          </w:p>
        </w:tc>
        <w:tc>
          <w:tcPr>
            <w:tcW w:w="1596" w:type="dxa"/>
            <w:shd w:val="clear" w:color="auto" w:fill="auto"/>
            <w:vAlign w:val="center"/>
          </w:tcPr>
          <w:p>
            <w:pPr>
              <w:pStyle w:val="89"/>
              <w:rPr>
                <w:snapToGrid w:val="0"/>
              </w:rPr>
            </w:pPr>
            <w:r>
              <w:rPr>
                <w:rFonts w:hint="eastAsia"/>
                <w:snapToGrid w:val="0"/>
              </w:rPr>
              <w:t>0.0001</w:t>
            </w:r>
          </w:p>
        </w:tc>
        <w:tc>
          <w:tcPr>
            <w:tcW w:w="1620" w:type="dxa"/>
            <w:shd w:val="clear" w:color="auto" w:fill="auto"/>
            <w:vAlign w:val="center"/>
          </w:tcPr>
          <w:p>
            <w:pPr>
              <w:pStyle w:val="89"/>
              <w:rPr>
                <w:snapToGrid w:val="0"/>
              </w:rPr>
            </w:pPr>
            <w:r>
              <w:rPr>
                <w:rFonts w:hint="eastAsia"/>
                <w:snapToGrid w:val="0"/>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7" w:type="dxa"/>
            <w:shd w:val="clear" w:color="auto" w:fill="auto"/>
            <w:vAlign w:val="center"/>
          </w:tcPr>
          <w:p>
            <w:pPr>
              <w:pStyle w:val="89"/>
              <w:rPr>
                <w:snapToGrid w:val="0"/>
              </w:rPr>
            </w:pPr>
            <w:r>
              <w:rPr>
                <w:snapToGrid w:val="0"/>
              </w:rPr>
              <w:t>2</w:t>
            </w:r>
          </w:p>
        </w:tc>
        <w:tc>
          <w:tcPr>
            <w:tcW w:w="1414" w:type="dxa"/>
            <w:vMerge w:val="continue"/>
            <w:shd w:val="clear" w:color="auto" w:fill="auto"/>
            <w:vAlign w:val="center"/>
          </w:tcPr>
          <w:p>
            <w:pPr>
              <w:pStyle w:val="89"/>
              <w:rPr>
                <w:snapToGrid w:val="0"/>
              </w:rPr>
            </w:pPr>
          </w:p>
        </w:tc>
        <w:tc>
          <w:tcPr>
            <w:tcW w:w="1417" w:type="dxa"/>
            <w:shd w:val="clear" w:color="auto" w:fill="auto"/>
            <w:vAlign w:val="center"/>
          </w:tcPr>
          <w:p>
            <w:pPr>
              <w:pStyle w:val="89"/>
            </w:pPr>
            <w:r>
              <w:rPr>
                <w:rFonts w:hint="eastAsia"/>
              </w:rPr>
              <w:t>SO</w:t>
            </w:r>
            <w:r>
              <w:rPr>
                <w:rFonts w:hint="eastAsia"/>
                <w:vertAlign w:val="subscript"/>
              </w:rPr>
              <w:t>2</w:t>
            </w:r>
          </w:p>
        </w:tc>
        <w:tc>
          <w:tcPr>
            <w:tcW w:w="1672" w:type="dxa"/>
            <w:shd w:val="clear" w:color="auto" w:fill="auto"/>
            <w:vAlign w:val="center"/>
          </w:tcPr>
          <w:p>
            <w:pPr>
              <w:pStyle w:val="89"/>
              <w:rPr>
                <w:snapToGrid w:val="0"/>
              </w:rPr>
            </w:pPr>
            <w:r>
              <w:rPr>
                <w:rFonts w:hint="eastAsia"/>
                <w:snapToGrid w:val="0"/>
              </w:rPr>
              <w:t>3.71</w:t>
            </w:r>
          </w:p>
        </w:tc>
        <w:tc>
          <w:tcPr>
            <w:tcW w:w="1596" w:type="dxa"/>
            <w:shd w:val="clear" w:color="auto" w:fill="auto"/>
            <w:vAlign w:val="center"/>
          </w:tcPr>
          <w:p>
            <w:pPr>
              <w:pStyle w:val="89"/>
              <w:rPr>
                <w:snapToGrid w:val="0"/>
              </w:rPr>
            </w:pPr>
            <w:r>
              <w:rPr>
                <w:rFonts w:hint="eastAsia"/>
                <w:snapToGrid w:val="0"/>
              </w:rPr>
              <w:t>0.00002</w:t>
            </w:r>
          </w:p>
        </w:tc>
        <w:tc>
          <w:tcPr>
            <w:tcW w:w="1620" w:type="dxa"/>
            <w:shd w:val="clear" w:color="auto" w:fill="auto"/>
            <w:vAlign w:val="center"/>
          </w:tcPr>
          <w:p>
            <w:pPr>
              <w:pStyle w:val="89"/>
              <w:rPr>
                <w:snapToGrid w:val="0"/>
              </w:rPr>
            </w:pPr>
            <w:r>
              <w:rPr>
                <w:rFonts w:hint="eastAsia"/>
                <w:snapToGrid w:val="0"/>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7" w:type="dxa"/>
            <w:shd w:val="clear" w:color="auto" w:fill="auto"/>
            <w:vAlign w:val="center"/>
          </w:tcPr>
          <w:p>
            <w:pPr>
              <w:pStyle w:val="89"/>
              <w:rPr>
                <w:snapToGrid w:val="0"/>
              </w:rPr>
            </w:pPr>
            <w:r>
              <w:rPr>
                <w:rFonts w:hint="eastAsia"/>
                <w:snapToGrid w:val="0"/>
              </w:rPr>
              <w:t>3</w:t>
            </w:r>
          </w:p>
        </w:tc>
        <w:tc>
          <w:tcPr>
            <w:tcW w:w="1414" w:type="dxa"/>
            <w:vMerge w:val="continue"/>
            <w:shd w:val="clear" w:color="auto" w:fill="auto"/>
            <w:vAlign w:val="center"/>
          </w:tcPr>
          <w:p>
            <w:pPr>
              <w:pStyle w:val="89"/>
              <w:rPr>
                <w:snapToGrid w:val="0"/>
              </w:rPr>
            </w:pPr>
          </w:p>
        </w:tc>
        <w:tc>
          <w:tcPr>
            <w:tcW w:w="1417" w:type="dxa"/>
            <w:shd w:val="clear" w:color="auto" w:fill="auto"/>
            <w:vAlign w:val="center"/>
          </w:tcPr>
          <w:p>
            <w:pPr>
              <w:pStyle w:val="89"/>
            </w:pPr>
            <w:r>
              <w:rPr>
                <w:rFonts w:hint="eastAsia"/>
              </w:rPr>
              <w:t>NOx</w:t>
            </w:r>
          </w:p>
        </w:tc>
        <w:tc>
          <w:tcPr>
            <w:tcW w:w="1672" w:type="dxa"/>
            <w:shd w:val="clear" w:color="auto" w:fill="auto"/>
            <w:vAlign w:val="center"/>
          </w:tcPr>
          <w:p>
            <w:pPr>
              <w:pStyle w:val="89"/>
              <w:rPr>
                <w:snapToGrid w:val="0"/>
              </w:rPr>
            </w:pPr>
            <w:r>
              <w:rPr>
                <w:rFonts w:hint="eastAsia"/>
                <w:snapToGrid w:val="0"/>
              </w:rPr>
              <w:t>173.64</w:t>
            </w:r>
          </w:p>
        </w:tc>
        <w:tc>
          <w:tcPr>
            <w:tcW w:w="1596" w:type="dxa"/>
            <w:shd w:val="clear" w:color="auto" w:fill="auto"/>
            <w:vAlign w:val="center"/>
          </w:tcPr>
          <w:p>
            <w:pPr>
              <w:pStyle w:val="89"/>
              <w:rPr>
                <w:snapToGrid w:val="0"/>
              </w:rPr>
            </w:pPr>
            <w:r>
              <w:rPr>
                <w:rFonts w:hint="eastAsia"/>
                <w:snapToGrid w:val="0"/>
              </w:rPr>
              <w:t>0.001</w:t>
            </w:r>
          </w:p>
        </w:tc>
        <w:tc>
          <w:tcPr>
            <w:tcW w:w="1620" w:type="dxa"/>
            <w:shd w:val="clear" w:color="auto" w:fill="auto"/>
            <w:vAlign w:val="center"/>
          </w:tcPr>
          <w:p>
            <w:pPr>
              <w:pStyle w:val="89"/>
              <w:rPr>
                <w:snapToGrid w:val="0"/>
              </w:rPr>
            </w:pPr>
            <w:r>
              <w:rPr>
                <w:rFonts w:hint="eastAsia"/>
                <w:snapToGrid w:val="0"/>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57" w:type="dxa"/>
            <w:shd w:val="clear" w:color="auto" w:fill="auto"/>
            <w:vAlign w:val="center"/>
          </w:tcPr>
          <w:p>
            <w:pPr>
              <w:pStyle w:val="89"/>
              <w:rPr>
                <w:snapToGrid w:val="0"/>
              </w:rPr>
            </w:pPr>
            <w:r>
              <w:rPr>
                <w:snapToGrid w:val="0"/>
              </w:rPr>
              <w:t>4</w:t>
            </w:r>
          </w:p>
        </w:tc>
        <w:tc>
          <w:tcPr>
            <w:tcW w:w="1414" w:type="dxa"/>
            <w:shd w:val="clear" w:color="auto" w:fill="auto"/>
            <w:vAlign w:val="center"/>
          </w:tcPr>
          <w:p>
            <w:pPr>
              <w:pStyle w:val="89"/>
              <w:rPr>
                <w:snapToGrid w:val="0"/>
              </w:rPr>
            </w:pPr>
            <w:r>
              <w:rPr>
                <w:rFonts w:hint="eastAsia"/>
                <w:snapToGrid w:val="0"/>
              </w:rPr>
              <w:t>/</w:t>
            </w:r>
          </w:p>
        </w:tc>
        <w:tc>
          <w:tcPr>
            <w:tcW w:w="1417" w:type="dxa"/>
            <w:shd w:val="clear" w:color="auto" w:fill="auto"/>
            <w:vAlign w:val="center"/>
          </w:tcPr>
          <w:p>
            <w:pPr>
              <w:pStyle w:val="89"/>
            </w:pPr>
            <w:r>
              <w:rPr>
                <w:rFonts w:hint="eastAsia"/>
                <w:snapToGrid w:val="0"/>
              </w:rPr>
              <w:t>油烟</w:t>
            </w:r>
          </w:p>
        </w:tc>
        <w:tc>
          <w:tcPr>
            <w:tcW w:w="1672" w:type="dxa"/>
            <w:shd w:val="clear" w:color="auto" w:fill="auto"/>
            <w:vAlign w:val="center"/>
          </w:tcPr>
          <w:p>
            <w:pPr>
              <w:pStyle w:val="89"/>
              <w:rPr>
                <w:snapToGrid w:val="0"/>
              </w:rPr>
            </w:pPr>
            <w:r>
              <w:rPr>
                <w:rFonts w:hint="eastAsia"/>
              </w:rPr>
              <w:t>1.13</w:t>
            </w:r>
          </w:p>
        </w:tc>
        <w:tc>
          <w:tcPr>
            <w:tcW w:w="1596" w:type="dxa"/>
            <w:shd w:val="clear" w:color="auto" w:fill="auto"/>
            <w:vAlign w:val="center"/>
          </w:tcPr>
          <w:p>
            <w:pPr>
              <w:pStyle w:val="89"/>
              <w:rPr>
                <w:snapToGrid w:val="0"/>
              </w:rPr>
            </w:pPr>
            <w:r>
              <w:rPr>
                <w:rFonts w:hint="eastAsia"/>
              </w:rPr>
              <w:t>0.0023</w:t>
            </w:r>
          </w:p>
        </w:tc>
        <w:tc>
          <w:tcPr>
            <w:tcW w:w="1620" w:type="dxa"/>
            <w:shd w:val="clear" w:color="auto" w:fill="auto"/>
            <w:vAlign w:val="center"/>
          </w:tcPr>
          <w:p>
            <w:pPr>
              <w:pStyle w:val="89"/>
              <w:rPr>
                <w:snapToGrid w:val="0"/>
              </w:rPr>
            </w:pPr>
            <w:r>
              <w:rPr>
                <w:rFonts w:hint="eastAsia"/>
                <w:snapToGrid w:val="0"/>
              </w:rPr>
              <w:t>0.0029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71" w:type="dxa"/>
            <w:gridSpan w:val="2"/>
            <w:vMerge w:val="restart"/>
            <w:shd w:val="clear" w:color="auto" w:fill="auto"/>
            <w:vAlign w:val="center"/>
          </w:tcPr>
          <w:p>
            <w:pPr>
              <w:pStyle w:val="89"/>
              <w:rPr>
                <w:snapToGrid w:val="0"/>
              </w:rPr>
            </w:pPr>
            <w:r>
              <w:rPr>
                <w:snapToGrid w:val="0"/>
              </w:rPr>
              <w:t>排放口合计</w:t>
            </w:r>
          </w:p>
        </w:tc>
        <w:tc>
          <w:tcPr>
            <w:tcW w:w="4685" w:type="dxa"/>
            <w:gridSpan w:val="3"/>
            <w:shd w:val="clear" w:color="auto" w:fill="auto"/>
            <w:vAlign w:val="center"/>
          </w:tcPr>
          <w:p>
            <w:pPr>
              <w:pStyle w:val="89"/>
            </w:pPr>
            <w:r>
              <w:rPr>
                <w:rFonts w:hint="eastAsia"/>
              </w:rPr>
              <w:t>颗粒物</w:t>
            </w:r>
          </w:p>
        </w:tc>
        <w:tc>
          <w:tcPr>
            <w:tcW w:w="1620" w:type="dxa"/>
            <w:shd w:val="clear" w:color="auto" w:fill="auto"/>
            <w:vAlign w:val="center"/>
          </w:tcPr>
          <w:p>
            <w:pPr>
              <w:pStyle w:val="89"/>
              <w:rPr>
                <w:snapToGrid w:val="0"/>
              </w:rPr>
            </w:pPr>
            <w:r>
              <w:rPr>
                <w:rFonts w:hint="eastAsia"/>
                <w:snapToGrid w:val="0"/>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71" w:type="dxa"/>
            <w:gridSpan w:val="2"/>
            <w:vMerge w:val="continue"/>
            <w:shd w:val="clear" w:color="auto" w:fill="auto"/>
            <w:vAlign w:val="center"/>
          </w:tcPr>
          <w:p>
            <w:pPr>
              <w:pStyle w:val="89"/>
              <w:rPr>
                <w:snapToGrid w:val="0"/>
              </w:rPr>
            </w:pPr>
          </w:p>
        </w:tc>
        <w:tc>
          <w:tcPr>
            <w:tcW w:w="4685" w:type="dxa"/>
            <w:gridSpan w:val="3"/>
            <w:shd w:val="clear" w:color="auto" w:fill="auto"/>
            <w:vAlign w:val="center"/>
          </w:tcPr>
          <w:p>
            <w:pPr>
              <w:pStyle w:val="89"/>
            </w:pPr>
            <w:r>
              <w:rPr>
                <w:rFonts w:hint="eastAsia"/>
              </w:rPr>
              <w:t>SO</w:t>
            </w:r>
            <w:r>
              <w:rPr>
                <w:rFonts w:hint="eastAsia"/>
                <w:vertAlign w:val="subscript"/>
              </w:rPr>
              <w:t>2</w:t>
            </w:r>
          </w:p>
        </w:tc>
        <w:tc>
          <w:tcPr>
            <w:tcW w:w="1620" w:type="dxa"/>
            <w:shd w:val="clear" w:color="auto" w:fill="auto"/>
            <w:vAlign w:val="center"/>
          </w:tcPr>
          <w:p>
            <w:pPr>
              <w:pStyle w:val="89"/>
              <w:rPr>
                <w:snapToGrid w:val="0"/>
              </w:rPr>
            </w:pPr>
            <w:r>
              <w:rPr>
                <w:rFonts w:hint="eastAsia"/>
                <w:snapToGrid w:val="0"/>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71" w:type="dxa"/>
            <w:gridSpan w:val="2"/>
            <w:vMerge w:val="continue"/>
            <w:shd w:val="clear" w:color="auto" w:fill="auto"/>
            <w:vAlign w:val="center"/>
          </w:tcPr>
          <w:p>
            <w:pPr>
              <w:pStyle w:val="89"/>
              <w:rPr>
                <w:snapToGrid w:val="0"/>
              </w:rPr>
            </w:pPr>
          </w:p>
        </w:tc>
        <w:tc>
          <w:tcPr>
            <w:tcW w:w="4685" w:type="dxa"/>
            <w:gridSpan w:val="3"/>
            <w:shd w:val="clear" w:color="auto" w:fill="auto"/>
            <w:vAlign w:val="center"/>
          </w:tcPr>
          <w:p>
            <w:pPr>
              <w:pStyle w:val="89"/>
            </w:pPr>
            <w:r>
              <w:rPr>
                <w:rFonts w:hint="eastAsia"/>
              </w:rPr>
              <w:t>NOx</w:t>
            </w:r>
          </w:p>
        </w:tc>
        <w:tc>
          <w:tcPr>
            <w:tcW w:w="1620" w:type="dxa"/>
            <w:shd w:val="clear" w:color="auto" w:fill="auto"/>
            <w:vAlign w:val="center"/>
          </w:tcPr>
          <w:p>
            <w:pPr>
              <w:pStyle w:val="89"/>
              <w:rPr>
                <w:snapToGrid w:val="0"/>
              </w:rPr>
            </w:pPr>
            <w:r>
              <w:rPr>
                <w:rFonts w:hint="eastAsia"/>
                <w:snapToGrid w:val="0"/>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71" w:type="dxa"/>
            <w:gridSpan w:val="2"/>
            <w:vMerge w:val="continue"/>
            <w:shd w:val="clear" w:color="auto" w:fill="auto"/>
            <w:vAlign w:val="center"/>
          </w:tcPr>
          <w:p>
            <w:pPr>
              <w:pStyle w:val="89"/>
              <w:rPr>
                <w:snapToGrid w:val="0"/>
              </w:rPr>
            </w:pPr>
          </w:p>
        </w:tc>
        <w:tc>
          <w:tcPr>
            <w:tcW w:w="4685" w:type="dxa"/>
            <w:gridSpan w:val="3"/>
            <w:shd w:val="clear" w:color="auto" w:fill="auto"/>
            <w:vAlign w:val="center"/>
          </w:tcPr>
          <w:p>
            <w:pPr>
              <w:pStyle w:val="89"/>
            </w:pPr>
            <w:r>
              <w:rPr>
                <w:rFonts w:hint="eastAsia"/>
              </w:rPr>
              <w:t>油烟</w:t>
            </w:r>
          </w:p>
        </w:tc>
        <w:tc>
          <w:tcPr>
            <w:tcW w:w="1620" w:type="dxa"/>
            <w:shd w:val="clear" w:color="auto" w:fill="auto"/>
            <w:vAlign w:val="center"/>
          </w:tcPr>
          <w:p>
            <w:pPr>
              <w:pStyle w:val="89"/>
              <w:rPr>
                <w:snapToGrid w:val="0"/>
              </w:rPr>
            </w:pPr>
            <w:r>
              <w:rPr>
                <w:rFonts w:hint="eastAsia"/>
                <w:snapToGrid w:val="0"/>
              </w:rPr>
              <w:t>0.0029</w:t>
            </w:r>
          </w:p>
        </w:tc>
      </w:tr>
    </w:tbl>
    <w:p>
      <w:pPr>
        <w:pStyle w:val="85"/>
        <w:rPr>
          <w:rFonts w:hAnsi="Times New Roman"/>
          <w:snapToGrid w:val="0"/>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t xml:space="preserve">7 </w:t>
      </w:r>
      <w:r>
        <w:rPr>
          <w:rFonts w:hAnsi="Times New Roman"/>
          <w:snapToGrid w:val="0"/>
        </w:rPr>
        <w:t>大气污染物无组织排放量核算表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1485"/>
        <w:gridCol w:w="826"/>
        <w:gridCol w:w="367"/>
        <w:gridCol w:w="460"/>
        <w:gridCol w:w="1240"/>
        <w:gridCol w:w="1374"/>
        <w:gridCol w:w="1030"/>
        <w:gridCol w:w="76"/>
        <w:gridCol w:w="1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0" w:type="dxa"/>
            <w:vMerge w:val="restart"/>
            <w:shd w:val="clear" w:color="auto" w:fill="auto"/>
            <w:vAlign w:val="center"/>
          </w:tcPr>
          <w:p>
            <w:pPr>
              <w:pStyle w:val="89"/>
              <w:rPr>
                <w:snapToGrid w:val="0"/>
              </w:rPr>
            </w:pPr>
            <w:r>
              <w:rPr>
                <w:snapToGrid w:val="0"/>
              </w:rPr>
              <w:t>序号</w:t>
            </w:r>
          </w:p>
        </w:tc>
        <w:tc>
          <w:tcPr>
            <w:tcW w:w="1485" w:type="dxa"/>
            <w:vMerge w:val="restart"/>
            <w:shd w:val="clear" w:color="auto" w:fill="auto"/>
            <w:vAlign w:val="center"/>
          </w:tcPr>
          <w:p>
            <w:pPr>
              <w:pStyle w:val="89"/>
              <w:rPr>
                <w:snapToGrid w:val="0"/>
              </w:rPr>
            </w:pPr>
            <w:r>
              <w:rPr>
                <w:snapToGrid w:val="0"/>
              </w:rPr>
              <w:t>排放口</w:t>
            </w:r>
          </w:p>
          <w:p>
            <w:pPr>
              <w:pStyle w:val="89"/>
              <w:rPr>
                <w:snapToGrid w:val="0"/>
              </w:rPr>
            </w:pPr>
            <w:r>
              <w:rPr>
                <w:snapToGrid w:val="0"/>
              </w:rPr>
              <w:t>编号</w:t>
            </w:r>
          </w:p>
        </w:tc>
        <w:tc>
          <w:tcPr>
            <w:tcW w:w="826" w:type="dxa"/>
            <w:vMerge w:val="restart"/>
            <w:shd w:val="clear" w:color="auto" w:fill="auto"/>
            <w:vAlign w:val="center"/>
          </w:tcPr>
          <w:p>
            <w:pPr>
              <w:pStyle w:val="89"/>
              <w:rPr>
                <w:snapToGrid w:val="0"/>
              </w:rPr>
            </w:pPr>
            <w:r>
              <w:rPr>
                <w:snapToGrid w:val="0"/>
              </w:rPr>
              <w:t>产污环节</w:t>
            </w:r>
          </w:p>
        </w:tc>
        <w:tc>
          <w:tcPr>
            <w:tcW w:w="827" w:type="dxa"/>
            <w:gridSpan w:val="2"/>
            <w:vMerge w:val="restart"/>
            <w:shd w:val="clear" w:color="auto" w:fill="auto"/>
            <w:vAlign w:val="center"/>
          </w:tcPr>
          <w:p>
            <w:pPr>
              <w:pStyle w:val="89"/>
            </w:pPr>
            <w:r>
              <w:t>污染物</w:t>
            </w:r>
          </w:p>
        </w:tc>
        <w:tc>
          <w:tcPr>
            <w:tcW w:w="1240" w:type="dxa"/>
            <w:vMerge w:val="restart"/>
            <w:shd w:val="clear" w:color="auto" w:fill="auto"/>
            <w:vAlign w:val="center"/>
          </w:tcPr>
          <w:p>
            <w:pPr>
              <w:pStyle w:val="89"/>
            </w:pPr>
            <w:r>
              <w:t>主要污染防治措施</w:t>
            </w:r>
          </w:p>
        </w:tc>
        <w:tc>
          <w:tcPr>
            <w:tcW w:w="2480" w:type="dxa"/>
            <w:gridSpan w:val="3"/>
            <w:shd w:val="clear" w:color="auto" w:fill="auto"/>
            <w:vAlign w:val="center"/>
          </w:tcPr>
          <w:p>
            <w:pPr>
              <w:pStyle w:val="89"/>
              <w:rPr>
                <w:snapToGrid w:val="0"/>
              </w:rPr>
            </w:pPr>
            <w:r>
              <w:rPr>
                <w:snapToGrid w:val="0"/>
              </w:rPr>
              <w:t>国家或地方污染物排放标准</w:t>
            </w:r>
          </w:p>
        </w:tc>
        <w:tc>
          <w:tcPr>
            <w:tcW w:w="1008" w:type="dxa"/>
            <w:vMerge w:val="restart"/>
            <w:shd w:val="clear" w:color="auto" w:fill="auto"/>
            <w:vAlign w:val="center"/>
          </w:tcPr>
          <w:p>
            <w:pPr>
              <w:pStyle w:val="89"/>
            </w:pPr>
            <w:r>
              <w:rPr>
                <w:snapToGrid w:val="0"/>
              </w:rPr>
              <w:t>核算年排放量/</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0" w:type="dxa"/>
            <w:vMerge w:val="continue"/>
            <w:shd w:val="clear" w:color="auto" w:fill="auto"/>
            <w:vAlign w:val="center"/>
          </w:tcPr>
          <w:p>
            <w:pPr>
              <w:pStyle w:val="89"/>
              <w:rPr>
                <w:snapToGrid w:val="0"/>
              </w:rPr>
            </w:pPr>
          </w:p>
        </w:tc>
        <w:tc>
          <w:tcPr>
            <w:tcW w:w="1485" w:type="dxa"/>
            <w:vMerge w:val="continue"/>
            <w:shd w:val="clear" w:color="auto" w:fill="auto"/>
            <w:vAlign w:val="center"/>
          </w:tcPr>
          <w:p>
            <w:pPr>
              <w:pStyle w:val="89"/>
              <w:rPr>
                <w:snapToGrid w:val="0"/>
              </w:rPr>
            </w:pPr>
          </w:p>
        </w:tc>
        <w:tc>
          <w:tcPr>
            <w:tcW w:w="826" w:type="dxa"/>
            <w:vMerge w:val="continue"/>
            <w:shd w:val="clear" w:color="auto" w:fill="auto"/>
            <w:vAlign w:val="center"/>
          </w:tcPr>
          <w:p>
            <w:pPr>
              <w:pStyle w:val="89"/>
              <w:rPr>
                <w:snapToGrid w:val="0"/>
              </w:rPr>
            </w:pPr>
          </w:p>
        </w:tc>
        <w:tc>
          <w:tcPr>
            <w:tcW w:w="827" w:type="dxa"/>
            <w:gridSpan w:val="2"/>
            <w:vMerge w:val="continue"/>
            <w:shd w:val="clear" w:color="auto" w:fill="auto"/>
            <w:vAlign w:val="center"/>
          </w:tcPr>
          <w:p>
            <w:pPr>
              <w:pStyle w:val="89"/>
              <w:rPr>
                <w:snapToGrid w:val="0"/>
              </w:rPr>
            </w:pPr>
          </w:p>
        </w:tc>
        <w:tc>
          <w:tcPr>
            <w:tcW w:w="1240" w:type="dxa"/>
            <w:vMerge w:val="continue"/>
            <w:shd w:val="clear" w:color="auto" w:fill="auto"/>
            <w:vAlign w:val="center"/>
          </w:tcPr>
          <w:p>
            <w:pPr>
              <w:pStyle w:val="89"/>
              <w:rPr>
                <w:snapToGrid w:val="0"/>
              </w:rPr>
            </w:pPr>
          </w:p>
        </w:tc>
        <w:tc>
          <w:tcPr>
            <w:tcW w:w="1374" w:type="dxa"/>
            <w:shd w:val="clear" w:color="auto" w:fill="auto"/>
            <w:vAlign w:val="center"/>
          </w:tcPr>
          <w:p>
            <w:pPr>
              <w:pStyle w:val="89"/>
              <w:rPr>
                <w:snapToGrid w:val="0"/>
              </w:rPr>
            </w:pPr>
            <w:r>
              <w:rPr>
                <w:snapToGrid w:val="0"/>
              </w:rPr>
              <w:t>标准名称</w:t>
            </w:r>
          </w:p>
        </w:tc>
        <w:tc>
          <w:tcPr>
            <w:tcW w:w="1106" w:type="dxa"/>
            <w:gridSpan w:val="2"/>
            <w:shd w:val="clear" w:color="auto" w:fill="auto"/>
            <w:vAlign w:val="center"/>
          </w:tcPr>
          <w:p>
            <w:pPr>
              <w:pStyle w:val="89"/>
              <w:rPr>
                <w:snapToGrid w:val="0"/>
              </w:rPr>
            </w:pPr>
            <w:r>
              <w:rPr>
                <w:snapToGrid w:val="0"/>
              </w:rPr>
              <w:t>浓度限值</w:t>
            </w:r>
          </w:p>
          <w:p>
            <w:pPr>
              <w:pStyle w:val="89"/>
            </w:pPr>
            <w:r>
              <w:t>（mg/m</w:t>
            </w:r>
            <w:r>
              <w:rPr>
                <w:vertAlign w:val="superscript"/>
              </w:rPr>
              <w:t>3</w:t>
            </w:r>
            <w:r>
              <w:t>）</w:t>
            </w:r>
          </w:p>
        </w:tc>
        <w:tc>
          <w:tcPr>
            <w:tcW w:w="1008" w:type="dxa"/>
            <w:vMerge w:val="continue"/>
            <w:shd w:val="clear" w:color="auto" w:fill="auto"/>
            <w:vAlign w:val="center"/>
          </w:tcPr>
          <w:p>
            <w:pPr>
              <w:pStyle w:val="89"/>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1" w:hRule="atLeast"/>
        </w:trPr>
        <w:tc>
          <w:tcPr>
            <w:tcW w:w="410" w:type="dxa"/>
            <w:vMerge w:val="restart"/>
            <w:shd w:val="clear" w:color="auto" w:fill="auto"/>
            <w:vAlign w:val="center"/>
          </w:tcPr>
          <w:p>
            <w:pPr>
              <w:pStyle w:val="89"/>
              <w:rPr>
                <w:snapToGrid w:val="0"/>
              </w:rPr>
            </w:pPr>
            <w:r>
              <w:rPr>
                <w:snapToGrid w:val="0"/>
              </w:rPr>
              <w:t>1</w:t>
            </w:r>
          </w:p>
        </w:tc>
        <w:tc>
          <w:tcPr>
            <w:tcW w:w="1485" w:type="dxa"/>
            <w:vMerge w:val="restart"/>
            <w:shd w:val="clear" w:color="auto" w:fill="auto"/>
            <w:vAlign w:val="center"/>
          </w:tcPr>
          <w:p>
            <w:pPr>
              <w:pStyle w:val="89"/>
              <w:rPr>
                <w:snapToGrid w:val="0"/>
              </w:rPr>
            </w:pPr>
            <w:r>
              <w:rPr>
                <w:snapToGrid w:val="0"/>
              </w:rPr>
              <w:t>A1（</w:t>
            </w:r>
            <w:r>
              <w:rPr>
                <w:rFonts w:hint="eastAsia"/>
                <w:snapToGrid w:val="0"/>
              </w:rPr>
              <w:t>猪舍</w:t>
            </w:r>
            <w:r>
              <w:rPr>
                <w:snapToGrid w:val="0"/>
              </w:rPr>
              <w:t>）</w:t>
            </w:r>
          </w:p>
        </w:tc>
        <w:tc>
          <w:tcPr>
            <w:tcW w:w="826" w:type="dxa"/>
            <w:vMerge w:val="restart"/>
            <w:shd w:val="clear" w:color="auto" w:fill="auto"/>
            <w:vAlign w:val="center"/>
          </w:tcPr>
          <w:p>
            <w:pPr>
              <w:pStyle w:val="89"/>
              <w:rPr>
                <w:snapToGrid w:val="0"/>
              </w:rPr>
            </w:pPr>
            <w:r>
              <w:rPr>
                <w:rFonts w:hint="eastAsia"/>
                <w:snapToGrid w:val="0"/>
              </w:rPr>
              <w:t>养殖</w:t>
            </w:r>
          </w:p>
        </w:tc>
        <w:tc>
          <w:tcPr>
            <w:tcW w:w="827" w:type="dxa"/>
            <w:gridSpan w:val="2"/>
            <w:shd w:val="clear" w:color="auto" w:fill="auto"/>
            <w:vAlign w:val="center"/>
          </w:tcPr>
          <w:p>
            <w:pPr>
              <w:pStyle w:val="89"/>
            </w:pPr>
            <w:r>
              <w:rPr>
                <w:rFonts w:hint="eastAsia"/>
                <w:snapToGrid w:val="0"/>
              </w:rPr>
              <w:t>NH</w:t>
            </w:r>
            <w:r>
              <w:rPr>
                <w:rFonts w:hint="eastAsia"/>
                <w:snapToGrid w:val="0"/>
                <w:vertAlign w:val="subscript"/>
              </w:rPr>
              <w:t>3</w:t>
            </w:r>
          </w:p>
        </w:tc>
        <w:tc>
          <w:tcPr>
            <w:tcW w:w="1240" w:type="dxa"/>
            <w:vMerge w:val="restart"/>
            <w:shd w:val="clear" w:color="auto" w:fill="auto"/>
            <w:vAlign w:val="center"/>
          </w:tcPr>
          <w:p>
            <w:pPr>
              <w:pStyle w:val="89"/>
              <w:rPr>
                <w:snapToGrid w:val="0"/>
              </w:rPr>
            </w:pPr>
            <w:r>
              <w:rPr>
                <w:rFonts w:hint="eastAsia"/>
              </w:rPr>
              <w:t>优化</w:t>
            </w:r>
            <w:r>
              <w:t>养殖，</w:t>
            </w:r>
            <w:r>
              <w:rPr>
                <w:rFonts w:hint="eastAsia"/>
              </w:rPr>
              <w:t>饲料</w:t>
            </w:r>
            <w:r>
              <w:t>中添加抑制剂</w:t>
            </w:r>
            <w:r>
              <w:rPr>
                <w:rFonts w:hint="eastAsia"/>
              </w:rPr>
              <w:t>，</w:t>
            </w:r>
            <w:r>
              <w:t>猪舍干清粪工艺，加强通风</w:t>
            </w:r>
          </w:p>
        </w:tc>
        <w:tc>
          <w:tcPr>
            <w:tcW w:w="1374" w:type="dxa"/>
            <w:vMerge w:val="restart"/>
            <w:shd w:val="clear" w:color="auto" w:fill="auto"/>
            <w:vAlign w:val="center"/>
          </w:tcPr>
          <w:p>
            <w:pPr>
              <w:pStyle w:val="89"/>
              <w:rPr>
                <w:snapToGrid w:val="0"/>
              </w:rPr>
            </w:pPr>
            <w:r>
              <w:rPr>
                <w:snapToGrid w:val="0"/>
              </w:rPr>
              <w:t xml:space="preserve">《恶臭污染物排放标准》（GB14554-93）表1 </w:t>
            </w:r>
            <w:r>
              <w:rPr>
                <w:rFonts w:hint="eastAsia"/>
                <w:snapToGrid w:val="0"/>
              </w:rPr>
              <w:t>二级</w:t>
            </w:r>
            <w:r>
              <w:rPr>
                <w:snapToGrid w:val="0"/>
              </w:rPr>
              <w:t>标准</w:t>
            </w:r>
          </w:p>
        </w:tc>
        <w:tc>
          <w:tcPr>
            <w:tcW w:w="1106" w:type="dxa"/>
            <w:gridSpan w:val="2"/>
            <w:shd w:val="clear" w:color="auto" w:fill="auto"/>
            <w:vAlign w:val="center"/>
          </w:tcPr>
          <w:p>
            <w:pPr>
              <w:pStyle w:val="89"/>
              <w:rPr>
                <w:snapToGrid w:val="0"/>
              </w:rPr>
            </w:pPr>
            <w:r>
              <w:rPr>
                <w:rFonts w:hint="eastAsia"/>
                <w:snapToGrid w:val="0"/>
              </w:rPr>
              <w:t>1.5</w:t>
            </w:r>
          </w:p>
        </w:tc>
        <w:tc>
          <w:tcPr>
            <w:tcW w:w="1008" w:type="dxa"/>
            <w:shd w:val="clear" w:color="auto" w:fill="auto"/>
            <w:vAlign w:val="center"/>
          </w:tcPr>
          <w:p>
            <w:pPr>
              <w:pStyle w:val="89"/>
              <w:rPr>
                <w:snapToGrid w:val="0"/>
              </w:rPr>
            </w:pPr>
            <w:r>
              <w:t>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410" w:type="dxa"/>
            <w:vMerge w:val="continue"/>
            <w:shd w:val="clear" w:color="auto" w:fill="auto"/>
            <w:vAlign w:val="center"/>
          </w:tcPr>
          <w:p>
            <w:pPr>
              <w:pStyle w:val="89"/>
              <w:rPr>
                <w:snapToGrid w:val="0"/>
              </w:rPr>
            </w:pPr>
          </w:p>
        </w:tc>
        <w:tc>
          <w:tcPr>
            <w:tcW w:w="1485" w:type="dxa"/>
            <w:vMerge w:val="continue"/>
            <w:shd w:val="clear" w:color="auto" w:fill="auto"/>
            <w:vAlign w:val="center"/>
          </w:tcPr>
          <w:p>
            <w:pPr>
              <w:pStyle w:val="89"/>
              <w:rPr>
                <w:snapToGrid w:val="0"/>
              </w:rPr>
            </w:pPr>
          </w:p>
        </w:tc>
        <w:tc>
          <w:tcPr>
            <w:tcW w:w="826" w:type="dxa"/>
            <w:vMerge w:val="continue"/>
            <w:shd w:val="clear" w:color="auto" w:fill="auto"/>
            <w:vAlign w:val="center"/>
          </w:tcPr>
          <w:p>
            <w:pPr>
              <w:pStyle w:val="89"/>
              <w:rPr>
                <w:snapToGrid w:val="0"/>
              </w:rPr>
            </w:pPr>
          </w:p>
        </w:tc>
        <w:tc>
          <w:tcPr>
            <w:tcW w:w="827" w:type="dxa"/>
            <w:gridSpan w:val="2"/>
            <w:shd w:val="clear" w:color="auto" w:fill="auto"/>
            <w:vAlign w:val="center"/>
          </w:tcPr>
          <w:p>
            <w:pPr>
              <w:pStyle w:val="89"/>
            </w:pPr>
            <w:r>
              <w:t>H</w:t>
            </w:r>
            <w:r>
              <w:rPr>
                <w:vertAlign w:val="subscript"/>
              </w:rPr>
              <w:t>2</w:t>
            </w:r>
            <w:r>
              <w:t>S</w:t>
            </w:r>
          </w:p>
        </w:tc>
        <w:tc>
          <w:tcPr>
            <w:tcW w:w="1240" w:type="dxa"/>
            <w:vMerge w:val="continue"/>
            <w:shd w:val="clear" w:color="auto" w:fill="auto"/>
            <w:vAlign w:val="center"/>
          </w:tcPr>
          <w:p>
            <w:pPr>
              <w:pStyle w:val="89"/>
              <w:rPr>
                <w:snapToGrid w:val="0"/>
              </w:rPr>
            </w:pPr>
          </w:p>
        </w:tc>
        <w:tc>
          <w:tcPr>
            <w:tcW w:w="1374" w:type="dxa"/>
            <w:vMerge w:val="continue"/>
            <w:shd w:val="clear" w:color="auto" w:fill="auto"/>
            <w:vAlign w:val="center"/>
          </w:tcPr>
          <w:p>
            <w:pPr>
              <w:pStyle w:val="89"/>
              <w:rPr>
                <w:snapToGrid w:val="0"/>
              </w:rPr>
            </w:pPr>
          </w:p>
        </w:tc>
        <w:tc>
          <w:tcPr>
            <w:tcW w:w="1106" w:type="dxa"/>
            <w:gridSpan w:val="2"/>
            <w:shd w:val="clear" w:color="auto" w:fill="auto"/>
            <w:vAlign w:val="center"/>
          </w:tcPr>
          <w:p>
            <w:pPr>
              <w:pStyle w:val="89"/>
              <w:rPr>
                <w:snapToGrid w:val="0"/>
              </w:rPr>
            </w:pPr>
            <w:r>
              <w:rPr>
                <w:snapToGrid w:val="0"/>
              </w:rPr>
              <w:t>0.06</w:t>
            </w:r>
          </w:p>
        </w:tc>
        <w:tc>
          <w:tcPr>
            <w:tcW w:w="1008" w:type="dxa"/>
            <w:shd w:val="clear" w:color="auto" w:fill="auto"/>
            <w:vAlign w:val="center"/>
          </w:tcPr>
          <w:p>
            <w:pPr>
              <w:pStyle w:val="89"/>
              <w:rPr>
                <w:snapToGrid w:val="0"/>
              </w:rPr>
            </w:pPr>
            <w:r>
              <w:rPr>
                <w:rFonts w:hAnsi="宋体"/>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0" w:type="dxa"/>
            <w:vMerge w:val="restart"/>
            <w:shd w:val="clear" w:color="auto" w:fill="auto"/>
            <w:vAlign w:val="center"/>
          </w:tcPr>
          <w:p>
            <w:pPr>
              <w:pStyle w:val="89"/>
              <w:rPr>
                <w:snapToGrid w:val="0"/>
                <w:highlight w:val="yellow"/>
              </w:rPr>
            </w:pPr>
            <w:r>
              <w:rPr>
                <w:snapToGrid w:val="0"/>
              </w:rPr>
              <w:t>2</w:t>
            </w:r>
          </w:p>
        </w:tc>
        <w:tc>
          <w:tcPr>
            <w:tcW w:w="1485" w:type="dxa"/>
            <w:vMerge w:val="restart"/>
            <w:shd w:val="clear" w:color="auto" w:fill="auto"/>
            <w:vAlign w:val="center"/>
          </w:tcPr>
          <w:p>
            <w:pPr>
              <w:pStyle w:val="89"/>
              <w:rPr>
                <w:snapToGrid w:val="0"/>
              </w:rPr>
            </w:pPr>
            <w:r>
              <w:rPr>
                <w:rFonts w:hint="eastAsia"/>
                <w:snapToGrid w:val="0"/>
              </w:rPr>
              <w:t>A2（堆粪</w:t>
            </w:r>
            <w:r>
              <w:rPr>
                <w:snapToGrid w:val="0"/>
              </w:rPr>
              <w:t>棚</w:t>
            </w:r>
            <w:r>
              <w:rPr>
                <w:rFonts w:hint="eastAsia"/>
                <w:snapToGrid w:val="0"/>
              </w:rPr>
              <w:t>）</w:t>
            </w:r>
          </w:p>
        </w:tc>
        <w:tc>
          <w:tcPr>
            <w:tcW w:w="826" w:type="dxa"/>
            <w:vMerge w:val="restart"/>
            <w:shd w:val="clear" w:color="auto" w:fill="auto"/>
            <w:vAlign w:val="center"/>
          </w:tcPr>
          <w:p>
            <w:pPr>
              <w:pStyle w:val="89"/>
              <w:rPr>
                <w:snapToGrid w:val="0"/>
              </w:rPr>
            </w:pPr>
            <w:r>
              <w:rPr>
                <w:rFonts w:hint="eastAsia"/>
                <w:snapToGrid w:val="0"/>
              </w:rPr>
              <w:t>堆粪</w:t>
            </w:r>
          </w:p>
        </w:tc>
        <w:tc>
          <w:tcPr>
            <w:tcW w:w="827" w:type="dxa"/>
            <w:gridSpan w:val="2"/>
            <w:shd w:val="clear" w:color="auto" w:fill="auto"/>
            <w:vAlign w:val="center"/>
          </w:tcPr>
          <w:p>
            <w:pPr>
              <w:pStyle w:val="89"/>
            </w:pPr>
            <w:r>
              <w:rPr>
                <w:rFonts w:hint="eastAsia"/>
                <w:snapToGrid w:val="0"/>
              </w:rPr>
              <w:t>NH</w:t>
            </w:r>
            <w:r>
              <w:rPr>
                <w:rFonts w:hint="eastAsia"/>
                <w:snapToGrid w:val="0"/>
                <w:vertAlign w:val="subscript"/>
              </w:rPr>
              <w:t>3</w:t>
            </w:r>
          </w:p>
        </w:tc>
        <w:tc>
          <w:tcPr>
            <w:tcW w:w="1240" w:type="dxa"/>
            <w:vMerge w:val="restart"/>
            <w:shd w:val="clear" w:color="auto" w:fill="auto"/>
            <w:vAlign w:val="center"/>
          </w:tcPr>
          <w:p>
            <w:pPr>
              <w:pStyle w:val="89"/>
              <w:rPr>
                <w:snapToGrid w:val="0"/>
              </w:rPr>
            </w:pPr>
            <w:r>
              <w:rPr>
                <w:rFonts w:hint="eastAsia"/>
                <w:snapToGrid w:val="0"/>
              </w:rPr>
              <w:t>喷洒除臭剂</w:t>
            </w:r>
          </w:p>
        </w:tc>
        <w:tc>
          <w:tcPr>
            <w:tcW w:w="1374" w:type="dxa"/>
            <w:vMerge w:val="continue"/>
            <w:shd w:val="clear" w:color="auto" w:fill="auto"/>
            <w:vAlign w:val="center"/>
          </w:tcPr>
          <w:p>
            <w:pPr>
              <w:pStyle w:val="89"/>
              <w:rPr>
                <w:snapToGrid w:val="0"/>
                <w:highlight w:val="yellow"/>
              </w:rPr>
            </w:pPr>
          </w:p>
        </w:tc>
        <w:tc>
          <w:tcPr>
            <w:tcW w:w="1106" w:type="dxa"/>
            <w:gridSpan w:val="2"/>
            <w:shd w:val="clear" w:color="auto" w:fill="auto"/>
            <w:vAlign w:val="center"/>
          </w:tcPr>
          <w:p>
            <w:pPr>
              <w:pStyle w:val="89"/>
              <w:rPr>
                <w:snapToGrid w:val="0"/>
              </w:rPr>
            </w:pPr>
            <w:r>
              <w:rPr>
                <w:rFonts w:hint="eastAsia"/>
                <w:snapToGrid w:val="0"/>
              </w:rPr>
              <w:t>1.5</w:t>
            </w:r>
          </w:p>
        </w:tc>
        <w:tc>
          <w:tcPr>
            <w:tcW w:w="1008" w:type="dxa"/>
            <w:shd w:val="clear" w:color="auto" w:fill="auto"/>
            <w:vAlign w:val="center"/>
          </w:tcPr>
          <w:p>
            <w:pPr>
              <w:pStyle w:val="89"/>
              <w:rPr>
                <w:snapToGrid w:val="0"/>
              </w:rPr>
            </w:pPr>
            <w:r>
              <w:rPr>
                <w:rFonts w:hint="eastAsia"/>
              </w:rPr>
              <w:t>0.0</w:t>
            </w:r>
            <w: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0" w:type="dxa"/>
            <w:vMerge w:val="continue"/>
            <w:shd w:val="clear" w:color="auto" w:fill="auto"/>
            <w:vAlign w:val="center"/>
          </w:tcPr>
          <w:p>
            <w:pPr>
              <w:pStyle w:val="89"/>
              <w:rPr>
                <w:snapToGrid w:val="0"/>
                <w:highlight w:val="yellow"/>
              </w:rPr>
            </w:pPr>
          </w:p>
        </w:tc>
        <w:tc>
          <w:tcPr>
            <w:tcW w:w="1485" w:type="dxa"/>
            <w:vMerge w:val="continue"/>
            <w:shd w:val="clear" w:color="auto" w:fill="auto"/>
            <w:vAlign w:val="center"/>
          </w:tcPr>
          <w:p>
            <w:pPr>
              <w:pStyle w:val="89"/>
              <w:rPr>
                <w:snapToGrid w:val="0"/>
              </w:rPr>
            </w:pPr>
          </w:p>
        </w:tc>
        <w:tc>
          <w:tcPr>
            <w:tcW w:w="826" w:type="dxa"/>
            <w:vMerge w:val="continue"/>
            <w:shd w:val="clear" w:color="auto" w:fill="auto"/>
            <w:vAlign w:val="center"/>
          </w:tcPr>
          <w:p>
            <w:pPr>
              <w:pStyle w:val="89"/>
              <w:rPr>
                <w:snapToGrid w:val="0"/>
              </w:rPr>
            </w:pPr>
          </w:p>
        </w:tc>
        <w:tc>
          <w:tcPr>
            <w:tcW w:w="827" w:type="dxa"/>
            <w:gridSpan w:val="2"/>
            <w:shd w:val="clear" w:color="auto" w:fill="auto"/>
            <w:vAlign w:val="center"/>
          </w:tcPr>
          <w:p>
            <w:pPr>
              <w:pStyle w:val="89"/>
            </w:pPr>
            <w:r>
              <w:t>H</w:t>
            </w:r>
            <w:r>
              <w:rPr>
                <w:vertAlign w:val="subscript"/>
              </w:rPr>
              <w:t>2</w:t>
            </w:r>
            <w:r>
              <w:t>S</w:t>
            </w:r>
          </w:p>
        </w:tc>
        <w:tc>
          <w:tcPr>
            <w:tcW w:w="1240" w:type="dxa"/>
            <w:vMerge w:val="continue"/>
            <w:shd w:val="clear" w:color="auto" w:fill="auto"/>
            <w:vAlign w:val="center"/>
          </w:tcPr>
          <w:p>
            <w:pPr>
              <w:pStyle w:val="89"/>
              <w:rPr>
                <w:snapToGrid w:val="0"/>
              </w:rPr>
            </w:pPr>
          </w:p>
        </w:tc>
        <w:tc>
          <w:tcPr>
            <w:tcW w:w="1374" w:type="dxa"/>
            <w:vMerge w:val="continue"/>
            <w:shd w:val="clear" w:color="auto" w:fill="auto"/>
            <w:vAlign w:val="center"/>
          </w:tcPr>
          <w:p>
            <w:pPr>
              <w:pStyle w:val="89"/>
              <w:rPr>
                <w:snapToGrid w:val="0"/>
                <w:highlight w:val="yellow"/>
              </w:rPr>
            </w:pPr>
          </w:p>
        </w:tc>
        <w:tc>
          <w:tcPr>
            <w:tcW w:w="1106" w:type="dxa"/>
            <w:gridSpan w:val="2"/>
            <w:shd w:val="clear" w:color="auto" w:fill="auto"/>
            <w:vAlign w:val="center"/>
          </w:tcPr>
          <w:p>
            <w:pPr>
              <w:pStyle w:val="89"/>
              <w:rPr>
                <w:snapToGrid w:val="0"/>
              </w:rPr>
            </w:pPr>
            <w:r>
              <w:rPr>
                <w:snapToGrid w:val="0"/>
              </w:rPr>
              <w:t>0.06</w:t>
            </w:r>
          </w:p>
        </w:tc>
        <w:tc>
          <w:tcPr>
            <w:tcW w:w="1008" w:type="dxa"/>
            <w:shd w:val="clear" w:color="auto" w:fill="auto"/>
            <w:vAlign w:val="center"/>
          </w:tcPr>
          <w:p>
            <w:pPr>
              <w:pStyle w:val="89"/>
              <w:rPr>
                <w:snapToGrid w:val="0"/>
              </w:rPr>
            </w:pPr>
            <w:r>
              <w:rPr>
                <w:rFonts w:hint="eastAsia"/>
              </w:rPr>
              <w:t>0.0</w:t>
            </w:r>
            <w: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0" w:type="dxa"/>
            <w:vMerge w:val="restart"/>
            <w:shd w:val="clear" w:color="auto" w:fill="auto"/>
            <w:vAlign w:val="center"/>
          </w:tcPr>
          <w:p>
            <w:pPr>
              <w:pStyle w:val="89"/>
              <w:rPr>
                <w:snapToGrid w:val="0"/>
                <w:highlight w:val="yellow"/>
              </w:rPr>
            </w:pPr>
            <w:r>
              <w:rPr>
                <w:snapToGrid w:val="0"/>
              </w:rPr>
              <w:t>3</w:t>
            </w:r>
          </w:p>
        </w:tc>
        <w:tc>
          <w:tcPr>
            <w:tcW w:w="1485" w:type="dxa"/>
            <w:vMerge w:val="restart"/>
            <w:shd w:val="clear" w:color="auto" w:fill="auto"/>
            <w:vAlign w:val="center"/>
          </w:tcPr>
          <w:p>
            <w:pPr>
              <w:pStyle w:val="89"/>
              <w:rPr>
                <w:snapToGrid w:val="0"/>
              </w:rPr>
            </w:pPr>
            <w:r>
              <w:rPr>
                <w:rFonts w:hint="eastAsia"/>
                <w:snapToGrid w:val="0"/>
              </w:rPr>
              <w:t>A</w:t>
            </w:r>
            <w:r>
              <w:rPr>
                <w:snapToGrid w:val="0"/>
              </w:rPr>
              <w:t>3（</w:t>
            </w:r>
            <w:r>
              <w:rPr>
                <w:rFonts w:hint="eastAsia"/>
                <w:snapToGrid w:val="0"/>
              </w:rPr>
              <w:t>污水处理</w:t>
            </w:r>
            <w:r>
              <w:rPr>
                <w:snapToGrid w:val="0"/>
              </w:rPr>
              <w:t>设施）</w:t>
            </w:r>
          </w:p>
        </w:tc>
        <w:tc>
          <w:tcPr>
            <w:tcW w:w="826" w:type="dxa"/>
            <w:vMerge w:val="restart"/>
            <w:shd w:val="clear" w:color="auto" w:fill="auto"/>
            <w:vAlign w:val="center"/>
          </w:tcPr>
          <w:p>
            <w:pPr>
              <w:pStyle w:val="89"/>
              <w:rPr>
                <w:snapToGrid w:val="0"/>
              </w:rPr>
            </w:pPr>
            <w:r>
              <w:rPr>
                <w:rFonts w:hint="eastAsia"/>
                <w:snapToGrid w:val="0"/>
              </w:rPr>
              <w:t>粪污</w:t>
            </w:r>
            <w:r>
              <w:rPr>
                <w:snapToGrid w:val="0"/>
              </w:rPr>
              <w:t>处理</w:t>
            </w:r>
          </w:p>
        </w:tc>
        <w:tc>
          <w:tcPr>
            <w:tcW w:w="827" w:type="dxa"/>
            <w:gridSpan w:val="2"/>
            <w:shd w:val="clear" w:color="auto" w:fill="auto"/>
            <w:vAlign w:val="center"/>
          </w:tcPr>
          <w:p>
            <w:pPr>
              <w:pStyle w:val="89"/>
            </w:pPr>
            <w:r>
              <w:rPr>
                <w:rFonts w:hint="eastAsia"/>
                <w:snapToGrid w:val="0"/>
              </w:rPr>
              <w:t>NH</w:t>
            </w:r>
            <w:r>
              <w:rPr>
                <w:rFonts w:hint="eastAsia"/>
                <w:snapToGrid w:val="0"/>
                <w:vertAlign w:val="subscript"/>
              </w:rPr>
              <w:t>3</w:t>
            </w:r>
          </w:p>
        </w:tc>
        <w:tc>
          <w:tcPr>
            <w:tcW w:w="1240" w:type="dxa"/>
            <w:vMerge w:val="restart"/>
            <w:shd w:val="clear" w:color="auto" w:fill="auto"/>
            <w:vAlign w:val="center"/>
          </w:tcPr>
          <w:p>
            <w:pPr>
              <w:pStyle w:val="89"/>
              <w:rPr>
                <w:snapToGrid w:val="0"/>
              </w:rPr>
            </w:pPr>
            <w:r>
              <w:rPr>
                <w:rFonts w:hint="eastAsia"/>
                <w:snapToGrid w:val="0"/>
              </w:rPr>
              <w:t>加盖</w:t>
            </w:r>
            <w:r>
              <w:rPr>
                <w:snapToGrid w:val="0"/>
              </w:rPr>
              <w:t>密闭，</w:t>
            </w:r>
            <w:r>
              <w:rPr>
                <w:rFonts w:hint="eastAsia"/>
                <w:snapToGrid w:val="0"/>
              </w:rPr>
              <w:t>喷洒除臭剂</w:t>
            </w:r>
          </w:p>
        </w:tc>
        <w:tc>
          <w:tcPr>
            <w:tcW w:w="1374" w:type="dxa"/>
            <w:vMerge w:val="continue"/>
            <w:shd w:val="clear" w:color="auto" w:fill="auto"/>
            <w:vAlign w:val="center"/>
          </w:tcPr>
          <w:p>
            <w:pPr>
              <w:pStyle w:val="89"/>
              <w:rPr>
                <w:snapToGrid w:val="0"/>
                <w:highlight w:val="yellow"/>
              </w:rPr>
            </w:pPr>
          </w:p>
        </w:tc>
        <w:tc>
          <w:tcPr>
            <w:tcW w:w="1106" w:type="dxa"/>
            <w:gridSpan w:val="2"/>
            <w:shd w:val="clear" w:color="auto" w:fill="auto"/>
            <w:vAlign w:val="center"/>
          </w:tcPr>
          <w:p>
            <w:pPr>
              <w:pStyle w:val="89"/>
              <w:rPr>
                <w:snapToGrid w:val="0"/>
              </w:rPr>
            </w:pPr>
            <w:r>
              <w:rPr>
                <w:rFonts w:hint="eastAsia"/>
                <w:snapToGrid w:val="0"/>
              </w:rPr>
              <w:t>1.5</w:t>
            </w:r>
          </w:p>
        </w:tc>
        <w:tc>
          <w:tcPr>
            <w:tcW w:w="1008" w:type="dxa"/>
            <w:shd w:val="clear" w:color="auto" w:fill="auto"/>
            <w:vAlign w:val="center"/>
          </w:tcPr>
          <w:p>
            <w:pPr>
              <w:pStyle w:val="89"/>
              <w:rPr>
                <w:snapToGrid w:val="0"/>
              </w:rPr>
            </w:pPr>
            <w:r>
              <w:rPr>
                <w:rFonts w:hint="eastAsia"/>
              </w:rPr>
              <w:t>0.0</w:t>
            </w:r>
            <w: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0" w:type="dxa"/>
            <w:vMerge w:val="continue"/>
            <w:shd w:val="clear" w:color="auto" w:fill="auto"/>
            <w:vAlign w:val="center"/>
          </w:tcPr>
          <w:p>
            <w:pPr>
              <w:pStyle w:val="89"/>
              <w:rPr>
                <w:snapToGrid w:val="0"/>
              </w:rPr>
            </w:pPr>
          </w:p>
        </w:tc>
        <w:tc>
          <w:tcPr>
            <w:tcW w:w="1485" w:type="dxa"/>
            <w:vMerge w:val="continue"/>
            <w:shd w:val="clear" w:color="auto" w:fill="auto"/>
            <w:vAlign w:val="center"/>
          </w:tcPr>
          <w:p>
            <w:pPr>
              <w:pStyle w:val="89"/>
              <w:rPr>
                <w:snapToGrid w:val="0"/>
                <w:highlight w:val="yellow"/>
              </w:rPr>
            </w:pPr>
          </w:p>
        </w:tc>
        <w:tc>
          <w:tcPr>
            <w:tcW w:w="826" w:type="dxa"/>
            <w:vMerge w:val="continue"/>
            <w:shd w:val="clear" w:color="auto" w:fill="auto"/>
            <w:vAlign w:val="center"/>
          </w:tcPr>
          <w:p>
            <w:pPr>
              <w:pStyle w:val="89"/>
              <w:rPr>
                <w:snapToGrid w:val="0"/>
                <w:highlight w:val="yellow"/>
              </w:rPr>
            </w:pPr>
          </w:p>
        </w:tc>
        <w:tc>
          <w:tcPr>
            <w:tcW w:w="827" w:type="dxa"/>
            <w:gridSpan w:val="2"/>
            <w:shd w:val="clear" w:color="auto" w:fill="auto"/>
            <w:vAlign w:val="center"/>
          </w:tcPr>
          <w:p>
            <w:pPr>
              <w:pStyle w:val="89"/>
            </w:pPr>
            <w:r>
              <w:t>H</w:t>
            </w:r>
            <w:r>
              <w:rPr>
                <w:vertAlign w:val="subscript"/>
              </w:rPr>
              <w:t>2</w:t>
            </w:r>
            <w:r>
              <w:t>S</w:t>
            </w:r>
          </w:p>
        </w:tc>
        <w:tc>
          <w:tcPr>
            <w:tcW w:w="1240" w:type="dxa"/>
            <w:vMerge w:val="continue"/>
            <w:shd w:val="clear" w:color="auto" w:fill="auto"/>
            <w:vAlign w:val="center"/>
          </w:tcPr>
          <w:p>
            <w:pPr>
              <w:pStyle w:val="89"/>
              <w:rPr>
                <w:snapToGrid w:val="0"/>
              </w:rPr>
            </w:pPr>
          </w:p>
        </w:tc>
        <w:tc>
          <w:tcPr>
            <w:tcW w:w="1374" w:type="dxa"/>
            <w:vMerge w:val="continue"/>
            <w:shd w:val="clear" w:color="auto" w:fill="auto"/>
            <w:vAlign w:val="center"/>
          </w:tcPr>
          <w:p>
            <w:pPr>
              <w:pStyle w:val="89"/>
              <w:rPr>
                <w:snapToGrid w:val="0"/>
                <w:highlight w:val="yellow"/>
              </w:rPr>
            </w:pPr>
          </w:p>
        </w:tc>
        <w:tc>
          <w:tcPr>
            <w:tcW w:w="1106" w:type="dxa"/>
            <w:gridSpan w:val="2"/>
            <w:shd w:val="clear" w:color="auto" w:fill="auto"/>
            <w:vAlign w:val="center"/>
          </w:tcPr>
          <w:p>
            <w:pPr>
              <w:pStyle w:val="89"/>
              <w:rPr>
                <w:snapToGrid w:val="0"/>
              </w:rPr>
            </w:pPr>
            <w:r>
              <w:rPr>
                <w:snapToGrid w:val="0"/>
              </w:rPr>
              <w:t>0.06</w:t>
            </w:r>
          </w:p>
        </w:tc>
        <w:tc>
          <w:tcPr>
            <w:tcW w:w="1008" w:type="dxa"/>
            <w:shd w:val="clear" w:color="auto" w:fill="auto"/>
            <w:vAlign w:val="center"/>
          </w:tcPr>
          <w:p>
            <w:pPr>
              <w:pStyle w:val="89"/>
              <w:rPr>
                <w:snapToGrid w:val="0"/>
              </w:rPr>
            </w:pPr>
            <w:r>
              <w:rPr>
                <w:rFonts w:hint="eastAsia"/>
              </w:rPr>
              <w:t>0.0</w:t>
            </w:r>
            <w:r>
              <w:t>0</w:t>
            </w:r>
            <w:r>
              <w:rPr>
                <w:rFonts w:hint="eastAsia"/>
              </w:rPr>
              <w:t>0</w:t>
            </w:r>
            <w: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10" w:type="dxa"/>
            <w:shd w:val="clear" w:color="auto" w:fill="auto"/>
            <w:vAlign w:val="center"/>
          </w:tcPr>
          <w:p>
            <w:pPr>
              <w:pStyle w:val="89"/>
              <w:rPr>
                <w:snapToGrid w:val="0"/>
              </w:rPr>
            </w:pPr>
            <w:r>
              <w:rPr>
                <w:rFonts w:hint="eastAsia"/>
                <w:snapToGrid w:val="0"/>
              </w:rPr>
              <w:t>4</w:t>
            </w:r>
          </w:p>
        </w:tc>
        <w:tc>
          <w:tcPr>
            <w:tcW w:w="1485" w:type="dxa"/>
            <w:shd w:val="clear" w:color="auto" w:fill="auto"/>
            <w:vAlign w:val="center"/>
          </w:tcPr>
          <w:p>
            <w:pPr>
              <w:pStyle w:val="89"/>
              <w:rPr>
                <w:snapToGrid w:val="0"/>
                <w:highlight w:val="yellow"/>
              </w:rPr>
            </w:pPr>
            <w:r>
              <w:rPr>
                <w:rFonts w:hint="eastAsia"/>
                <w:snapToGrid w:val="0"/>
              </w:rPr>
              <w:t>A4</w:t>
            </w:r>
            <w:r>
              <w:rPr>
                <w:snapToGrid w:val="0"/>
              </w:rPr>
              <w:t>（</w:t>
            </w:r>
            <w:r>
              <w:rPr>
                <w:rFonts w:hint="eastAsia"/>
                <w:snapToGrid w:val="0"/>
              </w:rPr>
              <w:t>饲料</w:t>
            </w:r>
            <w:r>
              <w:rPr>
                <w:snapToGrid w:val="0"/>
              </w:rPr>
              <w:t>库房）</w:t>
            </w:r>
          </w:p>
        </w:tc>
        <w:tc>
          <w:tcPr>
            <w:tcW w:w="826" w:type="dxa"/>
            <w:shd w:val="clear" w:color="auto" w:fill="auto"/>
            <w:vAlign w:val="center"/>
          </w:tcPr>
          <w:p>
            <w:pPr>
              <w:pStyle w:val="89"/>
              <w:rPr>
                <w:snapToGrid w:val="0"/>
                <w:highlight w:val="yellow"/>
              </w:rPr>
            </w:pPr>
            <w:r>
              <w:rPr>
                <w:rFonts w:hint="eastAsia"/>
                <w:snapToGrid w:val="0"/>
              </w:rPr>
              <w:t>破碎</w:t>
            </w:r>
          </w:p>
        </w:tc>
        <w:tc>
          <w:tcPr>
            <w:tcW w:w="827" w:type="dxa"/>
            <w:gridSpan w:val="2"/>
            <w:shd w:val="clear" w:color="auto" w:fill="auto"/>
            <w:vAlign w:val="center"/>
          </w:tcPr>
          <w:p>
            <w:pPr>
              <w:pStyle w:val="89"/>
            </w:pPr>
            <w:r>
              <w:rPr>
                <w:rFonts w:hint="eastAsia"/>
              </w:rPr>
              <w:t>颗粒物</w:t>
            </w:r>
          </w:p>
        </w:tc>
        <w:tc>
          <w:tcPr>
            <w:tcW w:w="1240" w:type="dxa"/>
            <w:shd w:val="clear" w:color="auto" w:fill="auto"/>
            <w:vAlign w:val="center"/>
          </w:tcPr>
          <w:p>
            <w:pPr>
              <w:pStyle w:val="89"/>
              <w:rPr>
                <w:snapToGrid w:val="0"/>
              </w:rPr>
            </w:pPr>
            <w:r>
              <w:rPr>
                <w:rFonts w:hint="eastAsia"/>
                <w:snapToGrid w:val="0"/>
              </w:rPr>
              <w:t>自带</w:t>
            </w:r>
            <w:r>
              <w:rPr>
                <w:snapToGrid w:val="0"/>
              </w:rPr>
              <w:t>布袋</w:t>
            </w:r>
            <w:r>
              <w:rPr>
                <w:rFonts w:hint="eastAsia"/>
                <w:snapToGrid w:val="0"/>
              </w:rPr>
              <w:t>收尘器</w:t>
            </w:r>
            <w:r>
              <w:rPr>
                <w:snapToGrid w:val="0"/>
              </w:rPr>
              <w:t>，在库房内，库房密闭</w:t>
            </w:r>
          </w:p>
        </w:tc>
        <w:tc>
          <w:tcPr>
            <w:tcW w:w="1374" w:type="dxa"/>
            <w:shd w:val="clear" w:color="auto" w:fill="auto"/>
            <w:vAlign w:val="center"/>
          </w:tcPr>
          <w:p>
            <w:pPr>
              <w:pStyle w:val="89"/>
              <w:rPr>
                <w:snapToGrid w:val="0"/>
                <w:highlight w:val="yellow"/>
              </w:rPr>
            </w:pPr>
            <w:r>
              <w:rPr>
                <w:rFonts w:hint="eastAsia"/>
                <w:snapToGrid w:val="0"/>
              </w:rPr>
              <w:t>《大气</w:t>
            </w:r>
            <w:r>
              <w:rPr>
                <w:snapToGrid w:val="0"/>
              </w:rPr>
              <w:t>污染物综合排放标准</w:t>
            </w:r>
            <w:r>
              <w:rPr>
                <w:rFonts w:hint="eastAsia"/>
                <w:snapToGrid w:val="0"/>
              </w:rPr>
              <w:t>》（GB</w:t>
            </w:r>
            <w:r>
              <w:rPr>
                <w:snapToGrid w:val="0"/>
              </w:rPr>
              <w:t>16297-1996</w:t>
            </w:r>
            <w:r>
              <w:rPr>
                <w:rFonts w:hint="eastAsia"/>
                <w:snapToGrid w:val="0"/>
              </w:rPr>
              <w:t>）</w:t>
            </w:r>
          </w:p>
        </w:tc>
        <w:tc>
          <w:tcPr>
            <w:tcW w:w="1106" w:type="dxa"/>
            <w:gridSpan w:val="2"/>
            <w:shd w:val="clear" w:color="auto" w:fill="auto"/>
            <w:vAlign w:val="center"/>
          </w:tcPr>
          <w:p>
            <w:pPr>
              <w:pStyle w:val="89"/>
              <w:rPr>
                <w:snapToGrid w:val="0"/>
              </w:rPr>
            </w:pPr>
            <w:r>
              <w:rPr>
                <w:rFonts w:hint="eastAsia"/>
                <w:snapToGrid w:val="0"/>
              </w:rPr>
              <w:t>1.0</w:t>
            </w:r>
          </w:p>
        </w:tc>
        <w:tc>
          <w:tcPr>
            <w:tcW w:w="1008" w:type="dxa"/>
            <w:shd w:val="clear" w:color="auto" w:fill="auto"/>
            <w:vAlign w:val="center"/>
          </w:tcPr>
          <w:p>
            <w:pPr>
              <w:pStyle w:val="89"/>
            </w:pPr>
            <w:r>
              <w:rPr>
                <w:rFonts w:hint="eastAsia"/>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76" w:type="dxa"/>
            <w:gridSpan w:val="10"/>
            <w:shd w:val="clear" w:color="auto" w:fill="auto"/>
            <w:vAlign w:val="center"/>
          </w:tcPr>
          <w:p>
            <w:pPr>
              <w:pStyle w:val="89"/>
              <w:rPr>
                <w:snapToGrid w:val="0"/>
              </w:rPr>
            </w:pPr>
            <w:r>
              <w:rPr>
                <w:snapToGrid w:val="0"/>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088" w:type="dxa"/>
            <w:gridSpan w:val="4"/>
            <w:vMerge w:val="restart"/>
            <w:shd w:val="clear" w:color="auto" w:fill="auto"/>
            <w:vAlign w:val="center"/>
          </w:tcPr>
          <w:p>
            <w:pPr>
              <w:pStyle w:val="89"/>
              <w:rPr>
                <w:snapToGrid w:val="0"/>
              </w:rPr>
            </w:pPr>
            <w:r>
              <w:rPr>
                <w:snapToGrid w:val="0"/>
              </w:rPr>
              <w:t>无组织排放总计</w:t>
            </w:r>
          </w:p>
        </w:tc>
        <w:tc>
          <w:tcPr>
            <w:tcW w:w="4104" w:type="dxa"/>
            <w:gridSpan w:val="4"/>
            <w:shd w:val="clear" w:color="auto" w:fill="auto"/>
            <w:vAlign w:val="center"/>
          </w:tcPr>
          <w:p>
            <w:pPr>
              <w:pStyle w:val="89"/>
              <w:rPr>
                <w:snapToGrid w:val="0"/>
              </w:rPr>
            </w:pPr>
            <w:r>
              <w:rPr>
                <w:rFonts w:hint="eastAsia"/>
                <w:snapToGrid w:val="0"/>
              </w:rPr>
              <w:t>NH</w:t>
            </w:r>
            <w:r>
              <w:rPr>
                <w:rFonts w:hint="eastAsia"/>
                <w:snapToGrid w:val="0"/>
                <w:vertAlign w:val="subscript"/>
              </w:rPr>
              <w:t>3</w:t>
            </w:r>
          </w:p>
        </w:tc>
        <w:tc>
          <w:tcPr>
            <w:tcW w:w="1084" w:type="dxa"/>
            <w:gridSpan w:val="2"/>
            <w:shd w:val="clear" w:color="auto" w:fill="auto"/>
            <w:vAlign w:val="center"/>
          </w:tcPr>
          <w:p>
            <w:pPr>
              <w:pStyle w:val="89"/>
              <w:rPr>
                <w:snapToGrid w:val="0"/>
                <w:highlight w:val="yellow"/>
              </w:rPr>
            </w:pPr>
            <w:r>
              <w:rPr>
                <w:snapToGrid w:val="0"/>
              </w:rPr>
              <w:t>0.127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3088" w:type="dxa"/>
            <w:gridSpan w:val="4"/>
            <w:vMerge w:val="continue"/>
            <w:shd w:val="clear" w:color="auto" w:fill="auto"/>
            <w:vAlign w:val="center"/>
          </w:tcPr>
          <w:p>
            <w:pPr>
              <w:pStyle w:val="89"/>
              <w:rPr>
                <w:snapToGrid w:val="0"/>
                <w:highlight w:val="yellow"/>
              </w:rPr>
            </w:pPr>
          </w:p>
        </w:tc>
        <w:tc>
          <w:tcPr>
            <w:tcW w:w="4104" w:type="dxa"/>
            <w:gridSpan w:val="4"/>
            <w:shd w:val="clear" w:color="auto" w:fill="auto"/>
            <w:vAlign w:val="center"/>
          </w:tcPr>
          <w:p>
            <w:pPr>
              <w:pStyle w:val="89"/>
              <w:rPr>
                <w:snapToGrid w:val="0"/>
              </w:rPr>
            </w:pPr>
            <w:r>
              <w:t>H</w:t>
            </w:r>
            <w:r>
              <w:rPr>
                <w:vertAlign w:val="subscript"/>
              </w:rPr>
              <w:t>2</w:t>
            </w:r>
            <w:r>
              <w:t>S</w:t>
            </w:r>
          </w:p>
        </w:tc>
        <w:tc>
          <w:tcPr>
            <w:tcW w:w="1084" w:type="dxa"/>
            <w:gridSpan w:val="2"/>
            <w:shd w:val="clear" w:color="auto" w:fill="auto"/>
            <w:vAlign w:val="center"/>
          </w:tcPr>
          <w:p>
            <w:pPr>
              <w:pStyle w:val="89"/>
              <w:rPr>
                <w:snapToGrid w:val="0"/>
                <w:highlight w:val="yellow"/>
              </w:rPr>
            </w:pPr>
            <w:r>
              <w:rPr>
                <w:snapToGrid w:val="0"/>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088" w:type="dxa"/>
            <w:gridSpan w:val="4"/>
            <w:vMerge w:val="continue"/>
            <w:shd w:val="clear" w:color="auto" w:fill="auto"/>
            <w:vAlign w:val="center"/>
          </w:tcPr>
          <w:p>
            <w:pPr>
              <w:pStyle w:val="89"/>
              <w:rPr>
                <w:snapToGrid w:val="0"/>
                <w:highlight w:val="yellow"/>
              </w:rPr>
            </w:pPr>
          </w:p>
        </w:tc>
        <w:tc>
          <w:tcPr>
            <w:tcW w:w="4104" w:type="dxa"/>
            <w:gridSpan w:val="4"/>
            <w:shd w:val="clear" w:color="auto" w:fill="auto"/>
            <w:vAlign w:val="center"/>
          </w:tcPr>
          <w:p>
            <w:pPr>
              <w:pStyle w:val="89"/>
            </w:pPr>
            <w:r>
              <w:rPr>
                <w:rFonts w:hint="eastAsia"/>
              </w:rPr>
              <w:t>颗粒物</w:t>
            </w:r>
          </w:p>
        </w:tc>
        <w:tc>
          <w:tcPr>
            <w:tcW w:w="1084" w:type="dxa"/>
            <w:gridSpan w:val="2"/>
            <w:shd w:val="clear" w:color="auto" w:fill="auto"/>
            <w:vAlign w:val="center"/>
          </w:tcPr>
          <w:p>
            <w:pPr>
              <w:pStyle w:val="89"/>
              <w:rPr>
                <w:snapToGrid w:val="0"/>
              </w:rPr>
            </w:pPr>
            <w:r>
              <w:rPr>
                <w:rFonts w:hint="eastAsia"/>
                <w:snapToGrid w:val="0"/>
              </w:rPr>
              <w:t>0.0006</w:t>
            </w:r>
          </w:p>
        </w:tc>
      </w:tr>
    </w:tbl>
    <w:p>
      <w:pPr>
        <w:pStyle w:val="85"/>
        <w:rPr>
          <w:rFonts w:hAnsi="Times New Roman"/>
        </w:rPr>
      </w:pPr>
    </w:p>
    <w:p>
      <w:pPr>
        <w:pStyle w:val="85"/>
        <w:rPr>
          <w:rFonts w:hAnsi="Times New Roman"/>
          <w:snapToGrid w:val="0"/>
        </w:rPr>
      </w:pPr>
      <w:r>
        <w:rPr>
          <w:rFonts w:hAnsi="Times New Roman"/>
        </w:rPr>
        <w:br w:type="column"/>
      </w: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t xml:space="preserve">8  </w:t>
      </w:r>
      <w:r>
        <w:rPr>
          <w:rFonts w:hAnsi="Times New Roman"/>
          <w:snapToGrid w:val="0"/>
        </w:rPr>
        <w:t>大气污染物年排放量核算表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3115"/>
        <w:gridCol w:w="3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61" w:type="dxa"/>
            <w:shd w:val="clear" w:color="auto" w:fill="auto"/>
            <w:vAlign w:val="center"/>
          </w:tcPr>
          <w:p>
            <w:pPr>
              <w:pStyle w:val="84"/>
              <w:rPr>
                <w:snapToGrid w:val="0"/>
              </w:rPr>
            </w:pPr>
            <w:r>
              <w:rPr>
                <w:snapToGrid w:val="0"/>
              </w:rPr>
              <w:t>序号</w:t>
            </w:r>
          </w:p>
        </w:tc>
        <w:tc>
          <w:tcPr>
            <w:tcW w:w="3115" w:type="dxa"/>
            <w:shd w:val="clear" w:color="auto" w:fill="auto"/>
            <w:vAlign w:val="center"/>
          </w:tcPr>
          <w:p>
            <w:pPr>
              <w:pStyle w:val="84"/>
              <w:rPr>
                <w:snapToGrid w:val="0"/>
              </w:rPr>
            </w:pPr>
            <w:r>
              <w:rPr>
                <w:snapToGrid w:val="0"/>
              </w:rPr>
              <w:t>污染物</w:t>
            </w:r>
          </w:p>
        </w:tc>
        <w:tc>
          <w:tcPr>
            <w:tcW w:w="3900" w:type="dxa"/>
            <w:shd w:val="clear" w:color="auto" w:fill="auto"/>
            <w:vAlign w:val="center"/>
          </w:tcPr>
          <w:p>
            <w:pPr>
              <w:pStyle w:val="84"/>
            </w:pPr>
            <w:r>
              <w:rPr>
                <w:snapToGrid w:val="0"/>
              </w:rPr>
              <w:t>年排放量</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61" w:type="dxa"/>
            <w:shd w:val="clear" w:color="auto" w:fill="auto"/>
            <w:vAlign w:val="center"/>
          </w:tcPr>
          <w:p>
            <w:pPr>
              <w:pStyle w:val="84"/>
              <w:rPr>
                <w:snapToGrid w:val="0"/>
              </w:rPr>
            </w:pPr>
            <w:r>
              <w:rPr>
                <w:snapToGrid w:val="0"/>
              </w:rPr>
              <w:t>1</w:t>
            </w:r>
          </w:p>
        </w:tc>
        <w:tc>
          <w:tcPr>
            <w:tcW w:w="3115" w:type="dxa"/>
            <w:shd w:val="clear" w:color="auto" w:fill="auto"/>
            <w:vAlign w:val="center"/>
          </w:tcPr>
          <w:p>
            <w:pPr>
              <w:pStyle w:val="84"/>
              <w:rPr>
                <w:snapToGrid w:val="0"/>
              </w:rPr>
            </w:pPr>
            <w:r>
              <w:rPr>
                <w:rFonts w:hint="eastAsia"/>
                <w:snapToGrid w:val="0"/>
              </w:rPr>
              <w:t>NH</w:t>
            </w:r>
            <w:r>
              <w:rPr>
                <w:rFonts w:hint="eastAsia"/>
                <w:snapToGrid w:val="0"/>
                <w:vertAlign w:val="subscript"/>
              </w:rPr>
              <w:t>3</w:t>
            </w:r>
          </w:p>
        </w:tc>
        <w:tc>
          <w:tcPr>
            <w:tcW w:w="3900" w:type="dxa"/>
            <w:shd w:val="clear" w:color="auto" w:fill="auto"/>
            <w:vAlign w:val="center"/>
          </w:tcPr>
          <w:p>
            <w:pPr>
              <w:pStyle w:val="84"/>
              <w:rPr>
                <w:snapToGrid w:val="0"/>
              </w:rPr>
            </w:pPr>
            <w:r>
              <w:rPr>
                <w:snapToGrid w:val="0"/>
              </w:rPr>
              <w:t>0.127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61" w:type="dxa"/>
            <w:shd w:val="clear" w:color="auto" w:fill="auto"/>
            <w:vAlign w:val="center"/>
          </w:tcPr>
          <w:p>
            <w:pPr>
              <w:pStyle w:val="84"/>
              <w:rPr>
                <w:snapToGrid w:val="0"/>
              </w:rPr>
            </w:pPr>
            <w:r>
              <w:rPr>
                <w:snapToGrid w:val="0"/>
              </w:rPr>
              <w:t>2</w:t>
            </w:r>
          </w:p>
        </w:tc>
        <w:tc>
          <w:tcPr>
            <w:tcW w:w="3115" w:type="dxa"/>
            <w:shd w:val="clear" w:color="auto" w:fill="auto"/>
            <w:vAlign w:val="center"/>
          </w:tcPr>
          <w:p>
            <w:pPr>
              <w:pStyle w:val="84"/>
              <w:rPr>
                <w:snapToGrid w:val="0"/>
              </w:rPr>
            </w:pPr>
            <w:r>
              <w:t>H</w:t>
            </w:r>
            <w:r>
              <w:rPr>
                <w:vertAlign w:val="subscript"/>
              </w:rPr>
              <w:t>2</w:t>
            </w:r>
            <w:r>
              <w:t>S</w:t>
            </w:r>
          </w:p>
        </w:tc>
        <w:tc>
          <w:tcPr>
            <w:tcW w:w="3900" w:type="dxa"/>
            <w:shd w:val="clear" w:color="auto" w:fill="auto"/>
            <w:vAlign w:val="center"/>
          </w:tcPr>
          <w:p>
            <w:pPr>
              <w:pStyle w:val="84"/>
              <w:rPr>
                <w:snapToGrid w:val="0"/>
              </w:rPr>
            </w:pPr>
            <w:r>
              <w:rPr>
                <w:snapToGrid w:val="0"/>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61" w:type="dxa"/>
            <w:shd w:val="clear" w:color="auto" w:fill="auto"/>
            <w:vAlign w:val="center"/>
          </w:tcPr>
          <w:p>
            <w:pPr>
              <w:pStyle w:val="84"/>
              <w:rPr>
                <w:snapToGrid w:val="0"/>
              </w:rPr>
            </w:pPr>
            <w:r>
              <w:rPr>
                <w:snapToGrid w:val="0"/>
              </w:rPr>
              <w:t>3</w:t>
            </w:r>
          </w:p>
        </w:tc>
        <w:tc>
          <w:tcPr>
            <w:tcW w:w="3115" w:type="dxa"/>
            <w:shd w:val="clear" w:color="auto" w:fill="auto"/>
            <w:vAlign w:val="center"/>
          </w:tcPr>
          <w:p>
            <w:pPr>
              <w:pStyle w:val="89"/>
            </w:pPr>
            <w:r>
              <w:rPr>
                <w:rFonts w:hint="eastAsia"/>
              </w:rPr>
              <w:t>颗粒物</w:t>
            </w:r>
          </w:p>
        </w:tc>
        <w:tc>
          <w:tcPr>
            <w:tcW w:w="3900" w:type="dxa"/>
            <w:shd w:val="clear" w:color="auto" w:fill="auto"/>
            <w:vAlign w:val="center"/>
          </w:tcPr>
          <w:p>
            <w:pPr>
              <w:pStyle w:val="89"/>
              <w:rPr>
                <w:snapToGrid w:val="0"/>
              </w:rPr>
            </w:pPr>
            <w:r>
              <w:rPr>
                <w:rFonts w:hint="eastAsia"/>
                <w:snapToGrid w:val="0"/>
              </w:rPr>
              <w:t>0.001</w:t>
            </w:r>
            <w:r>
              <w:rPr>
                <w:snapToGrid w:val="0"/>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61" w:type="dxa"/>
            <w:shd w:val="clear" w:color="auto" w:fill="auto"/>
            <w:vAlign w:val="center"/>
          </w:tcPr>
          <w:p>
            <w:pPr>
              <w:pStyle w:val="84"/>
              <w:rPr>
                <w:snapToGrid w:val="0"/>
              </w:rPr>
            </w:pPr>
            <w:r>
              <w:rPr>
                <w:rFonts w:hint="eastAsia"/>
                <w:snapToGrid w:val="0"/>
              </w:rPr>
              <w:t>4</w:t>
            </w:r>
          </w:p>
        </w:tc>
        <w:tc>
          <w:tcPr>
            <w:tcW w:w="3115" w:type="dxa"/>
            <w:shd w:val="clear" w:color="auto" w:fill="auto"/>
            <w:vAlign w:val="center"/>
          </w:tcPr>
          <w:p>
            <w:pPr>
              <w:pStyle w:val="89"/>
            </w:pPr>
            <w:r>
              <w:rPr>
                <w:rFonts w:hint="eastAsia"/>
              </w:rPr>
              <w:t>SO</w:t>
            </w:r>
            <w:r>
              <w:rPr>
                <w:rFonts w:hint="eastAsia"/>
                <w:vertAlign w:val="subscript"/>
              </w:rPr>
              <w:t>2</w:t>
            </w:r>
          </w:p>
        </w:tc>
        <w:tc>
          <w:tcPr>
            <w:tcW w:w="3900" w:type="dxa"/>
            <w:shd w:val="clear" w:color="auto" w:fill="auto"/>
            <w:vAlign w:val="center"/>
          </w:tcPr>
          <w:p>
            <w:pPr>
              <w:pStyle w:val="89"/>
              <w:rPr>
                <w:snapToGrid w:val="0"/>
              </w:rPr>
            </w:pPr>
            <w:r>
              <w:rPr>
                <w:rFonts w:hint="eastAsia"/>
                <w:snapToGrid w:val="0"/>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61" w:type="dxa"/>
            <w:shd w:val="clear" w:color="auto" w:fill="auto"/>
            <w:vAlign w:val="center"/>
          </w:tcPr>
          <w:p>
            <w:pPr>
              <w:pStyle w:val="84"/>
              <w:rPr>
                <w:snapToGrid w:val="0"/>
              </w:rPr>
            </w:pPr>
            <w:r>
              <w:rPr>
                <w:rFonts w:hint="eastAsia"/>
                <w:snapToGrid w:val="0"/>
              </w:rPr>
              <w:t>5</w:t>
            </w:r>
          </w:p>
        </w:tc>
        <w:tc>
          <w:tcPr>
            <w:tcW w:w="3115" w:type="dxa"/>
            <w:shd w:val="clear" w:color="auto" w:fill="auto"/>
            <w:vAlign w:val="center"/>
          </w:tcPr>
          <w:p>
            <w:pPr>
              <w:pStyle w:val="89"/>
            </w:pPr>
            <w:r>
              <w:rPr>
                <w:rFonts w:hint="eastAsia"/>
              </w:rPr>
              <w:t>NOx</w:t>
            </w:r>
          </w:p>
        </w:tc>
        <w:tc>
          <w:tcPr>
            <w:tcW w:w="3900" w:type="dxa"/>
            <w:shd w:val="clear" w:color="auto" w:fill="auto"/>
            <w:vAlign w:val="center"/>
          </w:tcPr>
          <w:p>
            <w:pPr>
              <w:pStyle w:val="89"/>
              <w:rPr>
                <w:snapToGrid w:val="0"/>
              </w:rPr>
            </w:pPr>
            <w:r>
              <w:rPr>
                <w:rFonts w:hint="eastAsia"/>
                <w:snapToGrid w:val="0"/>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61" w:type="dxa"/>
            <w:shd w:val="clear" w:color="auto" w:fill="auto"/>
            <w:vAlign w:val="center"/>
          </w:tcPr>
          <w:p>
            <w:pPr>
              <w:pStyle w:val="84"/>
              <w:rPr>
                <w:snapToGrid w:val="0"/>
              </w:rPr>
            </w:pPr>
            <w:r>
              <w:rPr>
                <w:rFonts w:hint="eastAsia"/>
                <w:snapToGrid w:val="0"/>
              </w:rPr>
              <w:t>6</w:t>
            </w:r>
          </w:p>
        </w:tc>
        <w:tc>
          <w:tcPr>
            <w:tcW w:w="3115" w:type="dxa"/>
            <w:shd w:val="clear" w:color="auto" w:fill="auto"/>
            <w:vAlign w:val="center"/>
          </w:tcPr>
          <w:p>
            <w:pPr>
              <w:pStyle w:val="84"/>
              <w:rPr>
                <w:highlight w:val="yellow"/>
              </w:rPr>
            </w:pPr>
            <w:r>
              <w:rPr>
                <w:rFonts w:hint="eastAsia"/>
              </w:rPr>
              <w:t>油烟</w:t>
            </w:r>
          </w:p>
        </w:tc>
        <w:tc>
          <w:tcPr>
            <w:tcW w:w="3900" w:type="dxa"/>
            <w:shd w:val="clear" w:color="auto" w:fill="auto"/>
            <w:vAlign w:val="center"/>
          </w:tcPr>
          <w:p>
            <w:pPr>
              <w:pStyle w:val="84"/>
              <w:rPr>
                <w:highlight w:val="yellow"/>
              </w:rPr>
            </w:pPr>
            <w:r>
              <w:rPr>
                <w:rFonts w:hint="eastAsia"/>
                <w:snapToGrid w:val="0"/>
              </w:rPr>
              <w:t>0.0029</w:t>
            </w:r>
          </w:p>
        </w:tc>
      </w:tr>
    </w:tbl>
    <w:p>
      <w:pPr>
        <w:pStyle w:val="5"/>
      </w:pPr>
      <w:r>
        <w:rPr>
          <w:rFonts w:hint="eastAsia"/>
        </w:rPr>
        <w:t>卫生</w:t>
      </w:r>
      <w:r>
        <w:t>防护距离</w:t>
      </w:r>
      <w:r>
        <w:rPr>
          <w:rFonts w:hint="eastAsia"/>
        </w:rPr>
        <w:t>确定</w:t>
      </w:r>
    </w:p>
    <w:p>
      <w:pPr>
        <w:ind w:firstLine="480"/>
        <w:rPr>
          <w:kern w:val="0"/>
        </w:rPr>
      </w:pPr>
      <w:r>
        <w:rPr>
          <w:rFonts w:hint="eastAsia"/>
          <w:kern w:val="0"/>
        </w:rPr>
        <w:t>根据</w:t>
      </w:r>
      <w:r>
        <w:rPr>
          <w:rFonts w:hint="eastAsia"/>
          <w:bCs/>
        </w:rPr>
        <w:t>《旬阳县</w:t>
      </w:r>
      <w:r>
        <w:rPr>
          <w:bCs/>
        </w:rPr>
        <w:t>畜禽养殖</w:t>
      </w:r>
      <w:r>
        <w:rPr>
          <w:rFonts w:hint="eastAsia"/>
          <w:bCs/>
        </w:rPr>
        <w:t>禁养区</w:t>
      </w:r>
      <w:r>
        <w:rPr>
          <w:bCs/>
        </w:rPr>
        <w:t>划分方案</w:t>
      </w:r>
      <w:r>
        <w:rPr>
          <w:rFonts w:hint="eastAsia"/>
          <w:bCs/>
        </w:rPr>
        <w:t>》（旬</w:t>
      </w:r>
      <w:r>
        <w:rPr>
          <w:bCs/>
        </w:rPr>
        <w:t>政</w:t>
      </w:r>
      <w:r>
        <w:rPr>
          <w:rFonts w:hint="eastAsia"/>
          <w:bCs/>
        </w:rPr>
        <w:t>发[</w:t>
      </w:r>
      <w:r>
        <w:rPr>
          <w:bCs/>
        </w:rPr>
        <w:t>2020</w:t>
      </w:r>
      <w:r>
        <w:rPr>
          <w:rFonts w:hint="eastAsia"/>
          <w:bCs/>
        </w:rPr>
        <w:t>]</w:t>
      </w:r>
      <w:r>
        <w:rPr>
          <w:bCs/>
        </w:rPr>
        <w:t>1</w:t>
      </w:r>
      <w:r>
        <w:rPr>
          <w:rFonts w:hint="eastAsia"/>
          <w:bCs/>
        </w:rPr>
        <w:t>号）</w:t>
      </w:r>
      <w:r>
        <w:rPr>
          <w:rFonts w:hint="eastAsia"/>
          <w:kern w:val="0"/>
        </w:rPr>
        <w:t>，本项目不在禁养区范围内，属于适养区，根据《畜禽养殖业污染防治技术规范》（</w:t>
      </w:r>
      <w:r>
        <w:rPr>
          <w:kern w:val="0"/>
        </w:rPr>
        <w:t>HJ/T81-2001</w:t>
      </w:r>
      <w:r>
        <w:rPr>
          <w:rFonts w:hint="eastAsia"/>
          <w:kern w:val="0"/>
        </w:rPr>
        <w:t>）中有关规定：建设畜禽养殖场选址应避开生活饮用水水源保护区、风景名胜区、自然保护区的核心区；城市和城镇居民区包括文教科研区、医疗区、商业区、工业区、游览区等人口集中地区；本项目周边不存在以上区域，厂界与以上区域边界的最小距离不得小于</w:t>
      </w:r>
      <w:r>
        <w:rPr>
          <w:kern w:val="0"/>
        </w:rPr>
        <w:t>500m</w:t>
      </w:r>
      <w:r>
        <w:rPr>
          <w:rFonts w:hint="eastAsia"/>
          <w:kern w:val="0"/>
        </w:rPr>
        <w:t>。因此环评建议本项目卫生防护距离为养殖边界</w:t>
      </w:r>
      <w:r>
        <w:rPr>
          <w:kern w:val="0"/>
        </w:rPr>
        <w:t>500m</w:t>
      </w:r>
      <w:r>
        <w:rPr>
          <w:rFonts w:hint="eastAsia"/>
          <w:kern w:val="0"/>
        </w:rPr>
        <w:t>，环评确定即以排放恶臭气体的养殖区边界外延</w:t>
      </w:r>
      <w:r>
        <w:rPr>
          <w:kern w:val="0"/>
        </w:rPr>
        <w:t xml:space="preserve">500m </w:t>
      </w:r>
      <w:r>
        <w:rPr>
          <w:rFonts w:hint="eastAsia"/>
          <w:kern w:val="0"/>
        </w:rPr>
        <w:t>的范围。</w:t>
      </w:r>
      <w:r>
        <w:rPr>
          <w:rFonts w:hint="eastAsia"/>
        </w:rPr>
        <w:t>项目厂界外500m范围内（350</w:t>
      </w:r>
      <w:r>
        <w:t>m</w:t>
      </w:r>
      <w:r>
        <w:rPr>
          <w:rFonts w:hint="eastAsia"/>
        </w:rPr>
        <w:t>）有1家住户，不属于</w:t>
      </w:r>
      <w:r>
        <w:t>规范中的人口集中区，</w:t>
      </w:r>
      <w:r>
        <w:rPr>
          <w:rFonts w:hint="eastAsia"/>
        </w:rPr>
        <w:t>根据《环境影响评价技术导则 大气环境》（</w:t>
      </w:r>
      <w:r>
        <w:t>HJ2.2-2018</w:t>
      </w:r>
      <w:r>
        <w:rPr>
          <w:rFonts w:hint="eastAsia"/>
        </w:rPr>
        <w:t>）对污染物大气环境影响预测结果，项目所在区域北高南低，全年盛行偏东风，同时考虑到项目所在地天然屏障、山体阻隔，项目建设对该住户影响较小。因此</w:t>
      </w:r>
      <w:r>
        <w:t>，项目卫生防护距离设置合理</w:t>
      </w:r>
      <w:r>
        <w:rPr>
          <w:rFonts w:hint="eastAsia"/>
        </w:rPr>
        <w:t>。</w:t>
      </w:r>
    </w:p>
    <w:p>
      <w:pPr>
        <w:pStyle w:val="4"/>
      </w:pPr>
      <w:bookmarkStart w:id="133" w:name="_Toc488102174"/>
      <w:r>
        <w:rPr>
          <w:rFonts w:hint="eastAsia"/>
        </w:rPr>
        <w:t>地表水环境影响分析与评价</w:t>
      </w:r>
      <w:bookmarkEnd w:id="133"/>
    </w:p>
    <w:p>
      <w:pPr>
        <w:pStyle w:val="5"/>
      </w:pPr>
      <w:r>
        <w:rPr>
          <w:rFonts w:hint="eastAsia"/>
        </w:rPr>
        <w:t>废水</w:t>
      </w:r>
      <w:r>
        <w:t>排放去向</w:t>
      </w:r>
    </w:p>
    <w:p>
      <w:pPr>
        <w:pStyle w:val="79"/>
        <w:ind w:firstLine="496"/>
        <w:rPr>
          <w:spacing w:val="4"/>
        </w:rPr>
      </w:pPr>
      <w:r>
        <w:rPr>
          <w:rFonts w:hint="eastAsia"/>
          <w:spacing w:val="4"/>
        </w:rPr>
        <w:t>营运期的废水主要为猪尿、猪舍冲洗废水以及职工生活污水。项目猪尿排放量为</w:t>
      </w:r>
      <w:r>
        <w:t>6103.00</w:t>
      </w:r>
      <w:r>
        <w:rPr>
          <w:rFonts w:hint="eastAsia"/>
          <w:spacing w:val="4"/>
        </w:rPr>
        <w:t>m</w:t>
      </w:r>
      <w:r>
        <w:rPr>
          <w:rFonts w:hint="eastAsia"/>
          <w:spacing w:val="4"/>
          <w:vertAlign w:val="superscript"/>
        </w:rPr>
        <w:t>3</w:t>
      </w:r>
      <w:r>
        <w:rPr>
          <w:rFonts w:hint="eastAsia"/>
          <w:spacing w:val="4"/>
        </w:rPr>
        <w:t>/a，猪舍冲洗废水产生量为</w:t>
      </w:r>
      <w:r>
        <w:t>499.2</w:t>
      </w:r>
      <w:r>
        <w:rPr>
          <w:rFonts w:hint="eastAsia"/>
          <w:spacing w:val="4"/>
        </w:rPr>
        <w:t>m</w:t>
      </w:r>
      <w:r>
        <w:rPr>
          <w:rFonts w:hint="eastAsia"/>
          <w:spacing w:val="4"/>
          <w:vertAlign w:val="superscript"/>
        </w:rPr>
        <w:t>3</w:t>
      </w:r>
      <w:r>
        <w:rPr>
          <w:rFonts w:hint="eastAsia"/>
          <w:spacing w:val="4"/>
        </w:rPr>
        <w:t>/a，生活污水产生量为</w:t>
      </w:r>
      <w:r>
        <w:t>1062.15</w:t>
      </w:r>
      <w:r>
        <w:rPr>
          <w:rFonts w:hint="eastAsia"/>
          <w:spacing w:val="4"/>
        </w:rPr>
        <w:t>m</w:t>
      </w:r>
      <w:r>
        <w:rPr>
          <w:rFonts w:hint="eastAsia"/>
          <w:spacing w:val="4"/>
          <w:vertAlign w:val="superscript"/>
        </w:rPr>
        <w:t>3</w:t>
      </w:r>
      <w:r>
        <w:rPr>
          <w:rFonts w:hint="eastAsia"/>
          <w:spacing w:val="4"/>
        </w:rPr>
        <w:t>/a，项目废水总量为</w:t>
      </w:r>
      <w:r>
        <w:rPr>
          <w:rFonts w:hint="eastAsia"/>
        </w:rPr>
        <w:t>7664.35</w:t>
      </w:r>
      <w:r>
        <w:rPr>
          <w:rFonts w:hint="eastAsia"/>
          <w:spacing w:val="4"/>
        </w:rPr>
        <w:t>m</w:t>
      </w:r>
      <w:r>
        <w:rPr>
          <w:rFonts w:hint="eastAsia"/>
          <w:spacing w:val="4"/>
          <w:vertAlign w:val="superscript"/>
        </w:rPr>
        <w:t>3</w:t>
      </w:r>
      <w:r>
        <w:rPr>
          <w:rFonts w:hint="eastAsia"/>
          <w:spacing w:val="4"/>
        </w:rPr>
        <w:t>/a。猪粪尿经固液分离之后液体收集至污水处理系统，项目生活污水经化粪池预处理后排入污水处理系统。项目废水采用“</w:t>
      </w:r>
      <w:r>
        <w:rPr>
          <w:rFonts w:hint="eastAsia"/>
        </w:rPr>
        <w:t>集</w:t>
      </w:r>
      <w:r>
        <w:t>粪池</w:t>
      </w:r>
      <w:r>
        <w:rPr>
          <w:rFonts w:hint="eastAsia"/>
        </w:rPr>
        <w:t>+固液分离+厌氧</w:t>
      </w:r>
      <w:r>
        <w:t>发酵池处理</w:t>
      </w:r>
      <w:r>
        <w:rPr>
          <w:rFonts w:hint="eastAsia"/>
          <w:spacing w:val="4"/>
        </w:rPr>
        <w:t>”，处理</w:t>
      </w:r>
      <w:r>
        <w:rPr>
          <w:spacing w:val="4"/>
        </w:rPr>
        <w:t>后的沼液用于</w:t>
      </w:r>
      <w:r>
        <w:rPr>
          <w:rFonts w:hint="eastAsia"/>
        </w:rPr>
        <w:t>魔芋、林果等种植农田施肥</w:t>
      </w:r>
      <w:r>
        <w:rPr>
          <w:rFonts w:hint="eastAsia"/>
          <w:spacing w:val="4"/>
        </w:rPr>
        <w:t>，</w:t>
      </w:r>
      <w:r>
        <w:rPr>
          <w:spacing w:val="4"/>
        </w:rPr>
        <w:t>不外排。</w:t>
      </w:r>
    </w:p>
    <w:p>
      <w:pPr>
        <w:pStyle w:val="5"/>
      </w:pPr>
      <w:r>
        <w:rPr>
          <w:rFonts w:hint="eastAsia"/>
        </w:rPr>
        <w:t>废水</w:t>
      </w:r>
      <w:r>
        <w:t>控制措施</w:t>
      </w:r>
      <w:r>
        <w:rPr>
          <w:rFonts w:hint="eastAsia"/>
        </w:rPr>
        <w:t>有效性</w:t>
      </w:r>
      <w:r>
        <w:t>分析</w:t>
      </w:r>
    </w:p>
    <w:p>
      <w:pPr>
        <w:ind w:firstLine="468"/>
        <w:rPr>
          <w:spacing w:val="4"/>
          <w:highlight w:val="yellow"/>
        </w:rPr>
      </w:pPr>
      <w:r>
        <w:rPr>
          <w:spacing w:val="-3"/>
          <w:szCs w:val="24"/>
        </w:rPr>
        <w:t>项目养殖废水有机物浓度高、含氮磷量大、悬浮物多、臭味大，污染负荷高，主要</w:t>
      </w:r>
      <w:r>
        <w:rPr>
          <w:szCs w:val="24"/>
        </w:rPr>
        <w:t>污染物有COD、BOD</w:t>
      </w:r>
      <w:r>
        <w:rPr>
          <w:position w:val="-2"/>
          <w:szCs w:val="24"/>
          <w:vertAlign w:val="subscript"/>
        </w:rPr>
        <w:t>5</w:t>
      </w:r>
      <w:r>
        <w:rPr>
          <w:szCs w:val="24"/>
        </w:rPr>
        <w:t>、氨氮、SS等，属于高浓度有机废水，一般不</w:t>
      </w:r>
      <w:r>
        <w:rPr>
          <w:spacing w:val="-3"/>
          <w:szCs w:val="24"/>
        </w:rPr>
        <w:t>含有毒物质。为实现污水综合利用，根据《畜禽养殖业污</w:t>
      </w:r>
      <w:r>
        <w:rPr>
          <w:szCs w:val="24"/>
        </w:rPr>
        <w:t>染防治技术规</w:t>
      </w:r>
      <w:r>
        <w:rPr>
          <w:spacing w:val="-3"/>
          <w:szCs w:val="24"/>
        </w:rPr>
        <w:t>范》（HJ/T81-20</w:t>
      </w:r>
      <w:r>
        <w:rPr>
          <w:szCs w:val="24"/>
        </w:rPr>
        <w:t>0</w:t>
      </w:r>
      <w:r>
        <w:rPr>
          <w:spacing w:val="1"/>
          <w:szCs w:val="24"/>
        </w:rPr>
        <w:t>1</w:t>
      </w:r>
      <w:r>
        <w:rPr>
          <w:spacing w:val="-20"/>
          <w:szCs w:val="24"/>
        </w:rPr>
        <w:t>）中“</w:t>
      </w:r>
      <w:r>
        <w:rPr>
          <w:szCs w:val="24"/>
        </w:rPr>
        <w:t>畜禽养殖过程中产生的污水应坚持种养结合的原</w:t>
      </w:r>
      <w:r>
        <w:rPr>
          <w:spacing w:val="-3"/>
          <w:szCs w:val="24"/>
        </w:rPr>
        <w:t>则，污水的净化处理应根据养殖种类、养殖规模、清粪方式和当地的自然地理条件，选择合理、适用的污水净化处理工艺和技术路线</w:t>
      </w:r>
      <w:r>
        <w:rPr>
          <w:spacing w:val="-20"/>
          <w:szCs w:val="24"/>
        </w:rPr>
        <w:t>”</w:t>
      </w:r>
      <w:r>
        <w:rPr>
          <w:szCs w:val="24"/>
        </w:rPr>
        <w:t>。</w:t>
      </w:r>
      <w:r>
        <w:rPr>
          <w:rFonts w:hint="eastAsia"/>
        </w:rPr>
        <w:t>又根据环办环评函</w:t>
      </w:r>
      <w:r>
        <w:t>[2019]872</w:t>
      </w:r>
      <w:r>
        <w:rPr>
          <w:rFonts w:hint="eastAsia"/>
        </w:rPr>
        <w:t>号《关于进一步做好当前生猪规模养殖环评管理相关工作的通知》</w:t>
      </w:r>
      <w:r>
        <w:t>2019</w:t>
      </w:r>
      <w:r>
        <w:rPr>
          <w:rFonts w:hint="eastAsia"/>
        </w:rPr>
        <w:t>年</w:t>
      </w:r>
      <w:r>
        <w:t>11</w:t>
      </w:r>
      <w:r>
        <w:rPr>
          <w:rFonts w:hint="eastAsia"/>
        </w:rPr>
        <w:t>月</w:t>
      </w:r>
      <w:r>
        <w:t>29</w:t>
      </w:r>
      <w:r>
        <w:rPr>
          <w:rFonts w:hint="eastAsia"/>
        </w:rPr>
        <w:t>日，“粪污无害化处理用作肥料还田，符合法律法规以及国家和地方相关标准规范要求且不造成环境污染的，不属于排放污染物，不宜执行相关污染物排放标准和农田灌溉水质标准。”</w:t>
      </w:r>
    </w:p>
    <w:p>
      <w:pPr>
        <w:pStyle w:val="79"/>
        <w:ind w:firstLine="468"/>
        <w:rPr>
          <w:szCs w:val="24"/>
        </w:rPr>
      </w:pPr>
      <w:r>
        <w:rPr>
          <w:spacing w:val="-3"/>
          <w:szCs w:val="24"/>
        </w:rPr>
        <w:t>项目生活污水产生量为</w:t>
      </w:r>
      <w:r>
        <w:rPr>
          <w:szCs w:val="24"/>
        </w:rPr>
        <w:t>2.91m</w:t>
      </w:r>
      <w:r>
        <w:rPr>
          <w:szCs w:val="24"/>
          <w:vertAlign w:val="superscript"/>
        </w:rPr>
        <w:t>3</w:t>
      </w:r>
      <w:r>
        <w:rPr>
          <w:szCs w:val="24"/>
        </w:rPr>
        <w:t>/d，生活区设置一个10m</w:t>
      </w:r>
      <w:r>
        <w:rPr>
          <w:szCs w:val="24"/>
          <w:vertAlign w:val="superscript"/>
        </w:rPr>
        <w:t>3</w:t>
      </w:r>
      <w:r>
        <w:rPr>
          <w:szCs w:val="24"/>
        </w:rPr>
        <w:t>化粪池，用于收集办公生活区生活污水。</w:t>
      </w:r>
      <w:r>
        <w:rPr>
          <w:rFonts w:hint="eastAsia"/>
          <w:szCs w:val="24"/>
        </w:rPr>
        <w:t>项目产生的粪污进入污水处理</w:t>
      </w:r>
      <w:r>
        <w:rPr>
          <w:szCs w:val="24"/>
        </w:rPr>
        <w:t>设施</w:t>
      </w:r>
      <w:r>
        <w:rPr>
          <w:rFonts w:hint="eastAsia"/>
          <w:szCs w:val="24"/>
        </w:rPr>
        <w:t>后首先经固液分离装置进行分离后，出水进入厌氧</w:t>
      </w:r>
      <w:r>
        <w:rPr>
          <w:szCs w:val="24"/>
        </w:rPr>
        <w:t>发酵池</w:t>
      </w:r>
      <w:r>
        <w:rPr>
          <w:rFonts w:hint="eastAsia"/>
          <w:szCs w:val="24"/>
        </w:rPr>
        <w:t>，厌氧发酵池</w:t>
      </w:r>
      <w:r>
        <w:rPr>
          <w:szCs w:val="24"/>
        </w:rPr>
        <w:t>总容积</w:t>
      </w:r>
      <w:r>
        <w:rPr>
          <w:rFonts w:hint="eastAsia"/>
          <w:szCs w:val="24"/>
        </w:rPr>
        <w:t>1000</w:t>
      </w:r>
      <w:r>
        <w:rPr>
          <w:szCs w:val="24"/>
        </w:rPr>
        <w:t>m</w:t>
      </w:r>
      <w:r>
        <w:rPr>
          <w:szCs w:val="24"/>
          <w:vertAlign w:val="superscript"/>
        </w:rPr>
        <w:t>3</w:t>
      </w:r>
      <w:r>
        <w:rPr>
          <w:szCs w:val="24"/>
        </w:rPr>
        <w:t>，项目废水产生量约</w:t>
      </w:r>
      <w:r>
        <w:rPr>
          <w:rFonts w:hint="eastAsia"/>
          <w:szCs w:val="24"/>
        </w:rPr>
        <w:t>21.0</w:t>
      </w:r>
      <w:r>
        <w:rPr>
          <w:szCs w:val="24"/>
        </w:rPr>
        <w:t>m</w:t>
      </w:r>
      <w:r>
        <w:rPr>
          <w:szCs w:val="24"/>
          <w:vertAlign w:val="superscript"/>
        </w:rPr>
        <w:t>3</w:t>
      </w:r>
      <w:r>
        <w:rPr>
          <w:szCs w:val="24"/>
        </w:rPr>
        <w:t>/d，</w:t>
      </w:r>
      <w:r>
        <w:rPr>
          <w:rFonts w:hint="eastAsia"/>
          <w:szCs w:val="24"/>
        </w:rPr>
        <w:t>厌氧发酵池</w:t>
      </w:r>
      <w:r>
        <w:rPr>
          <w:szCs w:val="24"/>
        </w:rPr>
        <w:t>水力停留时间可达</w:t>
      </w:r>
      <w:r>
        <w:rPr>
          <w:rFonts w:hint="eastAsia"/>
          <w:szCs w:val="24"/>
        </w:rPr>
        <w:t>47</w:t>
      </w:r>
      <w:r>
        <w:rPr>
          <w:szCs w:val="24"/>
        </w:rPr>
        <w:t>d，</w:t>
      </w:r>
      <w:r>
        <w:rPr>
          <w:rFonts w:hint="eastAsia"/>
          <w:szCs w:val="24"/>
        </w:rPr>
        <w:t>产生的沼液经暂存池暂存（容积</w:t>
      </w:r>
      <w:r>
        <w:rPr>
          <w:szCs w:val="24"/>
        </w:rPr>
        <w:t>2800m</w:t>
      </w:r>
      <w:r>
        <w:rPr>
          <w:szCs w:val="24"/>
          <w:vertAlign w:val="superscript"/>
        </w:rPr>
        <w:t>3</w:t>
      </w:r>
      <w:r>
        <w:rPr>
          <w:rFonts w:hint="eastAsia"/>
          <w:szCs w:val="24"/>
        </w:rPr>
        <w:t>），待施肥期通过</w:t>
      </w:r>
      <w:r>
        <w:rPr>
          <w:szCs w:val="24"/>
        </w:rPr>
        <w:t>管网输送</w:t>
      </w:r>
      <w:r>
        <w:rPr>
          <w:rFonts w:hint="eastAsia"/>
          <w:szCs w:val="24"/>
        </w:rPr>
        <w:t>作为农肥施用于农田；</w:t>
      </w:r>
      <w:r>
        <w:rPr>
          <w:szCs w:val="24"/>
        </w:rPr>
        <w:t>沼液还田满足《农业农村部办公厅 生态环境部办公厅关于进一步明确畜禽粪污还田利用要求强化养殖污染监管的通知》（农办牧〔2020〕23号）中</w:t>
      </w:r>
      <w:r>
        <w:rPr>
          <w:rFonts w:hint="eastAsia"/>
          <w:szCs w:val="24"/>
        </w:rPr>
        <w:t>“（一）鼓励</w:t>
      </w:r>
      <w:r>
        <w:rPr>
          <w:szCs w:val="24"/>
        </w:rPr>
        <w:t>畜禽粪污还田利用。国家</w:t>
      </w:r>
      <w:r>
        <w:rPr>
          <w:rFonts w:hint="eastAsia"/>
          <w:szCs w:val="24"/>
        </w:rPr>
        <w:t>支持</w:t>
      </w:r>
      <w:r>
        <w:rPr>
          <w:szCs w:val="24"/>
        </w:rPr>
        <w:t>畜禽养殖</w:t>
      </w:r>
      <w:r>
        <w:rPr>
          <w:rFonts w:hint="eastAsia"/>
          <w:szCs w:val="24"/>
        </w:rPr>
        <w:t>场</w:t>
      </w:r>
      <w:r>
        <w:rPr>
          <w:szCs w:val="24"/>
        </w:rPr>
        <w:t>户建设</w:t>
      </w:r>
      <w:r>
        <w:rPr>
          <w:rFonts w:hint="eastAsia"/>
          <w:szCs w:val="24"/>
        </w:rPr>
        <w:t>畜禽</w:t>
      </w:r>
      <w:r>
        <w:rPr>
          <w:szCs w:val="24"/>
        </w:rPr>
        <w:t>粪污无害化处理和资源化利用设施，鼓励采取粪肥</w:t>
      </w:r>
      <w:r>
        <w:rPr>
          <w:rFonts w:hint="eastAsia"/>
          <w:szCs w:val="24"/>
        </w:rPr>
        <w:t>还田</w:t>
      </w:r>
      <w:r>
        <w:rPr>
          <w:szCs w:val="24"/>
        </w:rPr>
        <w:t>、制取沼气、生产有机肥等</w:t>
      </w:r>
      <w:r>
        <w:rPr>
          <w:rFonts w:hint="eastAsia"/>
          <w:szCs w:val="24"/>
        </w:rPr>
        <w:t>方式</w:t>
      </w:r>
      <w:r>
        <w:rPr>
          <w:szCs w:val="24"/>
        </w:rPr>
        <w:t>进行资源化利用</w:t>
      </w:r>
      <w:r>
        <w:rPr>
          <w:rFonts w:hint="eastAsia"/>
          <w:szCs w:val="24"/>
        </w:rPr>
        <w:t>”</w:t>
      </w:r>
      <w:r>
        <w:rPr>
          <w:szCs w:val="24"/>
        </w:rPr>
        <w:t>的相关要求。</w:t>
      </w:r>
      <w:r>
        <w:rPr>
          <w:rFonts w:hint="eastAsia"/>
        </w:rPr>
        <w:t>因此</w:t>
      </w:r>
      <w:r>
        <w:t>，</w:t>
      </w:r>
      <w:r>
        <w:rPr>
          <w:rFonts w:hint="eastAsia"/>
        </w:rPr>
        <w:t>项目</w:t>
      </w:r>
      <w:r>
        <w:t>废水处理</w:t>
      </w:r>
      <w:r>
        <w:rPr>
          <w:rFonts w:hint="eastAsia"/>
        </w:rPr>
        <w:t>措施</w:t>
      </w:r>
      <w:r>
        <w:t>可行。</w:t>
      </w:r>
    </w:p>
    <w:p>
      <w:pPr>
        <w:pStyle w:val="4"/>
      </w:pPr>
      <w:bookmarkStart w:id="134" w:name="_Toc488102175"/>
      <w:r>
        <w:rPr>
          <w:rFonts w:hint="eastAsia"/>
        </w:rPr>
        <w:t>地下水环境影响评价</w:t>
      </w:r>
      <w:bookmarkEnd w:id="134"/>
    </w:p>
    <w:p>
      <w:pPr>
        <w:pStyle w:val="5"/>
      </w:pPr>
      <w:r>
        <w:rPr>
          <w:rFonts w:hint="eastAsia"/>
        </w:rPr>
        <w:t>区域</w:t>
      </w:r>
      <w:r>
        <w:t>水文地质条件</w:t>
      </w:r>
    </w:p>
    <w:p>
      <w:pPr>
        <w:ind w:firstLine="480"/>
      </w:pPr>
      <w:r>
        <w:rPr>
          <w:rFonts w:hint="eastAsia"/>
        </w:rPr>
        <w:t>由于自然地理和地质条件的差异，旬阳市境内地下水分布极不均匀。按水文地质可分为三大含水岩系。</w:t>
      </w:r>
    </w:p>
    <w:p>
      <w:pPr>
        <w:ind w:firstLine="480"/>
      </w:pPr>
      <w:r>
        <w:rPr>
          <w:rFonts w:hint="eastAsia"/>
        </w:rPr>
        <w:t>（1）层状基岩裂隙含水岩类。分布在汉江以北、旬河以东、仙河以西的广大地区，主要岩层是寒武一泥盆系的片岩、千枚岩夹薄层灰岩及结晶灰岩等类。此类岩层经多次构造运动，断层、裂隙较为发育，且多为碎屑或岩脉充填，故地下富水性较弱。</w:t>
      </w:r>
    </w:p>
    <w:p>
      <w:pPr>
        <w:ind w:firstLine="480"/>
      </w:pPr>
      <w:r>
        <w:rPr>
          <w:rFonts w:hint="eastAsia"/>
        </w:rPr>
        <w:t>（2）岩溶化基岩岩溶裂隙含水岩类。主要分布在南羊山、北羊山及汉江以南大巴山地区。地下水为岩溶潜水或承压水，矿化度小于1g/L，埋深不一，泉流量2.5m3/h。南羊山地段岩溶（喀斯特）地形发育，在三里峡、南羊山断层下盘两裂隙交叉处有泉水出露，涌水量随季节变化(20—300L/S)，为公馆河主要水源。位处南羊山张坪乡的水帘洞，地下水出露较高，距沟心80多m，流量达0.0439m3/s，富水性较强。</w:t>
      </w:r>
    </w:p>
    <w:p>
      <w:pPr>
        <w:ind w:firstLine="480"/>
      </w:pPr>
      <w:r>
        <w:rPr>
          <w:rFonts w:hint="eastAsia"/>
        </w:rPr>
        <w:t>（3）松散覆盖层孔隙含水岩类。主要分布在汉江、旬河、蜀河、吕河等河谷两岸，地下水较丰富，上部为冲积层潜水，下部为冲湖积层承压水，水位一般埋深数米至30m，矿化度小于1g/L，含水层为冲积沙卵石、粗沙、细纱、亚沙土及亚粘土。强富水带主要分布在上下菜湾、草坪、青泥湾一带。中等富水带为旬河的一、二级阶地和白柳的洪积扇。</w:t>
      </w:r>
    </w:p>
    <w:p>
      <w:pPr>
        <w:ind w:firstLine="480"/>
        <w:rPr>
          <w:highlight w:val="yellow"/>
        </w:rPr>
      </w:pPr>
      <w:r>
        <w:rPr>
          <w:rFonts w:hint="eastAsia"/>
        </w:rPr>
        <w:t>地下水受地形控制作用强烈，地表分水岭大体上也是地下水的分水岭。山岭和山坡地段主要是地下水的补给径流区，河谷地段主要是地下水的排泄区，由分水岭向河谷，地下水位由深变浅，富水性由弱变强。地下水主要受大气降水补给，局部地区受地表水的侧向补给。</w:t>
      </w:r>
    </w:p>
    <w:p>
      <w:pPr>
        <w:pStyle w:val="5"/>
      </w:pPr>
      <w:r>
        <w:rPr>
          <w:rFonts w:hint="eastAsia"/>
        </w:rPr>
        <w:t>项目</w:t>
      </w:r>
      <w:r>
        <w:t>所在地水文地质条件</w:t>
      </w:r>
    </w:p>
    <w:p>
      <w:pPr>
        <w:ind w:firstLine="480"/>
      </w:pPr>
      <w:r>
        <w:rPr>
          <w:rFonts w:hint="eastAsia"/>
        </w:rPr>
        <w:t>本项目</w:t>
      </w:r>
      <w:r>
        <w:t>位于旬阳市</w:t>
      </w:r>
      <w:r>
        <w:rPr>
          <w:rFonts w:hint="eastAsia"/>
        </w:rPr>
        <w:t>关口镇关坪村，项目</w:t>
      </w:r>
      <w:r>
        <w:t>地存在的地下水主要有：</w:t>
      </w:r>
      <w:r>
        <w:rPr>
          <w:rFonts w:hint="eastAsia"/>
        </w:rPr>
        <w:t>孔隙潜水和裂隙潜水。孔隙潜水主要复存在第四系全新统冲洪积基砂、砾、卵石层中，分布在汉江、沈家河河谷地带，沿河呈带状分布，含水层厚度3~10m，富水性中等。在孔隙潜水分布的区域，包气带厚度较小，一般0.7~8.0m。包气带仍为第四系全新统冲洪积砂、砾、卵石层组成，透水性较强，一般属于强透水层。地下水主要补给来源为大气降水，大气降水通过包气带（志留系千枚岩层风化、构造裂隙带和第四系全新统坡积混泥质碎石土）垂直下渗补给地下水。基岩裂隙潜水依地势，由山梁坡向沟谷径流和沿沟谷向下游径流。排泄方式主要有三种：一是以径流方式排泄于汉江、沈家河的地表水及下游相邻含水层；二是以泉的形式溢出排泄于地表；三是人工掘井取水。</w:t>
      </w:r>
    </w:p>
    <w:p>
      <w:pPr>
        <w:pStyle w:val="5"/>
      </w:pPr>
      <w:r>
        <w:rPr>
          <w:rFonts w:hint="eastAsia"/>
        </w:rPr>
        <w:t>地下水</w:t>
      </w:r>
      <w:r>
        <w:t>污染途径</w:t>
      </w:r>
    </w:p>
    <w:p>
      <w:pPr>
        <w:pStyle w:val="79"/>
        <w:ind w:firstLine="480"/>
      </w:pPr>
      <w:r>
        <w:rPr>
          <w:rFonts w:hint="eastAsia"/>
        </w:rPr>
        <w:t>根据地下水地质条件、地下水补给、径流条件等特点，分析本工程废水排放情况，可能造成的地下水污染途径有以下几种途径：</w:t>
      </w:r>
    </w:p>
    <w:p>
      <w:pPr>
        <w:pStyle w:val="79"/>
        <w:ind w:firstLine="480"/>
      </w:pPr>
      <w:r>
        <w:rPr>
          <w:rFonts w:hint="eastAsia"/>
        </w:rPr>
        <w:t>①废水收集处理系统防渗措施不足，导致废水渗入地下造成地下水污染；</w:t>
      </w:r>
    </w:p>
    <w:p>
      <w:pPr>
        <w:pStyle w:val="79"/>
        <w:ind w:firstLine="480"/>
      </w:pPr>
      <w:r>
        <w:rPr>
          <w:rFonts w:hint="eastAsia"/>
        </w:rPr>
        <w:t>②工程使用的各类废水池、污水管道防渗措施不足，而造成废水渗漏污染；</w:t>
      </w:r>
    </w:p>
    <w:p>
      <w:pPr>
        <w:pStyle w:val="79"/>
        <w:ind w:firstLine="480"/>
      </w:pPr>
      <w:r>
        <w:rPr>
          <w:rFonts w:hint="eastAsia"/>
        </w:rPr>
        <w:t>③猪舍底部等生产设施因基础防渗不足通过裂隙污染地下水。</w:t>
      </w:r>
    </w:p>
    <w:p>
      <w:pPr>
        <w:pStyle w:val="5"/>
      </w:pPr>
      <w:r>
        <w:rPr>
          <w:rFonts w:hint="eastAsia"/>
        </w:rPr>
        <w:t>地下水</w:t>
      </w:r>
      <w:r>
        <w:t>环境影响</w:t>
      </w:r>
      <w:r>
        <w:rPr>
          <w:rFonts w:hint="eastAsia"/>
        </w:rPr>
        <w:t>情景</w:t>
      </w:r>
      <w:r>
        <w:t>分析</w:t>
      </w:r>
    </w:p>
    <w:p>
      <w:pPr>
        <w:pStyle w:val="79"/>
        <w:ind w:firstLine="482"/>
        <w:rPr>
          <w:b/>
        </w:rPr>
      </w:pPr>
      <w:r>
        <w:rPr>
          <w:rFonts w:eastAsia="TimesNewRomanPSMT" w:cs="Times New Roman"/>
          <w:b/>
        </w:rPr>
        <w:t>1</w:t>
      </w:r>
      <w:r>
        <w:rPr>
          <w:rFonts w:cs="Times New Roman"/>
          <w:b/>
        </w:rPr>
        <w:t>、</w:t>
      </w:r>
      <w:r>
        <w:rPr>
          <w:rFonts w:hint="eastAsia"/>
          <w:b/>
        </w:rPr>
        <w:t>正常工况下对地下水水质的影响</w:t>
      </w:r>
    </w:p>
    <w:p>
      <w:pPr>
        <w:pStyle w:val="79"/>
        <w:ind w:firstLine="480"/>
      </w:pPr>
      <w:r>
        <w:rPr>
          <w:rFonts w:hint="eastAsia"/>
        </w:rPr>
        <w:t>①包气带防护性能</w:t>
      </w:r>
    </w:p>
    <w:p>
      <w:pPr>
        <w:pStyle w:val="79"/>
        <w:ind w:firstLine="480"/>
      </w:pPr>
      <w:r>
        <w:rPr>
          <w:rFonts w:hint="eastAsia"/>
        </w:rPr>
        <w:t>污染物通过降水等垂直渗透进入包气带，在通过包气带物理、化学、生物作用，经吸附、转化、迁移和分解转至地下水。由此可知，包气带是联接地面污染源与地下含水层的主要通道和过滤带，既是污染的媒介，又是污染的防护层，地下水能否被污染以及污染程度取决于包气带的岩性、组成及污染物的种类。包气带防护能力与包气带厚度、岩性结构、弱渗透性地层的渗透性能及厚度有关。若包气带粘性厚度小，且分布不连续、不稳定，即地下水自然防护条件就差，那么污染物渗漏就易对地下水产生污染；若包气带粘性土厚度虽小，但分布连续、稳定，则地下水自然防护条件相对就好些，污染物对地下水影响就相对较小。该项目场地位于丘陵山区，包气带厚</w:t>
      </w:r>
      <w:r>
        <w:rPr>
          <w:rFonts w:cs="Times New Roman"/>
        </w:rPr>
        <w:t>度</w:t>
      </w:r>
      <w:r>
        <w:rPr>
          <w:rFonts w:eastAsia="TimesNewRomanPSMT" w:cs="Times New Roman"/>
        </w:rPr>
        <w:t>20m</w:t>
      </w:r>
      <w:r>
        <w:rPr>
          <w:rFonts w:cs="Times New Roman"/>
        </w:rPr>
        <w:t>～</w:t>
      </w:r>
      <w:r>
        <w:rPr>
          <w:rFonts w:eastAsia="TimesNewRomanPSMT" w:cs="Times New Roman"/>
        </w:rPr>
        <w:t>80m</w:t>
      </w:r>
      <w:r>
        <w:rPr>
          <w:rFonts w:cs="Times New Roman"/>
        </w:rPr>
        <w:t>，岩</w:t>
      </w:r>
      <w:r>
        <w:rPr>
          <w:rFonts w:hint="eastAsia"/>
        </w:rPr>
        <w:t>性以粉质粘土为主，渗透性能较弱，以粘土为主的隔水层分布连续、稳定，因此，本区域包气带对污染物有很好的防护作用。</w:t>
      </w:r>
    </w:p>
    <w:p>
      <w:pPr>
        <w:pStyle w:val="79"/>
        <w:ind w:firstLine="480"/>
      </w:pPr>
      <w:r>
        <w:rPr>
          <w:rFonts w:hint="eastAsia"/>
        </w:rPr>
        <w:t>②废水排放</w:t>
      </w:r>
      <w:r>
        <w:t>对</w:t>
      </w:r>
      <w:r>
        <w:rPr>
          <w:rFonts w:hint="eastAsia"/>
        </w:rPr>
        <w:t>地下水</w:t>
      </w:r>
      <w:r>
        <w:t>的影响</w:t>
      </w:r>
    </w:p>
    <w:p>
      <w:pPr>
        <w:pStyle w:val="79"/>
        <w:ind w:firstLine="480"/>
      </w:pPr>
      <w:r>
        <w:t>项目实施雨污分流</w:t>
      </w:r>
      <w:r>
        <w:rPr>
          <w:rFonts w:hint="eastAsia"/>
        </w:rPr>
        <w:t>，项目运营期的排水主要为生活污水和养殖废水</w:t>
      </w:r>
      <w:r>
        <w:t>。项目清粪使用干清粪工艺，干粪收集后</w:t>
      </w:r>
      <w:r>
        <w:rPr>
          <w:rFonts w:hint="eastAsia"/>
        </w:rPr>
        <w:t>临时堆存及时外售有机肥厂；养殖区污水和</w:t>
      </w:r>
      <w:r>
        <w:t>生活污水</w:t>
      </w:r>
      <w:r>
        <w:rPr>
          <w:rFonts w:hint="eastAsia"/>
        </w:rPr>
        <w:t>经项目自建的污水管沟收集后进入场区污水处理系统，经过“集</w:t>
      </w:r>
      <w:r>
        <w:t>粪池</w:t>
      </w:r>
      <w:r>
        <w:rPr>
          <w:rFonts w:hint="eastAsia"/>
        </w:rPr>
        <w:t>+固液</w:t>
      </w:r>
      <w:r>
        <w:t>分离</w:t>
      </w:r>
      <w:r>
        <w:rPr>
          <w:rFonts w:hint="eastAsia"/>
        </w:rPr>
        <w:t>+厌氧</w:t>
      </w:r>
      <w:r>
        <w:t>发酵池处理</w:t>
      </w:r>
      <w:r>
        <w:rPr>
          <w:rFonts w:hint="eastAsia"/>
        </w:rPr>
        <w:t>”工艺处理后污水用于农田施肥、不外排。</w:t>
      </w:r>
      <w:r>
        <w:t>项目废水收集</w:t>
      </w:r>
      <w:r>
        <w:rPr>
          <w:rFonts w:hint="eastAsia"/>
        </w:rPr>
        <w:t>管道</w:t>
      </w:r>
      <w:r>
        <w:t>、</w:t>
      </w:r>
      <w:r>
        <w:rPr>
          <w:rFonts w:hint="eastAsia"/>
        </w:rPr>
        <w:t>污水处理</w:t>
      </w:r>
      <w:r>
        <w:t>设施</w:t>
      </w:r>
      <w:r>
        <w:rPr>
          <w:rFonts w:hint="eastAsia"/>
        </w:rPr>
        <w:t>池体及沼液</w:t>
      </w:r>
      <w:r>
        <w:t>暂存池</w:t>
      </w:r>
      <w:r>
        <w:rPr>
          <w:rFonts w:hint="eastAsia"/>
        </w:rPr>
        <w:t>应</w:t>
      </w:r>
      <w:r>
        <w:t>按照《危险废物填埋场污染控制标准》设计地下水污染防渗措施</w:t>
      </w:r>
      <w:r>
        <w:rPr>
          <w:rFonts w:hint="eastAsia"/>
        </w:rPr>
        <w:t>。建设单位在严格按照要求做好防渗措施后，</w:t>
      </w:r>
      <w:r>
        <w:t>项目废水正常情况下对地下水的影响很小。</w:t>
      </w:r>
    </w:p>
    <w:p>
      <w:pPr>
        <w:pStyle w:val="79"/>
        <w:ind w:firstLine="480"/>
      </w:pPr>
      <w:r>
        <w:rPr>
          <w:rFonts w:hint="eastAsia"/>
        </w:rPr>
        <w:t>③固废堆放对浅层地下水的影响</w:t>
      </w:r>
    </w:p>
    <w:p>
      <w:pPr>
        <w:pStyle w:val="79"/>
        <w:ind w:firstLine="480"/>
      </w:pPr>
      <w:r>
        <w:rPr>
          <w:rFonts w:hint="eastAsia"/>
        </w:rPr>
        <w:t>项目产生的固废主要有猪粪、病死猪尸体、分娩废物、医疗废物、废脱硫剂、生活垃圾等，其中猪粪外售</w:t>
      </w:r>
      <w:r>
        <w:t>作为有机肥厂原料</w:t>
      </w:r>
      <w:r>
        <w:rPr>
          <w:rFonts w:hint="eastAsia"/>
        </w:rPr>
        <w:t>；病死猪尸体、分娩废物进行安全填埋；医疗废物收集后定期交给有资质单位处置；废脱硫剂交由厂家回收处理；生活垃圾由垃圾箱临时收集，由环卫部门定期清运处理。对地下水可能产生的影响主要是猪粪堆粪</w:t>
      </w:r>
      <w:r>
        <w:t>棚</w:t>
      </w:r>
      <w:r>
        <w:rPr>
          <w:rFonts w:hint="eastAsia"/>
        </w:rPr>
        <w:t>，环评要求，猪粪</w:t>
      </w:r>
      <w:r>
        <w:t>堆粪</w:t>
      </w:r>
      <w:r>
        <w:rPr>
          <w:rFonts w:hint="eastAsia"/>
        </w:rPr>
        <w:t>棚设置应满足《畜禽养殖业污染防治技术规范》（HJ/T81-2001）、《畜禽养殖业污染治理工程技术规划》（HJ497-2009）中关于堆粪场的相关要求。猪粪暂存棚周边应设置地沟类收集设施，并接入污水处理系统，做好防渗截留措施。粪便外售</w:t>
      </w:r>
      <w:r>
        <w:t>有机肥厂</w:t>
      </w:r>
      <w:r>
        <w:rPr>
          <w:rFonts w:hint="eastAsia"/>
        </w:rPr>
        <w:t>制作有机肥，运输</w:t>
      </w:r>
      <w:r>
        <w:t>过程</w:t>
      </w:r>
      <w:r>
        <w:rPr>
          <w:rFonts w:hint="eastAsia"/>
        </w:rPr>
        <w:t>必须采用袋装密闭清运，严禁沿途洒落，避免洒落的干粪被雨水冲刷污染土壤和地下水。</w:t>
      </w:r>
    </w:p>
    <w:p>
      <w:pPr>
        <w:pStyle w:val="79"/>
        <w:ind w:firstLine="480"/>
      </w:pPr>
      <w:r>
        <w:rPr>
          <w:rFonts w:hint="eastAsia"/>
        </w:rPr>
        <w:t>因此，项目在固废堆放场地地面防渗符合相关规范要求的前提下，不会发生由于雨水冲刷而使污染物入渗到地下水环境中对地下水的水质造成污染的现象。</w:t>
      </w:r>
    </w:p>
    <w:p>
      <w:pPr>
        <w:pStyle w:val="79"/>
        <w:ind w:firstLine="482"/>
        <w:rPr>
          <w:b/>
        </w:rPr>
      </w:pPr>
      <w:r>
        <w:rPr>
          <w:rFonts w:hint="eastAsia"/>
          <w:b/>
        </w:rPr>
        <w:t>2、</w:t>
      </w:r>
      <w:r>
        <w:rPr>
          <w:b/>
        </w:rPr>
        <w:t>非正常工况下对地下水水质的</w:t>
      </w:r>
      <w:r>
        <w:rPr>
          <w:rFonts w:hint="eastAsia"/>
          <w:b/>
        </w:rPr>
        <w:t>影响</w:t>
      </w:r>
    </w:p>
    <w:p>
      <w:pPr>
        <w:pStyle w:val="79"/>
        <w:ind w:firstLine="480"/>
      </w:pPr>
      <w:r>
        <w:rPr>
          <w:rFonts w:hint="eastAsia"/>
        </w:rPr>
        <w:t>正常工况情况下，该项目对场址及附近地下水环境无影响，但在运行过程中难免存在着设备的无组织泄漏以及其它方式的无组织排放，甚至存在着由于自然灾害及人为因素引起的事故性排放的可能性，这些废水可能通过渗漏作用对场址区域地下水产生污染。</w:t>
      </w:r>
    </w:p>
    <w:p>
      <w:pPr>
        <w:pStyle w:val="79"/>
        <w:ind w:firstLine="480"/>
      </w:pPr>
      <w:r>
        <w:rPr>
          <w:rFonts w:hint="eastAsia"/>
        </w:rPr>
        <w:t>根据类比调查，无组织泄漏潜在区通常主要集中在污水处理系统、管网接口等处。一般厂区事故排放分为短期大量排放及长期少量排放两类。短期大量排放（如突发性事故引起的管线破裂或管线阻塞而造成溢流，发生火灾爆炸等事故产生的消防污水以及地面清洗水排放），一般能及时发现，并可通过一定方法加以控制，因此，一般短期排放不会造成地下水污染；而长期较少量排放（如污水池无组织泄漏等），一般较难发现，长期泄漏可对地下水产生一定影响。</w:t>
      </w:r>
    </w:p>
    <w:p>
      <w:pPr>
        <w:pStyle w:val="79"/>
        <w:ind w:firstLine="480"/>
      </w:pPr>
      <w:r>
        <w:rPr>
          <w:rFonts w:hint="eastAsia"/>
        </w:rPr>
        <w:t>该项目在运行阶段可能发生的非正常工况主要有两类：</w:t>
      </w:r>
    </w:p>
    <w:p>
      <w:pPr>
        <w:pStyle w:val="79"/>
        <w:ind w:firstLine="480"/>
      </w:pPr>
      <w:r>
        <w:rPr>
          <w:rFonts w:hint="eastAsia"/>
        </w:rPr>
        <w:t>1）输水管线运行过程中，管线腐蚀穿孔、误操作及人为破坏等原因造成的管线破裂使污水泄露；</w:t>
      </w:r>
    </w:p>
    <w:p>
      <w:pPr>
        <w:pStyle w:val="79"/>
        <w:ind w:firstLine="480"/>
      </w:pPr>
      <w:r>
        <w:rPr>
          <w:rFonts w:hint="eastAsia"/>
        </w:rPr>
        <w:t>2）污水收集池发生破损，导致废水通过裂口渗入地下影响地下水质。</w:t>
      </w:r>
    </w:p>
    <w:p>
      <w:pPr>
        <w:pStyle w:val="79"/>
        <w:ind w:firstLine="480"/>
      </w:pPr>
      <w:r>
        <w:rPr>
          <w:rFonts w:hint="eastAsia"/>
        </w:rPr>
        <w:t>对于1）种工况通常较容易被及时发现和处理，且一般厂区地面做防渗处理，只要及时切断污染源，将废水引入事故水池，事故结束后再将污水分批分期排入厂内污水处理系统处理，一般不会对地下水造成污染。对于2）种工况通常很难被及时发现，未经处理的混合废水会缓慢的渗入地下，当环境容量达到饱和后，其污染物会进入地下水，对地下水产生污染。因此针对2）种工况进行预测分析。</w:t>
      </w:r>
    </w:p>
    <w:p>
      <w:pPr>
        <w:pStyle w:val="5"/>
      </w:pPr>
      <w:r>
        <w:rPr>
          <w:rFonts w:hint="eastAsia"/>
        </w:rPr>
        <w:t>地下水预测</w:t>
      </w:r>
      <w:r>
        <w:t>分析</w:t>
      </w:r>
    </w:p>
    <w:p>
      <w:pPr>
        <w:pStyle w:val="79"/>
        <w:ind w:firstLine="480"/>
      </w:pPr>
      <w:r>
        <w:rPr>
          <w:rFonts w:hint="eastAsia"/>
        </w:rPr>
        <w:t>根据《环境影响评价技术导则地下水环境》（HJ610-2016），本项目场区划分为重点防渗区及一般防渗区，根据防渗级别采取不同的防渗材料，地下水防渗措施均为目前养殖行业普遍采用的成熟措施，符合（GB18597-2001）、（GB18599-2001）的相关规定要求，正常情况下不会对地下水产生不利影响，项目仅预测非正常状况下的影响结果。</w:t>
      </w:r>
    </w:p>
    <w:p>
      <w:pPr>
        <w:pStyle w:val="79"/>
        <w:ind w:firstLine="480"/>
      </w:pPr>
      <w:r>
        <w:rPr>
          <w:rFonts w:hint="eastAsia"/>
        </w:rPr>
        <w:t>（1）预测</w:t>
      </w:r>
      <w:r>
        <w:t>时段</w:t>
      </w:r>
    </w:p>
    <w:p>
      <w:pPr>
        <w:pStyle w:val="79"/>
        <w:ind w:firstLine="480"/>
      </w:pPr>
      <w:r>
        <w:rPr>
          <w:rFonts w:hint="eastAsia"/>
        </w:rPr>
        <w:t>地下水环境影响预测时段为污染发生后</w:t>
      </w:r>
      <w:r>
        <w:t>100d</w:t>
      </w:r>
      <w:r>
        <w:rPr>
          <w:rFonts w:hint="eastAsia"/>
        </w:rPr>
        <w:t>、</w:t>
      </w:r>
      <w:r>
        <w:t>1000d</w:t>
      </w:r>
      <w:r>
        <w:rPr>
          <w:rFonts w:hint="eastAsia"/>
        </w:rPr>
        <w:t>。</w:t>
      </w:r>
    </w:p>
    <w:p>
      <w:pPr>
        <w:pStyle w:val="79"/>
        <w:ind w:firstLine="480"/>
      </w:pPr>
      <w:r>
        <w:rPr>
          <w:rFonts w:hint="eastAsia"/>
        </w:rPr>
        <w:t>（2）预测情景</w:t>
      </w:r>
    </w:p>
    <w:p>
      <w:pPr>
        <w:pStyle w:val="79"/>
        <w:ind w:firstLine="480"/>
      </w:pPr>
      <w:r>
        <w:rPr>
          <w:rFonts w:hint="eastAsia"/>
        </w:rPr>
        <w:t>非正常工况下，如果污水站泄露量较大会被及时发现并采取相应措施，地下水环境造成的影响较小，因此本次预测假设泄漏量较小且持续泄露。假设最长持续泄露时间为</w:t>
      </w:r>
      <w:r>
        <w:t>90d</w:t>
      </w:r>
      <w:r>
        <w:rPr>
          <w:rFonts w:hint="eastAsia"/>
        </w:rPr>
        <w:t>（参照监测计划频次（一季度一测），按不利情况），由于假设的泄露时间较长，加之实际地质条件的复杂性和不确定性，以及雨水淋滤等作用，本次预测直接针对潜水含水层。由于该事故状态不会对地下水流场产生明显影响，并结合项目区水文地质条件及资料掌握程度，按照导则要求最终确定采用解析法进行预测评价。</w:t>
      </w:r>
    </w:p>
    <w:p>
      <w:pPr>
        <w:pStyle w:val="79"/>
        <w:ind w:firstLine="480"/>
      </w:pPr>
      <w:r>
        <w:rPr>
          <w:rFonts w:hint="eastAsia"/>
        </w:rPr>
        <w:t>（3）预测</w:t>
      </w:r>
      <w:r>
        <w:t>因子</w:t>
      </w:r>
    </w:p>
    <w:p>
      <w:pPr>
        <w:pStyle w:val="79"/>
        <w:ind w:firstLine="480"/>
      </w:pPr>
      <w:r>
        <w:rPr>
          <w:rFonts w:hint="eastAsia"/>
        </w:rPr>
        <w:t>本项目水质预测因子主要为COD及氨氮，根据工程分析，污染产生的最高浓度为COD</w:t>
      </w:r>
      <w:r>
        <w:t>2322.64</w:t>
      </w:r>
      <w:r>
        <w:rPr>
          <w:rFonts w:hint="eastAsia"/>
        </w:rPr>
        <w:t>mg/L，氨氮</w:t>
      </w:r>
      <w:r>
        <w:t>231.07</w:t>
      </w:r>
      <w:r>
        <w:rPr>
          <w:rFonts w:hint="eastAsia"/>
        </w:rPr>
        <w:t>mg/L，根据刘巍《</w:t>
      </w:r>
      <w:r>
        <w:t>BOD</w:t>
      </w:r>
      <w:r>
        <w:rPr>
          <w:rFonts w:hint="eastAsia"/>
        </w:rPr>
        <w:t>、</w:t>
      </w:r>
      <w:r>
        <w:t>COD</w:t>
      </w:r>
      <w:r>
        <w:rPr>
          <w:rFonts w:hint="eastAsia"/>
        </w:rPr>
        <w:t>与高锰酸盐指数的理论内涵及倍率关系研究》一文中指出</w:t>
      </w:r>
      <w:r>
        <w:rPr>
          <w:rFonts w:hint="eastAsia" w:ascii="宋体" w:hAnsi="宋体" w:cs="宋体"/>
        </w:rPr>
        <w:t>Ⅲ</w:t>
      </w:r>
      <w:r>
        <w:rPr>
          <w:rFonts w:hint="eastAsia"/>
        </w:rPr>
        <w:t>类水</w:t>
      </w:r>
      <w:r>
        <w:t>COD</w:t>
      </w:r>
      <w:r>
        <w:rPr>
          <w:rFonts w:hint="eastAsia"/>
        </w:rPr>
        <w:t>为高锰酸盐指数的2.7倍，因此，COD泄漏量折算成高锰酸盐指数（COD</w:t>
      </w:r>
      <w:r>
        <w:rPr>
          <w:rFonts w:hint="eastAsia"/>
          <w:vertAlign w:val="subscript"/>
        </w:rPr>
        <w:t>Mn</w:t>
      </w:r>
      <w:r>
        <w:rPr>
          <w:rFonts w:hint="eastAsia"/>
        </w:rPr>
        <w:t>或耗氧量）为</w:t>
      </w:r>
      <w:r>
        <w:t>860.24</w:t>
      </w:r>
      <w:r>
        <w:rPr>
          <w:rFonts w:hint="eastAsia"/>
        </w:rPr>
        <w:t>mg/L。</w:t>
      </w:r>
    </w:p>
    <w:p>
      <w:pPr>
        <w:pStyle w:val="79"/>
        <w:ind w:firstLine="480"/>
      </w:pPr>
      <w:r>
        <w:rPr>
          <w:rFonts w:hint="eastAsia"/>
        </w:rPr>
        <w:t>（4）预测</w:t>
      </w:r>
      <w:r>
        <w:t>源强</w:t>
      </w:r>
    </w:p>
    <w:p>
      <w:pPr>
        <w:pStyle w:val="79"/>
        <w:ind w:firstLine="480"/>
      </w:pPr>
      <w:r>
        <w:rPr>
          <w:rFonts w:hint="eastAsia"/>
        </w:rPr>
        <w:t>根据《给水排水构筑物工程施工及验收规范》（GB 50141）污水处理池允许渗水量为2L/（m</w:t>
      </w:r>
      <w:r>
        <w:rPr>
          <w:rFonts w:hint="eastAsia"/>
          <w:vertAlign w:val="superscript"/>
        </w:rPr>
        <w:t>2</w:t>
      </w:r>
      <w:r>
        <w:rPr>
          <w:rFonts w:hint="eastAsia"/>
        </w:rPr>
        <w:t>•d），预测非正常状况下源强设定为正常状况下允许渗漏量的10倍进行计算。</w:t>
      </w:r>
    </w:p>
    <w:p>
      <w:pPr>
        <w:pStyle w:val="79"/>
        <w:ind w:firstLine="480"/>
      </w:pPr>
      <w:r>
        <w:rPr>
          <w:rFonts w:hint="eastAsia"/>
        </w:rPr>
        <w:t>厂区污水处理池尺寸</w:t>
      </w:r>
      <w:r>
        <w:t>40</w:t>
      </w:r>
      <w:r>
        <w:rPr>
          <w:rFonts w:hint="eastAsia"/>
        </w:rPr>
        <w:t>m×</w:t>
      </w:r>
      <w:r>
        <w:t>7.14</w:t>
      </w:r>
      <w:r>
        <w:rPr>
          <w:rFonts w:hint="eastAsia"/>
        </w:rPr>
        <w:t>m×</w:t>
      </w:r>
      <w:r>
        <w:t>3.5</w:t>
      </w:r>
      <w:r>
        <w:rPr>
          <w:rFonts w:hint="eastAsia"/>
        </w:rPr>
        <w:t>m（H），正常水位为3m，则污水的浸润面积为</w:t>
      </w:r>
      <w:r>
        <w:t>40</w:t>
      </w:r>
      <w:r>
        <w:rPr>
          <w:rFonts w:hint="eastAsia"/>
        </w:rPr>
        <w:t>×</w:t>
      </w:r>
      <w:r>
        <w:t>3</w:t>
      </w:r>
      <w:r>
        <w:rPr>
          <w:rFonts w:hint="eastAsia"/>
        </w:rPr>
        <w:t>×2+</w:t>
      </w:r>
      <w:r>
        <w:t>40</w:t>
      </w:r>
      <w:r>
        <w:rPr>
          <w:rFonts w:hint="eastAsia"/>
        </w:rPr>
        <w:t>×</w:t>
      </w:r>
      <w:r>
        <w:t>7.14</w:t>
      </w:r>
      <w:r>
        <w:rPr>
          <w:rFonts w:hint="eastAsia"/>
        </w:rPr>
        <w:t>+</w:t>
      </w:r>
      <w:r>
        <w:t>7.14</w:t>
      </w:r>
      <w:r>
        <w:rPr>
          <w:rFonts w:hint="eastAsia"/>
        </w:rPr>
        <w:t>×</w:t>
      </w:r>
      <w:r>
        <w:t>3</w:t>
      </w:r>
      <w:r>
        <w:rPr>
          <w:rFonts w:hint="eastAsia"/>
        </w:rPr>
        <w:t>×2=</w:t>
      </w:r>
      <w:r>
        <w:t>1168.44</w:t>
      </w:r>
      <w:r>
        <w:rPr>
          <w:rFonts w:hint="eastAsia"/>
        </w:rPr>
        <w:t>m</w:t>
      </w:r>
      <w:r>
        <w:rPr>
          <w:rFonts w:hint="eastAsia"/>
          <w:vertAlign w:val="superscript"/>
        </w:rPr>
        <w:t>2</w:t>
      </w:r>
      <w:r>
        <w:rPr>
          <w:rFonts w:hint="eastAsia"/>
        </w:rPr>
        <w:t>。</w:t>
      </w:r>
    </w:p>
    <w:p>
      <w:pPr>
        <w:pStyle w:val="79"/>
        <w:ind w:firstLine="480"/>
      </w:pPr>
      <w:r>
        <w:rPr>
          <w:rFonts w:hint="eastAsia"/>
        </w:rPr>
        <w:t>因此，非正常工况下渗漏量为</w:t>
      </w:r>
      <w:r>
        <w:t>1168.44</w:t>
      </w:r>
      <w:r>
        <w:rPr>
          <w:rFonts w:hint="eastAsia"/>
        </w:rPr>
        <w:t>m</w:t>
      </w:r>
      <w:r>
        <w:rPr>
          <w:rFonts w:hint="eastAsia"/>
          <w:vertAlign w:val="superscript"/>
        </w:rPr>
        <w:t>2</w:t>
      </w:r>
      <w:r>
        <w:rPr>
          <w:rFonts w:hint="eastAsia"/>
        </w:rPr>
        <w:t>×2L/（m</w:t>
      </w:r>
      <w:r>
        <w:rPr>
          <w:rFonts w:hint="eastAsia"/>
          <w:vertAlign w:val="superscript"/>
        </w:rPr>
        <w:t>2</w:t>
      </w:r>
      <w:r>
        <w:rPr>
          <w:rFonts w:hint="eastAsia"/>
        </w:rPr>
        <w:t>•d）×10=</w:t>
      </w:r>
      <w:r>
        <w:t>2</w:t>
      </w:r>
      <w:r>
        <w:rPr>
          <w:rFonts w:hint="eastAsia"/>
        </w:rPr>
        <w:t>3.</w:t>
      </w:r>
      <w:r>
        <w:t>37</w:t>
      </w:r>
      <w:r>
        <w:rPr>
          <w:rFonts w:hint="eastAsia"/>
        </w:rPr>
        <w:t>m</w:t>
      </w:r>
      <w:r>
        <w:rPr>
          <w:rFonts w:hint="eastAsia"/>
          <w:vertAlign w:val="superscript"/>
        </w:rPr>
        <w:t>3</w:t>
      </w:r>
      <w:r>
        <w:rPr>
          <w:rFonts w:hint="eastAsia"/>
        </w:rPr>
        <w:t>/d）。</w:t>
      </w:r>
    </w:p>
    <w:p>
      <w:pPr>
        <w:spacing w:line="240" w:lineRule="auto"/>
        <w:ind w:firstLine="0" w:firstLineChars="0"/>
        <w:jc w:val="center"/>
        <w:rPr>
          <w:b/>
          <w:kern w:val="0"/>
          <w:szCs w:val="24"/>
        </w:rPr>
      </w:pPr>
      <w:r>
        <w:rPr>
          <w:rFonts w:hint="eastAsia"/>
          <w:b/>
          <w:kern w:val="0"/>
          <w:szCs w:val="24"/>
        </w:rPr>
        <w:t>表5.</w:t>
      </w:r>
      <w:r>
        <w:rPr>
          <w:b/>
          <w:kern w:val="0"/>
          <w:szCs w:val="24"/>
        </w:rPr>
        <w:t>2</w:t>
      </w:r>
      <w:r>
        <w:rPr>
          <w:rFonts w:hint="eastAsia"/>
          <w:b/>
          <w:kern w:val="0"/>
          <w:szCs w:val="24"/>
        </w:rPr>
        <w:t>-</w:t>
      </w:r>
      <w:r>
        <w:rPr>
          <w:b/>
          <w:kern w:val="0"/>
          <w:szCs w:val="24"/>
        </w:rPr>
        <w:t>9</w:t>
      </w:r>
      <w:r>
        <w:rPr>
          <w:rFonts w:hint="eastAsia"/>
          <w:b/>
          <w:kern w:val="0"/>
          <w:szCs w:val="24"/>
        </w:rPr>
        <w:t xml:space="preserve">  非正常状况下污染源强浓度表</w:t>
      </w:r>
    </w:p>
    <w:tbl>
      <w:tblPr>
        <w:tblStyle w:val="27"/>
        <w:tblW w:w="82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79"/>
        <w:gridCol w:w="1379"/>
        <w:gridCol w:w="1378"/>
        <w:gridCol w:w="1378"/>
        <w:gridCol w:w="13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379"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情景设定</w:t>
            </w:r>
          </w:p>
        </w:tc>
        <w:tc>
          <w:tcPr>
            <w:tcW w:w="1379"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特征污染物</w:t>
            </w:r>
          </w:p>
        </w:tc>
        <w:tc>
          <w:tcPr>
            <w:tcW w:w="1379"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污水渗漏量</w:t>
            </w:r>
          </w:p>
          <w:p>
            <w:pPr>
              <w:tabs>
                <w:tab w:val="left" w:pos="630"/>
              </w:tabs>
              <w:autoSpaceDE w:val="0"/>
              <w:autoSpaceDN w:val="0"/>
              <w:adjustRightInd/>
              <w:snapToGrid/>
              <w:spacing w:line="240" w:lineRule="auto"/>
              <w:ind w:firstLine="0" w:firstLineChars="0"/>
              <w:jc w:val="center"/>
              <w:rPr>
                <w:sz w:val="21"/>
                <w:szCs w:val="21"/>
              </w:rPr>
            </w:pPr>
            <w:r>
              <w:rPr>
                <w:sz w:val="21"/>
                <w:szCs w:val="21"/>
              </w:rPr>
              <w:t>（m</w:t>
            </w:r>
            <w:r>
              <w:rPr>
                <w:sz w:val="21"/>
                <w:szCs w:val="21"/>
                <w:vertAlign w:val="superscript"/>
              </w:rPr>
              <w:t>3</w:t>
            </w:r>
            <w:r>
              <w:rPr>
                <w:sz w:val="21"/>
                <w:szCs w:val="21"/>
              </w:rPr>
              <w:t>/d）</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渗漏速率</w:t>
            </w:r>
          </w:p>
          <w:p>
            <w:pPr>
              <w:tabs>
                <w:tab w:val="left" w:pos="630"/>
              </w:tabs>
              <w:autoSpaceDE w:val="0"/>
              <w:autoSpaceDN w:val="0"/>
              <w:adjustRightInd/>
              <w:snapToGrid/>
              <w:spacing w:line="240" w:lineRule="auto"/>
              <w:ind w:firstLine="0" w:firstLineChars="0"/>
              <w:jc w:val="center"/>
              <w:rPr>
                <w:sz w:val="21"/>
                <w:szCs w:val="21"/>
              </w:rPr>
            </w:pPr>
            <w:r>
              <w:rPr>
                <w:sz w:val="21"/>
                <w:szCs w:val="21"/>
              </w:rPr>
              <w:t>（kg/d）</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污染物浓度（mg/L)</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评价标准</w:t>
            </w:r>
          </w:p>
          <w:p>
            <w:pPr>
              <w:tabs>
                <w:tab w:val="left" w:pos="630"/>
              </w:tabs>
              <w:autoSpaceDE w:val="0"/>
              <w:autoSpaceDN w:val="0"/>
              <w:adjustRightInd/>
              <w:snapToGrid/>
              <w:spacing w:line="240" w:lineRule="auto"/>
              <w:ind w:firstLine="0" w:firstLineChars="0"/>
              <w:jc w:val="center"/>
              <w:rPr>
                <w:sz w:val="21"/>
                <w:szCs w:val="21"/>
              </w:rPr>
            </w:pPr>
            <w:r>
              <w:rPr>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379" w:type="dxa"/>
            <w:vMerge w:val="restart"/>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非正常工况</w:t>
            </w:r>
          </w:p>
        </w:tc>
        <w:tc>
          <w:tcPr>
            <w:tcW w:w="1379"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COD</w:t>
            </w:r>
            <w:r>
              <w:rPr>
                <w:rFonts w:hint="eastAsia"/>
                <w:sz w:val="21"/>
                <w:szCs w:val="21"/>
                <w:vertAlign w:val="subscript"/>
              </w:rPr>
              <w:t>Mn</w:t>
            </w:r>
          </w:p>
        </w:tc>
        <w:tc>
          <w:tcPr>
            <w:tcW w:w="1379" w:type="dxa"/>
            <w:vMerge w:val="restart"/>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23.37</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20.10</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860.24</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379" w:type="dxa"/>
            <w:vMerge w:val="continue"/>
            <w:vAlign w:val="center"/>
          </w:tcPr>
          <w:p>
            <w:pPr>
              <w:tabs>
                <w:tab w:val="left" w:pos="630"/>
              </w:tabs>
              <w:autoSpaceDE w:val="0"/>
              <w:autoSpaceDN w:val="0"/>
              <w:adjustRightInd/>
              <w:snapToGrid/>
              <w:spacing w:line="240" w:lineRule="auto"/>
              <w:ind w:firstLine="0" w:firstLineChars="0"/>
              <w:jc w:val="center"/>
              <w:rPr>
                <w:sz w:val="21"/>
                <w:szCs w:val="21"/>
              </w:rPr>
            </w:pPr>
          </w:p>
        </w:tc>
        <w:tc>
          <w:tcPr>
            <w:tcW w:w="1379"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NH</w:t>
            </w:r>
            <w:r>
              <w:rPr>
                <w:sz w:val="21"/>
                <w:szCs w:val="21"/>
                <w:vertAlign w:val="subscript"/>
              </w:rPr>
              <w:t>3</w:t>
            </w:r>
            <w:r>
              <w:rPr>
                <w:sz w:val="21"/>
                <w:szCs w:val="21"/>
              </w:rPr>
              <w:t>-N</w:t>
            </w:r>
          </w:p>
        </w:tc>
        <w:tc>
          <w:tcPr>
            <w:tcW w:w="1379" w:type="dxa"/>
            <w:vMerge w:val="continue"/>
            <w:vAlign w:val="center"/>
          </w:tcPr>
          <w:p>
            <w:pPr>
              <w:tabs>
                <w:tab w:val="left" w:pos="630"/>
              </w:tabs>
              <w:autoSpaceDE w:val="0"/>
              <w:autoSpaceDN w:val="0"/>
              <w:adjustRightInd/>
              <w:snapToGrid/>
              <w:spacing w:line="240" w:lineRule="auto"/>
              <w:ind w:firstLine="0" w:firstLineChars="0"/>
              <w:jc w:val="center"/>
              <w:rPr>
                <w:sz w:val="21"/>
                <w:szCs w:val="21"/>
              </w:rPr>
            </w:pP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rFonts w:hint="eastAsia"/>
                <w:sz w:val="21"/>
                <w:szCs w:val="21"/>
              </w:rPr>
              <w:t>5.4</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231.07</w:t>
            </w:r>
          </w:p>
        </w:tc>
        <w:tc>
          <w:tcPr>
            <w:tcW w:w="1378" w:type="dxa"/>
            <w:vAlign w:val="center"/>
          </w:tcPr>
          <w:p>
            <w:pPr>
              <w:tabs>
                <w:tab w:val="left" w:pos="630"/>
              </w:tabs>
              <w:autoSpaceDE w:val="0"/>
              <w:autoSpaceDN w:val="0"/>
              <w:adjustRightInd/>
              <w:snapToGrid/>
              <w:spacing w:line="240" w:lineRule="auto"/>
              <w:ind w:firstLine="0" w:firstLineChars="0"/>
              <w:jc w:val="center"/>
              <w:rPr>
                <w:sz w:val="21"/>
                <w:szCs w:val="21"/>
              </w:rPr>
            </w:pPr>
            <w:r>
              <w:rPr>
                <w:sz w:val="21"/>
                <w:szCs w:val="21"/>
              </w:rPr>
              <w:t>0.5</w:t>
            </w:r>
          </w:p>
        </w:tc>
      </w:tr>
    </w:tbl>
    <w:p>
      <w:pPr>
        <w:pStyle w:val="79"/>
        <w:ind w:firstLine="480"/>
      </w:pPr>
      <w:r>
        <w:rPr>
          <w:rFonts w:hint="eastAsia"/>
        </w:rPr>
        <w:t>（5）预测</w:t>
      </w:r>
      <w:r>
        <w:t>模式</w:t>
      </w:r>
    </w:p>
    <w:p>
      <w:pPr>
        <w:pStyle w:val="79"/>
        <w:ind w:firstLine="480"/>
      </w:pPr>
      <w:r>
        <w:rPr>
          <w:rFonts w:hint="eastAsia"/>
        </w:rPr>
        <w:t>根据评价区水文地质情况和解析解的适用条件，本次预测采用一维稳定流动一维水动力弥散问题—</w:t>
      </w:r>
      <w:r>
        <w:rPr>
          <w:rFonts w:hint="eastAsia" w:ascii="宋体" w:hAnsi="Calibri" w:cs="宋体"/>
          <w:kern w:val="0"/>
          <w:szCs w:val="24"/>
        </w:rPr>
        <w:t>一维半无限长多孔介质柱体，一端为定浓度边界模型</w:t>
      </w:r>
      <w:r>
        <w:rPr>
          <w:rFonts w:hint="eastAsia"/>
        </w:rPr>
        <w:t>，根据《环境影响评价技术导则地下水环境》（</w:t>
      </w:r>
      <w:r>
        <w:t>HJ610-2016</w:t>
      </w:r>
      <w:r>
        <w:rPr>
          <w:rFonts w:hint="eastAsia"/>
        </w:rPr>
        <w:t>），水动力弥散方程解析解为：</w:t>
      </w:r>
    </w:p>
    <w:p>
      <w:pPr>
        <w:pStyle w:val="79"/>
        <w:ind w:firstLine="480"/>
        <w:rPr>
          <w:rFonts w:cs="Times New Roman" w:asciiTheme="minorEastAsia" w:hAnsiTheme="minorEastAsia" w:eastAsiaTheme="minorEastAsia"/>
        </w:rPr>
      </w:pPr>
      <m:oMathPara>
        <m:oMath>
          <m:f>
            <m:fPr>
              <m:ctrlPr>
                <w:rPr>
                  <w:rFonts w:ascii="Cambria Math" w:hAnsi="Cambria Math" w:cs="Times New Roman" w:eastAsiaTheme="minorEastAsia"/>
                </w:rPr>
              </m:ctrlPr>
            </m:fPr>
            <m:num>
              <m:r>
                <w:rPr>
                  <w:rFonts w:ascii="Cambria Math" w:hAnsi="Cambria Math" w:cs="Times New Roman" w:eastAsiaTheme="minorEastAsia"/>
                </w:rPr>
                <m:t>C</m:t>
              </m:r>
              <m:ctrlPr>
                <w:rPr>
                  <w:rFonts w:ascii="Cambria Math" w:hAnsi="Cambria Math" w:cs="Times New Roman" w:eastAsiaTheme="minorEastAsia"/>
                </w:rPr>
              </m:ctrlPr>
            </m:num>
            <m:den>
              <m:sSub>
                <m:sSubPr>
                  <m:ctrlPr>
                    <w:rPr>
                      <w:rFonts w:ascii="Cambria Math" w:hAnsi="Cambria Math" w:cs="Times New Roman" w:eastAsiaTheme="minorEastAsia"/>
                      <w:i/>
                    </w:rPr>
                  </m:ctrlPr>
                </m:sSubPr>
                <m:e>
                  <m:r>
                    <w:rPr>
                      <w:rFonts w:ascii="Cambria Math" w:hAnsi="Cambria Math" w:cs="Times New Roman" w:eastAsiaTheme="minorEastAsia"/>
                    </w:rPr>
                    <m:t>C</m:t>
                  </m:r>
                  <m:ctrlPr>
                    <w:rPr>
                      <w:rFonts w:ascii="Cambria Math" w:hAnsi="Cambria Math" w:cs="Times New Roman" w:eastAsiaTheme="minorEastAsia"/>
                      <w:i/>
                    </w:rPr>
                  </m:ctrlPr>
                </m:e>
                <m:sub>
                  <m:r>
                    <w:rPr>
                      <w:rFonts w:ascii="Cambria Math" w:hAnsi="Cambria Math" w:cs="Times New Roman" w:eastAsiaTheme="minorEastAsia"/>
                    </w:rPr>
                    <m:t>0</m:t>
                  </m:r>
                  <m:ctrlPr>
                    <w:rPr>
                      <w:rFonts w:ascii="Cambria Math" w:hAnsi="Cambria Math" w:cs="Times New Roman" w:eastAsiaTheme="minorEastAsia"/>
                      <w:i/>
                    </w:rPr>
                  </m:ctrlPr>
                </m:sub>
              </m:sSub>
              <m:ctrlPr>
                <w:rPr>
                  <w:rFonts w:ascii="Cambria Math" w:hAnsi="Cambria Math" w:cs="Times New Roman" w:eastAsiaTheme="minorEastAsia"/>
                </w:rPr>
              </m:ctrlPr>
            </m:den>
          </m:f>
          <m:r>
            <w:rPr>
              <w:rFonts w:ascii="Cambria Math" w:hAnsi="Cambria Math" w:cs="Times New Roman" w:eastAsiaTheme="minorEastAsia"/>
            </w:rPr>
            <m:t>=</m:t>
          </m:r>
          <m:f>
            <m:fPr>
              <m:ctrlPr>
                <w:rPr>
                  <w:rFonts w:ascii="Cambria Math" w:hAnsi="Cambria Math" w:cs="Times New Roman" w:eastAsiaTheme="minorEastAsia"/>
                  <w:i/>
                </w:rPr>
              </m:ctrlPr>
            </m:fPr>
            <m:num>
              <m:r>
                <w:rPr>
                  <w:rFonts w:ascii="Cambria Math" w:hAnsi="Cambria Math" w:cs="Times New Roman" w:eastAsiaTheme="minorEastAsia"/>
                </w:rPr>
                <m:t>1</m:t>
              </m:r>
              <m:ctrlPr>
                <w:rPr>
                  <w:rFonts w:ascii="Cambria Math" w:hAnsi="Cambria Math" w:cs="Times New Roman" w:eastAsiaTheme="minorEastAsia"/>
                  <w:i/>
                </w:rPr>
              </m:ctrlPr>
            </m:num>
            <m:den>
              <m:r>
                <w:rPr>
                  <w:rFonts w:ascii="Cambria Math" w:hAnsi="Cambria Math" w:cs="Times New Roman" w:eastAsiaTheme="minorEastAsia"/>
                </w:rPr>
                <m:t>2</m:t>
              </m:r>
              <m:ctrlPr>
                <w:rPr>
                  <w:rFonts w:ascii="Cambria Math" w:hAnsi="Cambria Math" w:cs="Times New Roman" w:eastAsiaTheme="minorEastAsia"/>
                  <w:i/>
                </w:rPr>
              </m:ctrlPr>
            </m:den>
          </m:f>
          <m:r>
            <w:rPr>
              <w:rFonts w:ascii="Cambria Math" w:hAnsi="Cambria Math" w:cs="Times New Roman" w:eastAsiaTheme="minorEastAsia"/>
            </w:rPr>
            <m:t>erfc</m:t>
          </m:r>
          <m:d>
            <m:dPr>
              <m:begChr m:val="（"/>
              <m:endChr m:val="）"/>
              <m:ctrlPr>
                <w:rPr>
                  <w:rFonts w:ascii="Cambria Math" w:hAnsi="Cambria Math" w:cs="Times New Roman" w:eastAsiaTheme="minorEastAsia"/>
                </w:rPr>
              </m:ctrlPr>
            </m:dPr>
            <m:e>
              <m:f>
                <m:fPr>
                  <m:ctrlPr>
                    <w:rPr>
                      <w:rFonts w:ascii="Cambria Math" w:hAnsi="Cambria Math" w:cs="Times New Roman" w:eastAsiaTheme="minorEastAsia"/>
                      <w:i/>
                    </w:rPr>
                  </m:ctrlPr>
                </m:fPr>
                <m:num>
                  <m:r>
                    <w:rPr>
                      <w:rFonts w:ascii="Cambria Math" w:hAnsi="Cambria Math" w:cs="Times New Roman" w:eastAsiaTheme="minorEastAsia"/>
                    </w:rPr>
                    <m:t>x-ut</m:t>
                  </m:r>
                  <m:ctrlPr>
                    <w:rPr>
                      <w:rFonts w:ascii="Cambria Math" w:hAnsi="Cambria Math" w:cs="Times New Roman" w:eastAsiaTheme="minorEastAsia"/>
                      <w:i/>
                    </w:rPr>
                  </m:ctrlPr>
                </m:num>
                <m:den>
                  <m:r>
                    <w:rPr>
                      <w:rFonts w:ascii="Cambria Math" w:hAnsi="Cambria Math" w:cs="Times New Roman" w:eastAsiaTheme="minorEastAsia"/>
                    </w:rPr>
                    <m:t>2</m:t>
                  </m:r>
                  <m:rad>
                    <m:radPr>
                      <m:degHide m:val="1"/>
                      <m:ctrlPr>
                        <w:rPr>
                          <w:rFonts w:ascii="Cambria Math" w:hAnsi="Cambria Math" w:cs="Times New Roman" w:eastAsiaTheme="minorEastAsia"/>
                          <w:i/>
                        </w:rPr>
                      </m:ctrlPr>
                    </m:radPr>
                    <m:deg>
                      <m:ctrlPr>
                        <w:rPr>
                          <w:rFonts w:ascii="Cambria Math" w:hAnsi="Cambria Math" w:cs="Times New Roman" w:eastAsiaTheme="minorEastAsia"/>
                          <w:i/>
                        </w:rPr>
                      </m:ctrlPr>
                    </m:deg>
                    <m:e>
                      <m:sSub>
                        <m:sSubPr>
                          <m:ctrlPr>
                            <w:rPr>
                              <w:rFonts w:ascii="Cambria Math" w:hAnsi="Cambria Math" w:cs="Times New Roman" w:eastAsiaTheme="minorEastAsia"/>
                              <w:i/>
                            </w:rPr>
                          </m:ctrlPr>
                        </m:sSubPr>
                        <m:e>
                          <m:r>
                            <w:rPr>
                              <w:rFonts w:ascii="Cambria Math" w:hAnsi="Cambria Math" w:cs="Times New Roman" w:eastAsiaTheme="minorEastAsia"/>
                            </w:rPr>
                            <m:t>D</m:t>
                          </m:r>
                          <m:ctrlPr>
                            <w:rPr>
                              <w:rFonts w:ascii="Cambria Math" w:hAnsi="Cambria Math" w:cs="Times New Roman" w:eastAsiaTheme="minorEastAsia"/>
                              <w:i/>
                            </w:rPr>
                          </m:ctrlPr>
                        </m:e>
                        <m:sub>
                          <m:r>
                            <w:rPr>
                              <w:rFonts w:ascii="Cambria Math" w:hAnsi="Cambria Math" w:cs="Times New Roman" w:eastAsiaTheme="minorEastAsia"/>
                            </w:rPr>
                            <m:t>L</m:t>
                          </m:r>
                          <m:ctrlPr>
                            <w:rPr>
                              <w:rFonts w:ascii="Cambria Math" w:hAnsi="Cambria Math" w:cs="Times New Roman" w:eastAsiaTheme="minorEastAsia"/>
                              <w:i/>
                            </w:rPr>
                          </m:ctrlPr>
                        </m:sub>
                      </m:sSub>
                      <m:r>
                        <w:rPr>
                          <w:rFonts w:ascii="Cambria Math" w:hAnsi="Cambria Math" w:cs="Times New Roman" w:eastAsiaTheme="minorEastAsia"/>
                        </w:rPr>
                        <m:t>t</m:t>
                      </m:r>
                      <m:ctrlPr>
                        <w:rPr>
                          <w:rFonts w:ascii="Cambria Math" w:hAnsi="Cambria Math" w:cs="Times New Roman" w:eastAsiaTheme="minorEastAsia"/>
                          <w:i/>
                        </w:rPr>
                      </m:ctrlPr>
                    </m:e>
                  </m:rad>
                  <m:ctrlPr>
                    <w:rPr>
                      <w:rFonts w:ascii="Cambria Math" w:hAnsi="Cambria Math" w:cs="Times New Roman" w:eastAsiaTheme="minorEastAsia"/>
                      <w:i/>
                    </w:rPr>
                  </m:ctrlPr>
                </m:den>
              </m:f>
              <m:ctrlPr>
                <w:rPr>
                  <w:rFonts w:ascii="Cambria Math" w:hAnsi="Cambria Math" w:cs="Times New Roman" w:eastAsiaTheme="minorEastAsia"/>
                </w:rPr>
              </m:ctrlPr>
            </m:e>
          </m:d>
          <m:r>
            <m:rPr>
              <m:sty m:val="p"/>
            </m:rPr>
            <w:rPr>
              <w:rFonts w:ascii="Cambria Math" w:hAnsi="Cambria Math" w:cs="Times New Roman" w:eastAsiaTheme="minorEastAsia"/>
            </w:rPr>
            <m:t>+</m:t>
          </m:r>
          <m:f>
            <m:fPr>
              <m:ctrlPr>
                <w:rPr>
                  <w:rFonts w:ascii="Cambria Math" w:hAnsi="Cambria Math" w:cs="Times New Roman" w:eastAsiaTheme="minorEastAsia"/>
                </w:rPr>
              </m:ctrlPr>
            </m:fPr>
            <m:num>
              <m:r>
                <w:rPr>
                  <w:rFonts w:ascii="Cambria Math" w:hAnsi="Cambria Math" w:cs="Times New Roman" w:eastAsiaTheme="minorEastAsia"/>
                </w:rPr>
                <m:t>1</m:t>
              </m:r>
              <m:ctrlPr>
                <w:rPr>
                  <w:rFonts w:ascii="Cambria Math" w:hAnsi="Cambria Math" w:cs="Times New Roman" w:eastAsiaTheme="minorEastAsia"/>
                </w:rPr>
              </m:ctrlPr>
            </m:num>
            <m:den>
              <m:r>
                <w:rPr>
                  <w:rFonts w:ascii="Cambria Math" w:hAnsi="Cambria Math" w:cs="Times New Roman" w:eastAsiaTheme="minorEastAsia"/>
                </w:rPr>
                <m:t>2</m:t>
              </m:r>
              <m:ctrlPr>
                <w:rPr>
                  <w:rFonts w:ascii="Cambria Math" w:hAnsi="Cambria Math" w:cs="Times New Roman" w:eastAsiaTheme="minorEastAsia"/>
                </w:rPr>
              </m:ctrlPr>
            </m:den>
          </m:f>
          <m:sSup>
            <m:sSupPr>
              <m:ctrlPr>
                <w:rPr>
                  <w:rFonts w:ascii="Cambria Math" w:hAnsi="Cambria Math" w:cs="Times New Roman" w:eastAsiaTheme="minorEastAsia"/>
                  <w:i/>
                </w:rPr>
              </m:ctrlPr>
            </m:sSupPr>
            <m:e>
              <m:r>
                <w:rPr>
                  <w:rFonts w:ascii="Cambria Math" w:hAnsi="Cambria Math" w:cs="Times New Roman" w:eastAsiaTheme="minorEastAsia"/>
                </w:rPr>
                <m:t>e</m:t>
              </m:r>
              <m:ctrlPr>
                <w:rPr>
                  <w:rFonts w:ascii="Cambria Math" w:hAnsi="Cambria Math" w:cs="Times New Roman" w:eastAsiaTheme="minorEastAsia"/>
                  <w:i/>
                </w:rPr>
              </m:ctrlPr>
            </m:e>
            <m:sup>
              <m:f>
                <m:fPr>
                  <m:ctrlPr>
                    <w:rPr>
                      <w:rFonts w:ascii="Cambria Math" w:hAnsi="Cambria Math" w:cs="Times New Roman" w:eastAsiaTheme="minorEastAsia"/>
                      <w:i/>
                    </w:rPr>
                  </m:ctrlPr>
                </m:fPr>
                <m:num>
                  <m:r>
                    <w:rPr>
                      <w:rFonts w:ascii="Cambria Math" w:hAnsi="Cambria Math" w:cs="Times New Roman" w:eastAsiaTheme="minorEastAsia"/>
                    </w:rPr>
                    <m:t>ux</m:t>
                  </m:r>
                  <m:ctrlPr>
                    <w:rPr>
                      <w:rFonts w:ascii="Cambria Math" w:hAnsi="Cambria Math" w:cs="Times New Roman" w:eastAsiaTheme="minorEastAsia"/>
                      <w:i/>
                    </w:rPr>
                  </m:ctrlPr>
                </m:num>
                <m:den>
                  <m:sSub>
                    <m:sSubPr>
                      <m:ctrlPr>
                        <w:rPr>
                          <w:rFonts w:ascii="Cambria Math" w:hAnsi="Cambria Math" w:cs="Times New Roman" w:eastAsiaTheme="minorEastAsia"/>
                          <w:i/>
                        </w:rPr>
                      </m:ctrlPr>
                    </m:sSubPr>
                    <m:e>
                      <m:r>
                        <w:rPr>
                          <w:rFonts w:ascii="Cambria Math" w:hAnsi="Cambria Math" w:cs="Times New Roman" w:eastAsiaTheme="minorEastAsia"/>
                        </w:rPr>
                        <m:t>D</m:t>
                      </m:r>
                      <m:ctrlPr>
                        <w:rPr>
                          <w:rFonts w:ascii="Cambria Math" w:hAnsi="Cambria Math" w:cs="Times New Roman" w:eastAsiaTheme="minorEastAsia"/>
                          <w:i/>
                        </w:rPr>
                      </m:ctrlPr>
                    </m:e>
                    <m:sub>
                      <m:r>
                        <w:rPr>
                          <w:rFonts w:ascii="Cambria Math" w:hAnsi="Cambria Math" w:cs="Times New Roman" w:eastAsiaTheme="minorEastAsia"/>
                        </w:rPr>
                        <m:t>L</m:t>
                      </m:r>
                      <m:ctrlPr>
                        <w:rPr>
                          <w:rFonts w:ascii="Cambria Math" w:hAnsi="Cambria Math" w:cs="Times New Roman" w:eastAsiaTheme="minorEastAsia"/>
                          <w:i/>
                        </w:rPr>
                      </m:ctrlPr>
                    </m:sub>
                  </m:sSub>
                  <m:ctrlPr>
                    <w:rPr>
                      <w:rFonts w:ascii="Cambria Math" w:hAnsi="Cambria Math" w:cs="Times New Roman" w:eastAsiaTheme="minorEastAsia"/>
                      <w:i/>
                    </w:rPr>
                  </m:ctrlPr>
                </m:den>
              </m:f>
              <m:ctrlPr>
                <w:rPr>
                  <w:rFonts w:ascii="Cambria Math" w:hAnsi="Cambria Math" w:cs="Times New Roman" w:eastAsiaTheme="minorEastAsia"/>
                  <w:i/>
                </w:rPr>
              </m:ctrlPr>
            </m:sup>
          </m:sSup>
          <m:r>
            <w:rPr>
              <w:rFonts w:ascii="Cambria Math" w:hAnsi="Cambria Math" w:cs="Times New Roman" w:eastAsiaTheme="minorEastAsia"/>
            </w:rPr>
            <m:t>erfc</m:t>
          </m:r>
          <m:d>
            <m:dPr>
              <m:begChr m:val="（"/>
              <m:endChr m:val="）"/>
              <m:ctrlPr>
                <w:rPr>
                  <w:rFonts w:ascii="Cambria Math" w:hAnsi="Cambria Math" w:cs="Times New Roman" w:eastAsiaTheme="minorEastAsia"/>
                </w:rPr>
              </m:ctrlPr>
            </m:dPr>
            <m:e>
              <m:f>
                <m:fPr>
                  <m:ctrlPr>
                    <w:rPr>
                      <w:rFonts w:ascii="Cambria Math" w:hAnsi="Cambria Math" w:cs="Times New Roman" w:eastAsiaTheme="minorEastAsia"/>
                      <w:i/>
                    </w:rPr>
                  </m:ctrlPr>
                </m:fPr>
                <m:num>
                  <m:r>
                    <w:rPr>
                      <w:rFonts w:ascii="Cambria Math" w:hAnsi="Cambria Math" w:cs="Times New Roman" w:eastAsiaTheme="minorEastAsia"/>
                    </w:rPr>
                    <m:t>x+ut</m:t>
                  </m:r>
                  <m:ctrlPr>
                    <w:rPr>
                      <w:rFonts w:ascii="Cambria Math" w:hAnsi="Cambria Math" w:cs="Times New Roman" w:eastAsiaTheme="minorEastAsia"/>
                      <w:i/>
                    </w:rPr>
                  </m:ctrlPr>
                </m:num>
                <m:den>
                  <m:r>
                    <w:rPr>
                      <w:rFonts w:ascii="Cambria Math" w:hAnsi="Cambria Math" w:cs="Times New Roman" w:eastAsiaTheme="minorEastAsia"/>
                    </w:rPr>
                    <m:t>2</m:t>
                  </m:r>
                  <m:rad>
                    <m:radPr>
                      <m:degHide m:val="1"/>
                      <m:ctrlPr>
                        <w:rPr>
                          <w:rFonts w:ascii="Cambria Math" w:hAnsi="Cambria Math" w:cs="Times New Roman" w:eastAsiaTheme="minorEastAsia"/>
                          <w:i/>
                        </w:rPr>
                      </m:ctrlPr>
                    </m:radPr>
                    <m:deg>
                      <m:ctrlPr>
                        <w:rPr>
                          <w:rFonts w:ascii="Cambria Math" w:hAnsi="Cambria Math" w:cs="Times New Roman" w:eastAsiaTheme="minorEastAsia"/>
                          <w:i/>
                        </w:rPr>
                      </m:ctrlPr>
                    </m:deg>
                    <m:e>
                      <m:sSub>
                        <m:sSubPr>
                          <m:ctrlPr>
                            <w:rPr>
                              <w:rFonts w:ascii="Cambria Math" w:hAnsi="Cambria Math" w:cs="Times New Roman" w:eastAsiaTheme="minorEastAsia"/>
                              <w:i/>
                            </w:rPr>
                          </m:ctrlPr>
                        </m:sSubPr>
                        <m:e>
                          <m:r>
                            <w:rPr>
                              <w:rFonts w:ascii="Cambria Math" w:hAnsi="Cambria Math" w:cs="Times New Roman" w:eastAsiaTheme="minorEastAsia"/>
                            </w:rPr>
                            <m:t>D</m:t>
                          </m:r>
                          <m:ctrlPr>
                            <w:rPr>
                              <w:rFonts w:ascii="Cambria Math" w:hAnsi="Cambria Math" w:cs="Times New Roman" w:eastAsiaTheme="minorEastAsia"/>
                              <w:i/>
                            </w:rPr>
                          </m:ctrlPr>
                        </m:e>
                        <m:sub>
                          <m:r>
                            <w:rPr>
                              <w:rFonts w:ascii="Cambria Math" w:hAnsi="Cambria Math" w:cs="Times New Roman" w:eastAsiaTheme="minorEastAsia"/>
                            </w:rPr>
                            <m:t>L</m:t>
                          </m:r>
                          <m:ctrlPr>
                            <w:rPr>
                              <w:rFonts w:ascii="Cambria Math" w:hAnsi="Cambria Math" w:cs="Times New Roman" w:eastAsiaTheme="minorEastAsia"/>
                              <w:i/>
                            </w:rPr>
                          </m:ctrlPr>
                        </m:sub>
                      </m:sSub>
                      <m:r>
                        <w:rPr>
                          <w:rFonts w:ascii="Cambria Math" w:hAnsi="Cambria Math" w:cs="Times New Roman" w:eastAsiaTheme="minorEastAsia"/>
                        </w:rPr>
                        <m:t>t</m:t>
                      </m:r>
                      <m:ctrlPr>
                        <w:rPr>
                          <w:rFonts w:ascii="Cambria Math" w:hAnsi="Cambria Math" w:cs="Times New Roman" w:eastAsiaTheme="minorEastAsia"/>
                          <w:i/>
                        </w:rPr>
                      </m:ctrlPr>
                    </m:e>
                  </m:rad>
                  <m:ctrlPr>
                    <w:rPr>
                      <w:rFonts w:ascii="Cambria Math" w:hAnsi="Cambria Math" w:cs="Times New Roman" w:eastAsiaTheme="minorEastAsia"/>
                      <w:i/>
                    </w:rPr>
                  </m:ctrlPr>
                </m:den>
              </m:f>
              <m:ctrlPr>
                <w:rPr>
                  <w:rFonts w:ascii="Cambria Math" w:hAnsi="Cambria Math" w:cs="Times New Roman" w:eastAsiaTheme="minorEastAsia"/>
                </w:rPr>
              </m:ctrlPr>
            </m:e>
          </m:d>
        </m:oMath>
      </m:oMathPara>
    </w:p>
    <w:p>
      <w:pPr>
        <w:pStyle w:val="79"/>
        <w:ind w:firstLine="480"/>
      </w:pPr>
      <w:r>
        <w:rPr>
          <w:rFonts w:hint="eastAsia"/>
        </w:rPr>
        <w:t>式中：</w:t>
      </w:r>
    </w:p>
    <w:p>
      <w:pPr>
        <w:pStyle w:val="79"/>
        <w:ind w:firstLine="480"/>
        <w:rPr>
          <w:rFonts w:cs="Times New Roman"/>
        </w:rPr>
      </w:pPr>
      <w:r>
        <w:rPr>
          <w:rFonts w:eastAsia="TimesNewRomanPSMT" w:cs="Times New Roman"/>
        </w:rPr>
        <w:t>X—</w:t>
      </w:r>
      <w:r>
        <w:rPr>
          <w:rFonts w:cs="Times New Roman"/>
        </w:rPr>
        <w:t>距注入点的距离；</w:t>
      </w:r>
    </w:p>
    <w:p>
      <w:pPr>
        <w:pStyle w:val="79"/>
        <w:ind w:firstLine="480"/>
        <w:rPr>
          <w:rFonts w:cs="Times New Roman"/>
        </w:rPr>
      </w:pPr>
      <w:r>
        <w:rPr>
          <w:rFonts w:eastAsia="TimesNewRomanPSMT" w:cs="Times New Roman"/>
        </w:rPr>
        <w:t>t—</w:t>
      </w:r>
      <w:r>
        <w:rPr>
          <w:rFonts w:cs="Times New Roman"/>
        </w:rPr>
        <w:t>时间，</w:t>
      </w:r>
      <w:r>
        <w:rPr>
          <w:rFonts w:eastAsia="TimesNewRomanPSMT" w:cs="Times New Roman"/>
        </w:rPr>
        <w:t>d</w:t>
      </w:r>
      <w:r>
        <w:rPr>
          <w:rFonts w:cs="Times New Roman"/>
        </w:rPr>
        <w:t>；</w:t>
      </w:r>
      <w:r>
        <w:rPr>
          <w:rFonts w:hint="eastAsia" w:cs="Times New Roman"/>
        </w:rPr>
        <w:t xml:space="preserve"> </w:t>
      </w:r>
    </w:p>
    <w:p>
      <w:pPr>
        <w:pStyle w:val="79"/>
        <w:ind w:firstLine="480"/>
        <w:rPr>
          <w:rFonts w:cs="Times New Roman"/>
        </w:rPr>
      </w:pPr>
      <w:r>
        <w:rPr>
          <w:rFonts w:eastAsia="TimesNewRomanPSMT" w:cs="Times New Roman"/>
        </w:rPr>
        <w:t>C</w:t>
      </w:r>
      <w:r>
        <w:rPr>
          <w:rFonts w:hint="eastAsia" w:cs="Times New Roman"/>
        </w:rPr>
        <w:t>（</w:t>
      </w:r>
      <w:r>
        <w:rPr>
          <w:rFonts w:eastAsia="TimesNewRomanPSMT" w:cs="Times New Roman"/>
        </w:rPr>
        <w:t>x,t</w:t>
      </w:r>
      <w:r>
        <w:rPr>
          <w:rFonts w:hint="eastAsia" w:cs="Times New Roman"/>
        </w:rPr>
        <w:t>）</w:t>
      </w:r>
      <w:r>
        <w:rPr>
          <w:rFonts w:eastAsia="TimesNewRomanPSMT" w:cs="Times New Roman"/>
        </w:rPr>
        <w:t xml:space="preserve">—t </w:t>
      </w:r>
      <w:r>
        <w:rPr>
          <w:rFonts w:cs="Times New Roman"/>
        </w:rPr>
        <w:t>时刻点</w:t>
      </w:r>
      <w:r>
        <w:rPr>
          <w:rFonts w:eastAsia="TimesNewRomanPSMT" w:cs="Times New Roman"/>
        </w:rPr>
        <w:t xml:space="preserve">x </w:t>
      </w:r>
      <w:r>
        <w:rPr>
          <w:rFonts w:cs="Times New Roman"/>
        </w:rPr>
        <w:t>处的污染物质量浓度，</w:t>
      </w:r>
      <w:r>
        <w:rPr>
          <w:rFonts w:eastAsia="TimesNewRomanPSMT" w:cs="Times New Roman"/>
        </w:rPr>
        <w:t>mg/L</w:t>
      </w:r>
      <w:r>
        <w:rPr>
          <w:rFonts w:cs="Times New Roman"/>
        </w:rPr>
        <w:t>；</w:t>
      </w:r>
    </w:p>
    <w:p>
      <w:pPr>
        <w:pStyle w:val="79"/>
        <w:ind w:firstLine="480"/>
        <w:rPr>
          <w:rFonts w:cs="Times New Roman"/>
        </w:rPr>
      </w:pPr>
      <w:r>
        <w:rPr>
          <w:rFonts w:eastAsia="TimesNewRomanPSMT" w:cs="Times New Roman"/>
        </w:rPr>
        <w:t>C</w:t>
      </w:r>
      <w:r>
        <w:rPr>
          <w:rFonts w:eastAsia="TimesNewRomanPSMT" w:cs="Times New Roman"/>
          <w:sz w:val="16"/>
          <w:szCs w:val="16"/>
          <w:vertAlign w:val="subscript"/>
        </w:rPr>
        <w:t>0</w:t>
      </w:r>
      <w:r>
        <w:rPr>
          <w:rFonts w:eastAsia="TimesNewRomanPSMT" w:cs="Times New Roman"/>
        </w:rPr>
        <w:t>—</w:t>
      </w:r>
      <w:r>
        <w:rPr>
          <w:rFonts w:cs="Times New Roman"/>
        </w:rPr>
        <w:t>注入的示踪剂浓度，</w:t>
      </w:r>
      <w:r>
        <w:rPr>
          <w:rFonts w:eastAsia="TimesNewRomanPSMT" w:cs="Times New Roman"/>
        </w:rPr>
        <w:t>g/L</w:t>
      </w:r>
      <w:r>
        <w:rPr>
          <w:rFonts w:cs="Times New Roman"/>
        </w:rPr>
        <w:t>；</w:t>
      </w:r>
    </w:p>
    <w:p>
      <w:pPr>
        <w:pStyle w:val="79"/>
        <w:ind w:firstLine="480"/>
        <w:rPr>
          <w:rFonts w:cs="Times New Roman"/>
        </w:rPr>
      </w:pPr>
      <w:r>
        <w:rPr>
          <w:rFonts w:eastAsia="TimesNewRomanPSMT" w:cs="Times New Roman"/>
        </w:rPr>
        <w:t>u—</w:t>
      </w:r>
      <w:r>
        <w:rPr>
          <w:rFonts w:cs="Times New Roman"/>
        </w:rPr>
        <w:t>水流速度，</w:t>
      </w:r>
      <w:r>
        <w:rPr>
          <w:rFonts w:eastAsia="TimesNewRomanPSMT" w:cs="Times New Roman"/>
        </w:rPr>
        <w:t>m/d</w:t>
      </w:r>
      <w:r>
        <w:rPr>
          <w:rFonts w:cs="Times New Roman"/>
        </w:rPr>
        <w:t>；</w:t>
      </w:r>
    </w:p>
    <w:p>
      <w:pPr>
        <w:pStyle w:val="79"/>
        <w:ind w:firstLine="480"/>
        <w:rPr>
          <w:rFonts w:cs="Times New Roman"/>
        </w:rPr>
      </w:pPr>
      <w:r>
        <w:rPr>
          <w:rFonts w:cs="Times New Roman"/>
        </w:rPr>
        <w:t>u=kI/n</w:t>
      </w:r>
      <w:r>
        <w:rPr>
          <w:rFonts w:cs="Times New Roman"/>
          <w:vertAlign w:val="subscript"/>
        </w:rPr>
        <w:t>e</w:t>
      </w:r>
    </w:p>
    <w:p>
      <w:pPr>
        <w:pStyle w:val="79"/>
        <w:ind w:firstLine="480"/>
        <w:rPr>
          <w:rFonts w:cs="Times New Roman"/>
        </w:rPr>
      </w:pPr>
      <w:r>
        <w:rPr>
          <w:rFonts w:cs="Times New Roman"/>
        </w:rPr>
        <w:t>K</w:t>
      </w:r>
      <w:r>
        <w:rPr>
          <w:rFonts w:eastAsia="TimesNewRomanPSMT" w:cs="Times New Roman"/>
        </w:rPr>
        <w:t>—</w:t>
      </w:r>
      <w:r>
        <w:rPr>
          <w:rFonts w:cs="Times New Roman"/>
        </w:rPr>
        <w:t>渗透系数，m/d；本项</w:t>
      </w:r>
      <w:r>
        <w:rPr>
          <w:rFonts w:hint="eastAsia"/>
        </w:rPr>
        <w:t>目区域为粉土质砂，根据《环境影环境影响评价技术导则</w:t>
      </w:r>
      <w:r>
        <w:t>-</w:t>
      </w:r>
      <w:r>
        <w:rPr>
          <w:rFonts w:hint="eastAsia"/>
        </w:rPr>
        <w:t>地下水环境》（</w:t>
      </w:r>
      <w:r>
        <w:t>HJ610-2016</w:t>
      </w:r>
      <w:r>
        <w:rPr>
          <w:rFonts w:hint="eastAsia"/>
        </w:rPr>
        <w:t>）附录</w:t>
      </w:r>
      <w:r>
        <w:t>B</w:t>
      </w:r>
      <w:r>
        <w:rPr>
          <w:rFonts w:hint="eastAsia"/>
        </w:rPr>
        <w:t>中表</w:t>
      </w:r>
      <w:r>
        <w:t>B.1</w:t>
      </w:r>
      <w:r>
        <w:rPr>
          <w:rFonts w:hint="eastAsia"/>
        </w:rPr>
        <w:t>，粉土质砂渗透系数为</w:t>
      </w:r>
      <w:r>
        <w:t>0.</w:t>
      </w:r>
      <w:r>
        <w:rPr>
          <w:rFonts w:hint="eastAsia"/>
        </w:rPr>
        <w:t>5～1.0</w:t>
      </w:r>
      <w:r>
        <w:t>m/d</w:t>
      </w:r>
      <w:r>
        <w:rPr>
          <w:rFonts w:hint="eastAsia"/>
        </w:rPr>
        <w:t>，本项目取最大值1.0</w:t>
      </w:r>
      <w:r>
        <w:t>m/d</w:t>
      </w:r>
      <w:r>
        <w:rPr>
          <w:rFonts w:hint="eastAsia"/>
        </w:rPr>
        <w:t>；</w:t>
      </w:r>
    </w:p>
    <w:p>
      <w:pPr>
        <w:pStyle w:val="79"/>
        <w:ind w:firstLine="480"/>
        <w:rPr>
          <w:rFonts w:cs="Times New Roman"/>
        </w:rPr>
      </w:pPr>
      <w:r>
        <w:rPr>
          <w:lang w:val="en-GB"/>
        </w:rPr>
        <w:t>I</w:t>
      </w:r>
      <w:r>
        <w:rPr>
          <w:rFonts w:eastAsia="TimesNewRomanPSMT" w:cs="Times New Roman"/>
        </w:rPr>
        <w:t>—</w:t>
      </w:r>
      <w:r>
        <w:rPr>
          <w:rFonts w:hint="eastAsia"/>
          <w:lang w:val="en-GB"/>
        </w:rPr>
        <w:t>水力坡度，本项目取</w:t>
      </w:r>
      <w:r>
        <w:rPr>
          <w:lang w:val="en-GB"/>
        </w:rPr>
        <w:t>10</w:t>
      </w:r>
      <w:r>
        <w:t>‰</w:t>
      </w:r>
      <w:r>
        <w:rPr>
          <w:rFonts w:hint="eastAsia"/>
          <w:lang w:val="en-GB"/>
        </w:rPr>
        <w:t>；</w:t>
      </w:r>
    </w:p>
    <w:p>
      <w:pPr>
        <w:pStyle w:val="79"/>
        <w:ind w:firstLine="480"/>
        <w:rPr>
          <w:rFonts w:cs="Times New Roman"/>
        </w:rPr>
      </w:pPr>
      <w:r>
        <w:rPr>
          <w:rFonts w:cs="Times New Roman"/>
        </w:rPr>
        <w:t>n</w:t>
      </w:r>
      <w:r>
        <w:rPr>
          <w:rFonts w:cs="Times New Roman"/>
          <w:vertAlign w:val="subscript"/>
        </w:rPr>
        <w:t>e</w:t>
      </w:r>
      <w:r>
        <w:rPr>
          <w:rFonts w:eastAsia="TimesNewRomanPSMT" w:cs="Times New Roman"/>
        </w:rPr>
        <w:t>—</w:t>
      </w:r>
      <w:r>
        <w:rPr>
          <w:rFonts w:cs="Times New Roman"/>
        </w:rPr>
        <w:t>有效孔隙度，</w:t>
      </w:r>
      <w:r>
        <w:rPr>
          <w:rFonts w:cs="Times New Roman"/>
          <w:lang w:val="en-GB"/>
        </w:rPr>
        <w:t>本项目取0.15</w:t>
      </w:r>
      <w:r>
        <w:rPr>
          <w:rFonts w:cs="Times New Roman"/>
        </w:rPr>
        <w:t>；</w:t>
      </w:r>
    </w:p>
    <w:p>
      <w:pPr>
        <w:pStyle w:val="79"/>
        <w:ind w:firstLine="480"/>
        <w:rPr>
          <w:rFonts w:cs="Times New Roman"/>
        </w:rPr>
      </w:pPr>
      <w:r>
        <w:rPr>
          <w:rFonts w:eastAsia="TimesNewRomanPSMT" w:cs="Times New Roman"/>
        </w:rPr>
        <w:t>D</w:t>
      </w:r>
      <w:r>
        <w:rPr>
          <w:rFonts w:eastAsia="TimesNewRomanPSMT" w:cs="Times New Roman"/>
          <w:sz w:val="16"/>
          <w:szCs w:val="16"/>
        </w:rPr>
        <w:t>L</w:t>
      </w:r>
      <w:r>
        <w:rPr>
          <w:rFonts w:eastAsia="TimesNewRomanPSMT" w:cs="Times New Roman"/>
        </w:rPr>
        <w:t>—</w:t>
      </w:r>
      <w:r>
        <w:rPr>
          <w:rFonts w:cs="Times New Roman"/>
        </w:rPr>
        <w:t>纵向弥散系数，</w:t>
      </w:r>
      <w:r>
        <w:rPr>
          <w:rFonts w:eastAsia="TimesNewRomanPSMT" w:cs="Times New Roman"/>
        </w:rPr>
        <w:t>m</w:t>
      </w:r>
      <w:r>
        <w:rPr>
          <w:rFonts w:cs="Times New Roman"/>
          <w:vertAlign w:val="superscript"/>
        </w:rPr>
        <w:t>2</w:t>
      </w:r>
      <w:r>
        <w:rPr>
          <w:rFonts w:eastAsia="TimesNewRomanPSMT" w:cs="Times New Roman"/>
        </w:rPr>
        <w:t>/d</w:t>
      </w:r>
      <w:r>
        <w:rPr>
          <w:rFonts w:cs="Times New Roman"/>
        </w:rPr>
        <w:t>；</w:t>
      </w:r>
    </w:p>
    <w:p>
      <w:pPr>
        <w:pStyle w:val="79"/>
        <w:ind w:firstLine="480"/>
        <w:rPr>
          <w:rFonts w:cs="Times New Roman"/>
        </w:rPr>
      </w:pPr>
      <w:r>
        <w:rPr>
          <w:rFonts w:eastAsia="TimesNewRomanPSMT" w:cs="Times New Roman"/>
        </w:rPr>
        <w:t>erfc—</w:t>
      </w:r>
      <w:r>
        <w:rPr>
          <w:rFonts w:cs="Times New Roman"/>
        </w:rPr>
        <w:t>余误差函数。</w:t>
      </w:r>
    </w:p>
    <w:p>
      <w:pPr>
        <w:pStyle w:val="79"/>
        <w:ind w:firstLine="480"/>
      </w:pPr>
      <w:r>
        <w:rPr>
          <w:rFonts w:hint="eastAsia"/>
        </w:rPr>
        <w:t>（5）预测</w:t>
      </w:r>
      <w:r>
        <w:t>参数</w:t>
      </w:r>
    </w:p>
    <w:p>
      <w:pPr>
        <w:pStyle w:val="79"/>
        <w:ind w:firstLine="480"/>
      </w:pPr>
      <w:r>
        <w:rPr>
          <w:rFonts w:hint="eastAsia"/>
        </w:rPr>
        <w:t>根据建设项目废水水质的情况，本项目取</w:t>
      </w:r>
      <w:r>
        <w:t>COD0.860g/L</w:t>
      </w:r>
      <w:r>
        <w:rPr>
          <w:rFonts w:hint="eastAsia"/>
        </w:rPr>
        <w:t>，氨氮</w:t>
      </w:r>
      <w:r>
        <w:t>0.23g/L</w:t>
      </w:r>
      <w:r>
        <w:rPr>
          <w:rFonts w:hint="eastAsia"/>
        </w:rPr>
        <w:t>污染物的最高浓度值。</w:t>
      </w:r>
    </w:p>
    <w:p>
      <w:pPr>
        <w:pStyle w:val="79"/>
        <w:ind w:firstLine="480"/>
      </w:pPr>
      <w:r>
        <w:rPr>
          <w:rFonts w:hint="eastAsia"/>
        </w:rPr>
        <w:t>根据《环境影响评价技术导则地下水环境》（HJ610-2016）附录B 水文地质参数经验值表进行渗透系数取值，本项目渗透</w:t>
      </w:r>
      <w:r>
        <w:t>系数</w:t>
      </w:r>
      <w:r>
        <w:rPr>
          <w:rFonts w:hint="eastAsia"/>
        </w:rPr>
        <w:t>取值</w:t>
      </w:r>
      <w:r>
        <w:t>为</w:t>
      </w:r>
      <w:r>
        <w:rPr>
          <w:rFonts w:hint="eastAsia"/>
        </w:rPr>
        <w:t>1.0</w:t>
      </w:r>
      <w:r>
        <w:t>m/d，</w:t>
      </w:r>
      <w:r>
        <w:rPr>
          <w:rFonts w:hint="eastAsia"/>
        </w:rPr>
        <w:t>有效孔隙度取注水实验的给水度0.15，水流速度取0.0</w:t>
      </w:r>
      <w:r>
        <w:t>667</w:t>
      </w:r>
      <w:r>
        <w:rPr>
          <w:rFonts w:hint="eastAsia"/>
        </w:rPr>
        <w:t>m/d。水动力弥散尺度效应的存在，难以通过野外或者弥散试验获得真实的弥散系数，生产实践中多采用类比的方法来确定取值。这里根据国内外有关弥散系数选择的文献报导，结合本项目的水文地质条件，借鉴Fried（1975）和Goblet（1982）等人的研究成果，最终确定含水层弥散系数取值为2.0m</w:t>
      </w:r>
      <w:r>
        <w:rPr>
          <w:rFonts w:hint="eastAsia"/>
          <w:vertAlign w:val="superscript"/>
        </w:rPr>
        <w:t>2</w:t>
      </w:r>
      <w:r>
        <w:rPr>
          <w:rFonts w:hint="eastAsia"/>
        </w:rPr>
        <w:t>/d。综上所述，各参数取值如下：</w:t>
      </w:r>
    </w:p>
    <w:p>
      <w:pPr>
        <w:pStyle w:val="85"/>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r>
        <w:rPr>
          <w:rFonts w:hAnsi="Times New Roman"/>
        </w:rPr>
        <w:t xml:space="preserve">0  </w:t>
      </w:r>
      <w:r>
        <w:t>水质预测各参数取值表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327"/>
        <w:gridCol w:w="1160"/>
        <w:gridCol w:w="1101"/>
        <w:gridCol w:w="1162"/>
        <w:gridCol w:w="866"/>
        <w:gridCol w:w="11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878" w:type="dxa"/>
            <w:gridSpan w:val="2"/>
            <w:vAlign w:val="center"/>
          </w:tcPr>
          <w:p>
            <w:pPr>
              <w:pStyle w:val="84"/>
            </w:pPr>
            <w:r>
              <w:rPr>
                <w:rFonts w:hint="eastAsia"/>
              </w:rPr>
              <w:t>Co</w:t>
            </w:r>
          </w:p>
        </w:tc>
        <w:tc>
          <w:tcPr>
            <w:tcW w:w="1160" w:type="dxa"/>
            <w:vMerge w:val="restart"/>
            <w:vAlign w:val="center"/>
          </w:tcPr>
          <w:p>
            <w:pPr>
              <w:pStyle w:val="84"/>
            </w:pPr>
            <w:r>
              <w:rPr>
                <w:rFonts w:hint="eastAsia"/>
              </w:rPr>
              <w:t>水流速度</w:t>
            </w:r>
          </w:p>
          <w:p>
            <w:pPr>
              <w:pStyle w:val="84"/>
            </w:pPr>
            <w:r>
              <w:t>u（</w:t>
            </w:r>
            <w:r>
              <w:rPr>
                <w:rFonts w:hint="eastAsia"/>
              </w:rPr>
              <w:t>m/d</w:t>
            </w:r>
            <w:r>
              <w:t>）</w:t>
            </w:r>
          </w:p>
        </w:tc>
        <w:tc>
          <w:tcPr>
            <w:tcW w:w="1101" w:type="dxa"/>
            <w:vMerge w:val="restart"/>
            <w:vAlign w:val="center"/>
          </w:tcPr>
          <w:p>
            <w:pPr>
              <w:pStyle w:val="84"/>
            </w:pPr>
            <w:r>
              <w:t>渗透系数</w:t>
            </w:r>
          </w:p>
          <w:p>
            <w:pPr>
              <w:pStyle w:val="84"/>
            </w:pPr>
            <w:r>
              <w:t>K（m/d）</w:t>
            </w:r>
          </w:p>
        </w:tc>
        <w:tc>
          <w:tcPr>
            <w:tcW w:w="1162" w:type="dxa"/>
            <w:vMerge w:val="restart"/>
            <w:vAlign w:val="center"/>
          </w:tcPr>
          <w:p>
            <w:pPr>
              <w:pStyle w:val="84"/>
            </w:pPr>
            <w:r>
              <w:t>水力坡度I</w:t>
            </w:r>
          </w:p>
        </w:tc>
        <w:tc>
          <w:tcPr>
            <w:tcW w:w="866" w:type="dxa"/>
            <w:vMerge w:val="restart"/>
            <w:vAlign w:val="center"/>
          </w:tcPr>
          <w:p>
            <w:pPr>
              <w:pStyle w:val="84"/>
            </w:pPr>
            <w:r>
              <w:t>有效孔隙度n</w:t>
            </w:r>
            <w:r>
              <w:rPr>
                <w:vertAlign w:val="subscript"/>
              </w:rPr>
              <w:t>e</w:t>
            </w:r>
          </w:p>
        </w:tc>
        <w:tc>
          <w:tcPr>
            <w:tcW w:w="1109" w:type="dxa"/>
            <w:vMerge w:val="restart"/>
            <w:vAlign w:val="center"/>
          </w:tcPr>
          <w:p>
            <w:pPr>
              <w:pStyle w:val="84"/>
            </w:pPr>
            <w:r>
              <w:t>纵向弥散系数</w:t>
            </w:r>
            <w:r>
              <w:rPr>
                <w:rFonts w:hint="eastAsia"/>
              </w:rPr>
              <w:t>D</w:t>
            </w:r>
            <w:r>
              <w:rPr>
                <w:vertAlign w:val="subscript"/>
              </w:rPr>
              <w:t>L</w:t>
            </w:r>
            <w:r>
              <w:t>（m</w:t>
            </w:r>
            <w:r>
              <w:rPr>
                <w:vertAlign w:val="superscript"/>
              </w:rPr>
              <w:t>2</w:t>
            </w:r>
            <w: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51" w:type="dxa"/>
            <w:vAlign w:val="center"/>
          </w:tcPr>
          <w:p>
            <w:pPr>
              <w:pStyle w:val="84"/>
            </w:pPr>
            <w:r>
              <w:rPr>
                <w:rFonts w:hint="eastAsia"/>
              </w:rPr>
              <w:t>COD</w:t>
            </w:r>
            <w:r>
              <w:rPr>
                <w:vertAlign w:val="subscript"/>
              </w:rPr>
              <w:t>Mn</w:t>
            </w:r>
            <w:r>
              <w:rPr>
                <w:rFonts w:hint="eastAsia"/>
              </w:rPr>
              <w:t>（</w:t>
            </w:r>
            <w:r>
              <w:t>g/L</w:t>
            </w:r>
            <w:r>
              <w:rPr>
                <w:rFonts w:hint="eastAsia"/>
              </w:rPr>
              <w:t>）</w:t>
            </w:r>
          </w:p>
        </w:tc>
        <w:tc>
          <w:tcPr>
            <w:tcW w:w="1327" w:type="dxa"/>
            <w:vAlign w:val="center"/>
          </w:tcPr>
          <w:p>
            <w:pPr>
              <w:pStyle w:val="84"/>
            </w:pPr>
            <w:r>
              <w:rPr>
                <w:rFonts w:hint="eastAsia"/>
              </w:rPr>
              <w:t>氨氮</w:t>
            </w:r>
          </w:p>
          <w:p>
            <w:pPr>
              <w:pStyle w:val="84"/>
            </w:pPr>
            <w:r>
              <w:rPr>
                <w:rFonts w:hint="eastAsia"/>
              </w:rPr>
              <w:t>（</w:t>
            </w:r>
            <w:r>
              <w:t>g/L</w:t>
            </w:r>
            <w:r>
              <w:rPr>
                <w:rFonts w:hint="eastAsia"/>
              </w:rPr>
              <w:t>）</w:t>
            </w:r>
          </w:p>
        </w:tc>
        <w:tc>
          <w:tcPr>
            <w:tcW w:w="1160" w:type="dxa"/>
            <w:vMerge w:val="continue"/>
            <w:vAlign w:val="center"/>
          </w:tcPr>
          <w:p>
            <w:pPr>
              <w:pStyle w:val="84"/>
            </w:pPr>
          </w:p>
        </w:tc>
        <w:tc>
          <w:tcPr>
            <w:tcW w:w="1101" w:type="dxa"/>
            <w:vMerge w:val="continue"/>
            <w:vAlign w:val="center"/>
          </w:tcPr>
          <w:p>
            <w:pPr>
              <w:pStyle w:val="84"/>
            </w:pPr>
          </w:p>
        </w:tc>
        <w:tc>
          <w:tcPr>
            <w:tcW w:w="1162" w:type="dxa"/>
            <w:vMerge w:val="continue"/>
            <w:vAlign w:val="center"/>
          </w:tcPr>
          <w:p>
            <w:pPr>
              <w:pStyle w:val="84"/>
            </w:pPr>
          </w:p>
        </w:tc>
        <w:tc>
          <w:tcPr>
            <w:tcW w:w="866" w:type="dxa"/>
            <w:vMerge w:val="continue"/>
            <w:vAlign w:val="center"/>
          </w:tcPr>
          <w:p>
            <w:pPr>
              <w:pStyle w:val="84"/>
            </w:pPr>
          </w:p>
        </w:tc>
        <w:tc>
          <w:tcPr>
            <w:tcW w:w="1109" w:type="dxa"/>
            <w:vMerge w:val="continue"/>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51" w:type="dxa"/>
            <w:vAlign w:val="center"/>
          </w:tcPr>
          <w:p>
            <w:pPr>
              <w:pStyle w:val="84"/>
            </w:pPr>
            <w:r>
              <w:rPr>
                <w:rFonts w:hint="eastAsia"/>
              </w:rPr>
              <w:t>0.</w:t>
            </w:r>
            <w:r>
              <w:t>860</w:t>
            </w:r>
          </w:p>
        </w:tc>
        <w:tc>
          <w:tcPr>
            <w:tcW w:w="1327" w:type="dxa"/>
            <w:vAlign w:val="center"/>
          </w:tcPr>
          <w:p>
            <w:pPr>
              <w:pStyle w:val="84"/>
            </w:pPr>
            <w:r>
              <w:rPr>
                <w:rFonts w:hint="eastAsia"/>
              </w:rPr>
              <w:t>0.2</w:t>
            </w:r>
            <w:r>
              <w:t>3</w:t>
            </w:r>
          </w:p>
        </w:tc>
        <w:tc>
          <w:tcPr>
            <w:tcW w:w="1160" w:type="dxa"/>
            <w:vAlign w:val="center"/>
          </w:tcPr>
          <w:p>
            <w:pPr>
              <w:pStyle w:val="84"/>
            </w:pPr>
            <w:r>
              <w:rPr>
                <w:rFonts w:hint="eastAsia"/>
              </w:rPr>
              <w:t>0.0667</w:t>
            </w:r>
          </w:p>
        </w:tc>
        <w:tc>
          <w:tcPr>
            <w:tcW w:w="1101" w:type="dxa"/>
            <w:vAlign w:val="center"/>
          </w:tcPr>
          <w:p>
            <w:pPr>
              <w:pStyle w:val="84"/>
            </w:pPr>
            <w:r>
              <w:t>1.0</w:t>
            </w:r>
          </w:p>
        </w:tc>
        <w:tc>
          <w:tcPr>
            <w:tcW w:w="1162" w:type="dxa"/>
            <w:vAlign w:val="center"/>
          </w:tcPr>
          <w:p>
            <w:pPr>
              <w:pStyle w:val="84"/>
            </w:pPr>
            <w:r>
              <w:t>10‰</w:t>
            </w:r>
          </w:p>
        </w:tc>
        <w:tc>
          <w:tcPr>
            <w:tcW w:w="866" w:type="dxa"/>
            <w:vAlign w:val="center"/>
          </w:tcPr>
          <w:p>
            <w:pPr>
              <w:pStyle w:val="84"/>
            </w:pPr>
            <w:r>
              <w:t>0.15</w:t>
            </w:r>
          </w:p>
        </w:tc>
        <w:tc>
          <w:tcPr>
            <w:tcW w:w="1109" w:type="dxa"/>
            <w:vAlign w:val="center"/>
          </w:tcPr>
          <w:p>
            <w:pPr>
              <w:pStyle w:val="84"/>
            </w:pPr>
            <w:r>
              <w:t>2</w:t>
            </w:r>
          </w:p>
        </w:tc>
      </w:tr>
    </w:tbl>
    <w:p>
      <w:pPr>
        <w:pStyle w:val="79"/>
        <w:ind w:firstLine="480"/>
      </w:pPr>
      <w:r>
        <w:rPr>
          <w:rFonts w:hint="eastAsia"/>
        </w:rPr>
        <w:t>（5）预测</w:t>
      </w:r>
      <w:r>
        <w:t>结果</w:t>
      </w:r>
    </w:p>
    <w:p>
      <w:pPr>
        <w:pStyle w:val="79"/>
        <w:ind w:firstLine="480"/>
        <w:rPr>
          <w:rFonts w:cs="Times New Roman"/>
          <w:kern w:val="0"/>
          <w:szCs w:val="24"/>
        </w:rPr>
      </w:pPr>
      <w:r>
        <w:rPr>
          <w:rFonts w:hint="eastAsia"/>
        </w:rPr>
        <w:t>污水泄漏拟建工程下游地下水各污染物预测结果见</w:t>
      </w:r>
      <w:r>
        <w:fldChar w:fldCharType="begin"/>
      </w:r>
      <w:r>
        <w:instrText xml:space="preserve">REF _Ref38033558 \h \* MERGEFORMAT </w:instrText>
      </w:r>
      <w:r>
        <w:fldChar w:fldCharType="separate"/>
      </w:r>
      <w:r>
        <w:rPr>
          <w:rFonts w:hint="eastAsia"/>
        </w:rPr>
        <w:t>表</w:t>
      </w:r>
      <w:r>
        <w:t>5.2</w:t>
      </w:r>
      <w:r>
        <w:noBreakHyphen/>
      </w:r>
      <w:r>
        <w:fldChar w:fldCharType="end"/>
      </w:r>
      <w:r>
        <w:t>~</w:t>
      </w:r>
      <w:r>
        <w:fldChar w:fldCharType="begin"/>
      </w:r>
      <w:r>
        <w:instrText xml:space="preserve"> REF _Ref38033571 \h  \* MERGEFORMAT </w:instrText>
      </w:r>
      <w:r>
        <w:fldChar w:fldCharType="separate"/>
      </w:r>
      <w:r>
        <w:rPr>
          <w:rFonts w:hint="eastAsia"/>
        </w:rPr>
        <w:t>表</w:t>
      </w:r>
      <w:r>
        <w:t>5.2</w:t>
      </w:r>
      <w:r>
        <w:noBreakHyphen/>
      </w:r>
      <w:r>
        <w:fldChar w:fldCharType="end"/>
      </w:r>
      <w:r>
        <w:rPr>
          <w:rFonts w:hint="eastAsia" w:ascii="宋体" w:hAnsi="Calibri" w:cs="宋体"/>
          <w:kern w:val="0"/>
          <w:szCs w:val="24"/>
        </w:rPr>
        <w:t>；拟建工程污水泄漏</w:t>
      </w:r>
      <w:r>
        <w:rPr>
          <w:rFonts w:eastAsia="TimesNewRomanPSMT" w:cs="Times New Roman"/>
          <w:kern w:val="0"/>
          <w:szCs w:val="24"/>
        </w:rPr>
        <w:t>COD</w:t>
      </w:r>
      <w:r>
        <w:rPr>
          <w:rFonts w:eastAsia="TimesNewRomanPSMT" w:cs="Times New Roman"/>
          <w:kern w:val="0"/>
          <w:sz w:val="16"/>
          <w:szCs w:val="16"/>
          <w:vertAlign w:val="subscript"/>
        </w:rPr>
        <w:t>Mn</w:t>
      </w:r>
      <w:r>
        <w:rPr>
          <w:rFonts w:hint="eastAsia" w:ascii="宋体" w:hAnsi="Calibri" w:cs="宋体"/>
          <w:kern w:val="0"/>
          <w:szCs w:val="24"/>
        </w:rPr>
        <w:t>及氨氮预测值随距离变</w:t>
      </w:r>
      <w:r>
        <w:rPr>
          <w:rFonts w:cs="Times New Roman"/>
          <w:kern w:val="0"/>
          <w:szCs w:val="24"/>
        </w:rPr>
        <w:t>化趋势见图</w:t>
      </w:r>
      <w:r>
        <w:rPr>
          <w:rFonts w:eastAsia="TimesNewRomanPSMT" w:cs="Times New Roman"/>
          <w:kern w:val="0"/>
          <w:szCs w:val="24"/>
        </w:rPr>
        <w:t>5.2-1~</w:t>
      </w:r>
      <w:r>
        <w:rPr>
          <w:rFonts w:cs="Times New Roman"/>
          <w:kern w:val="0"/>
          <w:szCs w:val="24"/>
        </w:rPr>
        <w:t>图</w:t>
      </w:r>
      <w:r>
        <w:rPr>
          <w:rFonts w:eastAsia="TimesNewRomanPSMT" w:cs="Times New Roman"/>
          <w:kern w:val="0"/>
          <w:szCs w:val="24"/>
        </w:rPr>
        <w:t>5.2-4</w:t>
      </w:r>
      <w:r>
        <w:rPr>
          <w:rFonts w:cs="Times New Roman"/>
          <w:kern w:val="0"/>
          <w:szCs w:val="24"/>
        </w:rPr>
        <w:t>。</w:t>
      </w:r>
    </w:p>
    <w:p>
      <w:pPr>
        <w:pStyle w:val="85"/>
      </w:pPr>
      <w:bookmarkStart w:id="135" w:name="_Ref38033558"/>
      <w:r>
        <w:rPr>
          <w:rFonts w:hint="eastAsia"/>
        </w:rPr>
        <w:t>表</w:t>
      </w:r>
      <w:r>
        <w:fldChar w:fldCharType="begin"/>
      </w:r>
      <w:r>
        <w:rPr>
          <w:rFonts w:hint="eastAsia"/>
        </w:rPr>
        <w:instrText xml:space="preserve">STYLEREF 2 \s</w:instrText>
      </w:r>
      <w:r>
        <w:fldChar w:fldCharType="separate"/>
      </w:r>
      <w:r>
        <w:t>5.2</w:t>
      </w:r>
      <w:r>
        <w:fldChar w:fldCharType="end"/>
      </w:r>
      <w:r>
        <w:noBreakHyphen/>
      </w:r>
      <w:bookmarkEnd w:id="135"/>
      <w:r>
        <w:t xml:space="preserve">11  </w:t>
      </w:r>
      <w:r>
        <w:rPr>
          <w:rFonts w:hint="eastAsia"/>
        </w:rPr>
        <w:t>污水</w:t>
      </w:r>
      <w:r>
        <w:t>泄露后本项目下游地下水COD</w:t>
      </w:r>
      <w:r>
        <w:rPr>
          <w:vertAlign w:val="subscript"/>
        </w:rPr>
        <w:t>Mn</w:t>
      </w:r>
      <w:r>
        <w:t>预测结果一览表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261"/>
        <w:gridCol w:w="1352"/>
        <w:gridCol w:w="1102"/>
        <w:gridCol w:w="1104"/>
        <w:gridCol w:w="1101"/>
        <w:gridCol w:w="12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72" w:type="dxa"/>
            <w:vAlign w:val="center"/>
          </w:tcPr>
          <w:p>
            <w:pPr>
              <w:pStyle w:val="84"/>
            </w:pPr>
            <w:r>
              <w:rPr>
                <w:rFonts w:hint="eastAsia"/>
              </w:rPr>
              <w:t>名称</w:t>
            </w:r>
          </w:p>
        </w:tc>
        <w:tc>
          <w:tcPr>
            <w:tcW w:w="1261" w:type="dxa"/>
            <w:vAlign w:val="center"/>
          </w:tcPr>
          <w:p>
            <w:pPr>
              <w:pStyle w:val="84"/>
            </w:pPr>
            <w:r>
              <w:rPr>
                <w:rFonts w:hint="eastAsia"/>
              </w:rPr>
              <w:t>最大贡献值距</w:t>
            </w:r>
            <w:r>
              <w:t>事故源距离</w:t>
            </w:r>
            <w:r>
              <w:rPr>
                <w:rFonts w:hint="eastAsia"/>
              </w:rPr>
              <w:t>（m）</w:t>
            </w:r>
          </w:p>
        </w:tc>
        <w:tc>
          <w:tcPr>
            <w:tcW w:w="1352" w:type="dxa"/>
            <w:vAlign w:val="center"/>
          </w:tcPr>
          <w:p>
            <w:pPr>
              <w:pStyle w:val="84"/>
            </w:pPr>
            <w:r>
              <w:rPr>
                <w:rFonts w:hint="eastAsia"/>
              </w:rPr>
              <w:t>最大预测值（mg/L）</w:t>
            </w:r>
          </w:p>
        </w:tc>
        <w:tc>
          <w:tcPr>
            <w:tcW w:w="1102" w:type="dxa"/>
            <w:vAlign w:val="center"/>
          </w:tcPr>
          <w:p>
            <w:pPr>
              <w:pStyle w:val="84"/>
              <w:rPr>
                <w:rFonts w:ascii="宋体" w:hAnsi="Calibri" w:cs="宋体"/>
                <w:szCs w:val="21"/>
              </w:rPr>
            </w:pPr>
            <w:r>
              <w:rPr>
                <w:rFonts w:hint="eastAsia" w:ascii="宋体" w:hAnsi="Calibri" w:cs="宋体"/>
                <w:szCs w:val="21"/>
              </w:rPr>
              <w:t>最远影响距离</w:t>
            </w:r>
            <w:r>
              <w:rPr>
                <w:rFonts w:hint="eastAsia"/>
              </w:rPr>
              <w:t>（m）</w:t>
            </w:r>
          </w:p>
        </w:tc>
        <w:tc>
          <w:tcPr>
            <w:tcW w:w="1104" w:type="dxa"/>
            <w:vAlign w:val="center"/>
          </w:tcPr>
          <w:p>
            <w:pPr>
              <w:pStyle w:val="84"/>
            </w:pPr>
            <w:r>
              <w:rPr>
                <w:rFonts w:hint="eastAsia"/>
              </w:rPr>
              <w:t>开始超标距离（m）</w:t>
            </w:r>
          </w:p>
        </w:tc>
        <w:tc>
          <w:tcPr>
            <w:tcW w:w="1101" w:type="dxa"/>
            <w:vAlign w:val="center"/>
          </w:tcPr>
          <w:p>
            <w:pPr>
              <w:pStyle w:val="84"/>
            </w:pPr>
            <w:r>
              <w:rPr>
                <w:rFonts w:hint="eastAsia"/>
              </w:rPr>
              <w:t>开始达标距离（m）</w:t>
            </w:r>
          </w:p>
        </w:tc>
        <w:tc>
          <w:tcPr>
            <w:tcW w:w="1284" w:type="dxa"/>
            <w:vAlign w:val="center"/>
          </w:tcPr>
          <w:p>
            <w:pPr>
              <w:pStyle w:val="84"/>
              <w:rPr>
                <w:rFonts w:ascii="宋体" w:hAnsi="Calibri" w:cs="宋体"/>
                <w:szCs w:val="21"/>
              </w:rPr>
            </w:pPr>
            <w:r>
              <w:rPr>
                <w:rFonts w:hint="eastAsia" w:ascii="宋体" w:hAnsi="Calibri" w:cs="宋体"/>
                <w:szCs w:val="21"/>
              </w:rPr>
              <w:t>标准值</w:t>
            </w:r>
          </w:p>
          <w:p>
            <w:pPr>
              <w:pStyle w:val="84"/>
            </w:pPr>
            <w:r>
              <w:rPr>
                <w:rFonts w:hint="eastAsia"/>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72" w:type="dxa"/>
            <w:vAlign w:val="center"/>
          </w:tcPr>
          <w:p>
            <w:pPr>
              <w:pStyle w:val="84"/>
            </w:pPr>
            <w:r>
              <w:rPr>
                <w:rFonts w:hint="eastAsia"/>
              </w:rPr>
              <w:t>100d</w:t>
            </w:r>
          </w:p>
        </w:tc>
        <w:tc>
          <w:tcPr>
            <w:tcW w:w="1261" w:type="dxa"/>
            <w:vAlign w:val="center"/>
          </w:tcPr>
          <w:p>
            <w:pPr>
              <w:pStyle w:val="84"/>
            </w:pPr>
            <w:r>
              <w:rPr>
                <w:rFonts w:hint="eastAsia"/>
              </w:rPr>
              <w:t>15</w:t>
            </w:r>
          </w:p>
        </w:tc>
        <w:tc>
          <w:tcPr>
            <w:tcW w:w="1352" w:type="dxa"/>
            <w:vAlign w:val="center"/>
          </w:tcPr>
          <w:p>
            <w:pPr>
              <w:pStyle w:val="84"/>
            </w:pPr>
            <w:r>
              <w:rPr>
                <w:rFonts w:hint="eastAsia"/>
              </w:rPr>
              <w:t>169.90</w:t>
            </w:r>
          </w:p>
        </w:tc>
        <w:tc>
          <w:tcPr>
            <w:tcW w:w="1102" w:type="dxa"/>
            <w:vAlign w:val="center"/>
          </w:tcPr>
          <w:p>
            <w:pPr>
              <w:pStyle w:val="84"/>
            </w:pPr>
            <w:r>
              <w:t>85</w:t>
            </w:r>
          </w:p>
        </w:tc>
        <w:tc>
          <w:tcPr>
            <w:tcW w:w="1104" w:type="dxa"/>
            <w:vAlign w:val="center"/>
          </w:tcPr>
          <w:p>
            <w:pPr>
              <w:pStyle w:val="84"/>
            </w:pPr>
            <w:r>
              <w:rPr>
                <w:rFonts w:hint="eastAsia"/>
              </w:rPr>
              <w:t>0</w:t>
            </w:r>
          </w:p>
        </w:tc>
        <w:tc>
          <w:tcPr>
            <w:tcW w:w="1101" w:type="dxa"/>
            <w:vAlign w:val="center"/>
          </w:tcPr>
          <w:p>
            <w:pPr>
              <w:pStyle w:val="84"/>
            </w:pPr>
            <w:r>
              <w:rPr>
                <w:rFonts w:hint="eastAsia"/>
              </w:rPr>
              <w:t>61.8</w:t>
            </w:r>
          </w:p>
        </w:tc>
        <w:tc>
          <w:tcPr>
            <w:tcW w:w="1284" w:type="dxa"/>
            <w:vAlign w:val="center"/>
          </w:tcPr>
          <w:p>
            <w:pPr>
              <w:pStyle w:val="84"/>
            </w:pPr>
            <w:r>
              <w:rPr>
                <w:rFonts w:hint="eastAsi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72" w:type="dxa"/>
            <w:vAlign w:val="center"/>
          </w:tcPr>
          <w:p>
            <w:pPr>
              <w:pStyle w:val="84"/>
            </w:pPr>
            <w:r>
              <w:rPr>
                <w:rFonts w:hint="eastAsia"/>
              </w:rPr>
              <w:t>1000</w:t>
            </w:r>
            <w:r>
              <w:t>d</w:t>
            </w:r>
          </w:p>
        </w:tc>
        <w:tc>
          <w:tcPr>
            <w:tcW w:w="1261" w:type="dxa"/>
            <w:vAlign w:val="center"/>
          </w:tcPr>
          <w:p>
            <w:pPr>
              <w:pStyle w:val="84"/>
            </w:pPr>
            <w:r>
              <w:rPr>
                <w:rFonts w:hint="eastAsia"/>
              </w:rPr>
              <w:t>90</w:t>
            </w:r>
          </w:p>
        </w:tc>
        <w:tc>
          <w:tcPr>
            <w:tcW w:w="1352" w:type="dxa"/>
            <w:vAlign w:val="center"/>
          </w:tcPr>
          <w:p>
            <w:pPr>
              <w:pStyle w:val="84"/>
            </w:pPr>
            <w:r>
              <w:rPr>
                <w:rFonts w:hint="eastAsia"/>
              </w:rPr>
              <w:t>27.59</w:t>
            </w:r>
          </w:p>
        </w:tc>
        <w:tc>
          <w:tcPr>
            <w:tcW w:w="1102" w:type="dxa"/>
            <w:vAlign w:val="center"/>
          </w:tcPr>
          <w:p>
            <w:pPr>
              <w:pStyle w:val="84"/>
            </w:pPr>
            <w:r>
              <w:rPr>
                <w:rFonts w:hint="eastAsia"/>
              </w:rPr>
              <w:t>300</w:t>
            </w:r>
          </w:p>
        </w:tc>
        <w:tc>
          <w:tcPr>
            <w:tcW w:w="1104" w:type="dxa"/>
            <w:vAlign w:val="center"/>
          </w:tcPr>
          <w:p>
            <w:pPr>
              <w:pStyle w:val="84"/>
            </w:pPr>
            <w:r>
              <w:rPr>
                <w:rFonts w:hint="eastAsia"/>
              </w:rPr>
              <w:t>0</w:t>
            </w:r>
          </w:p>
        </w:tc>
        <w:tc>
          <w:tcPr>
            <w:tcW w:w="1101" w:type="dxa"/>
            <w:vAlign w:val="center"/>
          </w:tcPr>
          <w:p>
            <w:pPr>
              <w:pStyle w:val="84"/>
            </w:pPr>
            <w:r>
              <w:rPr>
                <w:rFonts w:hint="eastAsia"/>
              </w:rPr>
              <w:t>225.1</w:t>
            </w:r>
          </w:p>
        </w:tc>
        <w:tc>
          <w:tcPr>
            <w:tcW w:w="1284" w:type="dxa"/>
            <w:vAlign w:val="center"/>
          </w:tcPr>
          <w:p>
            <w:pPr>
              <w:pStyle w:val="84"/>
            </w:pPr>
            <w:r>
              <w:rPr>
                <w:rFonts w:hint="eastAsia"/>
              </w:rPr>
              <w:t>3.0</w:t>
            </w:r>
          </w:p>
        </w:tc>
      </w:tr>
    </w:tbl>
    <w:p>
      <w:pPr>
        <w:pStyle w:val="85"/>
      </w:pPr>
      <w:bookmarkStart w:id="136" w:name="_Ref38033571"/>
      <w:r>
        <w:rPr>
          <w:rFonts w:hint="eastAsia"/>
        </w:rPr>
        <w:t>表</w:t>
      </w:r>
      <w:r>
        <w:fldChar w:fldCharType="begin"/>
      </w:r>
      <w:r>
        <w:rPr>
          <w:rFonts w:hint="eastAsia"/>
        </w:rPr>
        <w:instrText xml:space="preserve">STYLEREF 2 \s</w:instrText>
      </w:r>
      <w:r>
        <w:fldChar w:fldCharType="separate"/>
      </w:r>
      <w:r>
        <w:t>5.2</w:t>
      </w:r>
      <w:r>
        <w:fldChar w:fldCharType="end"/>
      </w:r>
      <w:r>
        <w:noBreakHyphen/>
      </w:r>
      <w:bookmarkEnd w:id="136"/>
      <w:r>
        <w:t xml:space="preserve">12  </w:t>
      </w:r>
      <w:r>
        <w:rPr>
          <w:rFonts w:hint="eastAsia"/>
        </w:rPr>
        <w:t>污水</w:t>
      </w:r>
      <w:r>
        <w:t>泄露后本项目下游地下水</w:t>
      </w:r>
      <w:r>
        <w:rPr>
          <w:rFonts w:hint="eastAsia"/>
        </w:rPr>
        <w:t>氨氮</w:t>
      </w:r>
      <w:r>
        <w:t>预测结果一览表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569"/>
        <w:gridCol w:w="1183"/>
        <w:gridCol w:w="1182"/>
        <w:gridCol w:w="1182"/>
        <w:gridCol w:w="1182"/>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3" w:type="dxa"/>
            <w:vAlign w:val="center"/>
          </w:tcPr>
          <w:p>
            <w:pPr>
              <w:pStyle w:val="84"/>
            </w:pPr>
            <w:r>
              <w:rPr>
                <w:rFonts w:hint="eastAsia"/>
              </w:rPr>
              <w:t>名称</w:t>
            </w:r>
          </w:p>
        </w:tc>
        <w:tc>
          <w:tcPr>
            <w:tcW w:w="1569" w:type="dxa"/>
            <w:vAlign w:val="center"/>
          </w:tcPr>
          <w:p>
            <w:pPr>
              <w:pStyle w:val="84"/>
            </w:pPr>
            <w:r>
              <w:rPr>
                <w:rFonts w:hint="eastAsia"/>
              </w:rPr>
              <w:t>最大贡献值距</w:t>
            </w:r>
            <w:r>
              <w:t>事故源距离</w:t>
            </w:r>
            <w:r>
              <w:rPr>
                <w:rFonts w:hint="eastAsia"/>
              </w:rPr>
              <w:t>（m）</w:t>
            </w:r>
          </w:p>
        </w:tc>
        <w:tc>
          <w:tcPr>
            <w:tcW w:w="1183" w:type="dxa"/>
            <w:vAlign w:val="center"/>
          </w:tcPr>
          <w:p>
            <w:pPr>
              <w:pStyle w:val="84"/>
            </w:pPr>
            <w:r>
              <w:rPr>
                <w:rFonts w:hint="eastAsia"/>
              </w:rPr>
              <w:t>最大预测值（mg/L）</w:t>
            </w:r>
          </w:p>
        </w:tc>
        <w:tc>
          <w:tcPr>
            <w:tcW w:w="1182" w:type="dxa"/>
            <w:vAlign w:val="center"/>
          </w:tcPr>
          <w:p>
            <w:pPr>
              <w:pStyle w:val="84"/>
              <w:rPr>
                <w:rFonts w:ascii="宋体" w:hAnsi="Calibri" w:cs="宋体"/>
                <w:szCs w:val="21"/>
              </w:rPr>
            </w:pPr>
            <w:r>
              <w:rPr>
                <w:rFonts w:hint="eastAsia" w:ascii="宋体" w:hAnsi="Calibri" w:cs="宋体"/>
                <w:szCs w:val="21"/>
              </w:rPr>
              <w:t>最远影响</w:t>
            </w:r>
          </w:p>
          <w:p>
            <w:pPr>
              <w:pStyle w:val="84"/>
            </w:pPr>
            <w:r>
              <w:rPr>
                <w:rFonts w:hint="eastAsia" w:ascii="宋体" w:hAnsi="Calibri" w:cs="宋体"/>
                <w:szCs w:val="21"/>
              </w:rPr>
              <w:t>距离</w:t>
            </w:r>
            <w:r>
              <w:rPr>
                <w:rFonts w:hint="eastAsia"/>
              </w:rPr>
              <w:t>（m）</w:t>
            </w:r>
          </w:p>
        </w:tc>
        <w:tc>
          <w:tcPr>
            <w:tcW w:w="1182" w:type="dxa"/>
            <w:vAlign w:val="center"/>
          </w:tcPr>
          <w:p>
            <w:pPr>
              <w:pStyle w:val="84"/>
            </w:pPr>
            <w:r>
              <w:rPr>
                <w:rFonts w:hint="eastAsia"/>
              </w:rPr>
              <w:t>开始超标</w:t>
            </w:r>
          </w:p>
          <w:p>
            <w:pPr>
              <w:pStyle w:val="84"/>
            </w:pPr>
            <w:r>
              <w:rPr>
                <w:rFonts w:hint="eastAsia"/>
              </w:rPr>
              <w:t>距离（m）</w:t>
            </w:r>
          </w:p>
        </w:tc>
        <w:tc>
          <w:tcPr>
            <w:tcW w:w="1182" w:type="dxa"/>
            <w:vAlign w:val="center"/>
          </w:tcPr>
          <w:p>
            <w:pPr>
              <w:pStyle w:val="84"/>
            </w:pPr>
            <w:r>
              <w:rPr>
                <w:rFonts w:hint="eastAsia"/>
              </w:rPr>
              <w:t>开始达标</w:t>
            </w:r>
          </w:p>
          <w:p>
            <w:pPr>
              <w:pStyle w:val="84"/>
            </w:pPr>
            <w:r>
              <w:rPr>
                <w:rFonts w:hint="eastAsia"/>
              </w:rPr>
              <w:t>距离（m）</w:t>
            </w:r>
          </w:p>
        </w:tc>
        <w:tc>
          <w:tcPr>
            <w:tcW w:w="1185" w:type="dxa"/>
            <w:vAlign w:val="center"/>
          </w:tcPr>
          <w:p>
            <w:pPr>
              <w:pStyle w:val="84"/>
              <w:rPr>
                <w:rFonts w:ascii="宋体" w:hAnsi="Calibri" w:cs="宋体"/>
                <w:szCs w:val="21"/>
              </w:rPr>
            </w:pPr>
            <w:r>
              <w:rPr>
                <w:rFonts w:hint="eastAsia" w:ascii="宋体" w:hAnsi="Calibri" w:cs="宋体"/>
                <w:szCs w:val="21"/>
              </w:rPr>
              <w:t>标准值</w:t>
            </w:r>
          </w:p>
          <w:p>
            <w:pPr>
              <w:pStyle w:val="84"/>
            </w:pPr>
            <w:r>
              <w:rPr>
                <w:rFonts w:hint="eastAsia"/>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3" w:type="dxa"/>
            <w:vAlign w:val="center"/>
          </w:tcPr>
          <w:p>
            <w:pPr>
              <w:pStyle w:val="84"/>
            </w:pPr>
            <w:r>
              <w:rPr>
                <w:rFonts w:hint="eastAsia"/>
              </w:rPr>
              <w:t>100d</w:t>
            </w:r>
          </w:p>
        </w:tc>
        <w:tc>
          <w:tcPr>
            <w:tcW w:w="1569" w:type="dxa"/>
            <w:vAlign w:val="center"/>
          </w:tcPr>
          <w:p>
            <w:pPr>
              <w:pStyle w:val="84"/>
            </w:pPr>
            <w:r>
              <w:t>1</w:t>
            </w:r>
            <w:r>
              <w:rPr>
                <w:rFonts w:hint="eastAsia"/>
              </w:rPr>
              <w:t>2</w:t>
            </w:r>
          </w:p>
        </w:tc>
        <w:tc>
          <w:tcPr>
            <w:tcW w:w="1183" w:type="dxa"/>
            <w:vAlign w:val="center"/>
          </w:tcPr>
          <w:p>
            <w:pPr>
              <w:pStyle w:val="84"/>
            </w:pPr>
            <w:r>
              <w:rPr>
                <w:rFonts w:hint="eastAsia"/>
              </w:rPr>
              <w:t>0.00055</w:t>
            </w:r>
          </w:p>
        </w:tc>
        <w:tc>
          <w:tcPr>
            <w:tcW w:w="1182" w:type="dxa"/>
            <w:vAlign w:val="center"/>
          </w:tcPr>
          <w:p>
            <w:pPr>
              <w:pStyle w:val="84"/>
            </w:pPr>
            <w:r>
              <w:rPr>
                <w:rFonts w:hint="eastAsia"/>
              </w:rPr>
              <w:t>90</w:t>
            </w:r>
          </w:p>
        </w:tc>
        <w:tc>
          <w:tcPr>
            <w:tcW w:w="1182" w:type="dxa"/>
            <w:vAlign w:val="center"/>
          </w:tcPr>
          <w:p>
            <w:pPr>
              <w:pStyle w:val="84"/>
            </w:pPr>
            <w:r>
              <w:rPr>
                <w:rFonts w:hint="eastAsia"/>
              </w:rPr>
              <w:t>0</w:t>
            </w:r>
          </w:p>
        </w:tc>
        <w:tc>
          <w:tcPr>
            <w:tcW w:w="1182" w:type="dxa"/>
            <w:vAlign w:val="center"/>
          </w:tcPr>
          <w:p>
            <w:pPr>
              <w:pStyle w:val="84"/>
            </w:pPr>
            <w:r>
              <w:rPr>
                <w:rFonts w:hint="eastAsia"/>
              </w:rPr>
              <w:t>0</w:t>
            </w:r>
          </w:p>
        </w:tc>
        <w:tc>
          <w:tcPr>
            <w:tcW w:w="1185" w:type="dxa"/>
            <w:vAlign w:val="center"/>
          </w:tcPr>
          <w:p>
            <w:pPr>
              <w:pStyle w:val="84"/>
            </w:pPr>
            <w: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3" w:type="dxa"/>
            <w:vAlign w:val="center"/>
          </w:tcPr>
          <w:p>
            <w:pPr>
              <w:pStyle w:val="84"/>
            </w:pPr>
            <w:r>
              <w:rPr>
                <w:rFonts w:hint="eastAsia"/>
              </w:rPr>
              <w:t>1000</w:t>
            </w:r>
            <w:r>
              <w:t>d</w:t>
            </w:r>
          </w:p>
        </w:tc>
        <w:tc>
          <w:tcPr>
            <w:tcW w:w="1569" w:type="dxa"/>
            <w:vAlign w:val="center"/>
          </w:tcPr>
          <w:p>
            <w:pPr>
              <w:pStyle w:val="84"/>
            </w:pPr>
            <w:r>
              <w:rPr>
                <w:rFonts w:hint="eastAsia"/>
              </w:rPr>
              <w:t>60</w:t>
            </w:r>
          </w:p>
        </w:tc>
        <w:tc>
          <w:tcPr>
            <w:tcW w:w="1183" w:type="dxa"/>
            <w:vAlign w:val="center"/>
          </w:tcPr>
          <w:p>
            <w:pPr>
              <w:pStyle w:val="84"/>
            </w:pPr>
            <w:r>
              <w:rPr>
                <w:rFonts w:hint="eastAsia"/>
              </w:rPr>
              <w:t>0.0002</w:t>
            </w:r>
          </w:p>
        </w:tc>
        <w:tc>
          <w:tcPr>
            <w:tcW w:w="1182" w:type="dxa"/>
            <w:vAlign w:val="center"/>
          </w:tcPr>
          <w:p>
            <w:pPr>
              <w:pStyle w:val="84"/>
            </w:pPr>
            <w:r>
              <w:rPr>
                <w:rFonts w:hint="eastAsia"/>
              </w:rPr>
              <w:t>300</w:t>
            </w:r>
          </w:p>
        </w:tc>
        <w:tc>
          <w:tcPr>
            <w:tcW w:w="1182" w:type="dxa"/>
            <w:vAlign w:val="center"/>
          </w:tcPr>
          <w:p>
            <w:pPr>
              <w:pStyle w:val="84"/>
            </w:pPr>
            <w:r>
              <w:rPr>
                <w:rFonts w:hint="eastAsia"/>
              </w:rPr>
              <w:t>0</w:t>
            </w:r>
          </w:p>
        </w:tc>
        <w:tc>
          <w:tcPr>
            <w:tcW w:w="1182" w:type="dxa"/>
            <w:vAlign w:val="center"/>
          </w:tcPr>
          <w:p>
            <w:pPr>
              <w:pStyle w:val="84"/>
            </w:pPr>
            <w:r>
              <w:rPr>
                <w:rFonts w:hint="eastAsia"/>
              </w:rPr>
              <w:t>0</w:t>
            </w:r>
          </w:p>
        </w:tc>
        <w:tc>
          <w:tcPr>
            <w:tcW w:w="1185" w:type="dxa"/>
            <w:vAlign w:val="center"/>
          </w:tcPr>
          <w:p>
            <w:pPr>
              <w:pStyle w:val="84"/>
            </w:pPr>
            <w:r>
              <w:t>0.5</w:t>
            </w:r>
          </w:p>
        </w:tc>
      </w:tr>
    </w:tbl>
    <w:p>
      <w:pPr>
        <w:pStyle w:val="79"/>
        <w:spacing w:line="240" w:lineRule="auto"/>
        <w:ind w:firstLine="0" w:firstLineChars="0"/>
        <w:jc w:val="center"/>
      </w:pPr>
      <w:r>
        <w:drawing>
          <wp:inline distT="0" distB="0" distL="0" distR="0">
            <wp:extent cx="5514340" cy="3619500"/>
            <wp:effectExtent l="19050" t="19050" r="10160" b="19050"/>
            <wp:docPr id="5" name="图片 5" descr="C:\Users\Administrator\Desktop\100-c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100-cod.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541380" cy="3637178"/>
                    </a:xfrm>
                    <a:prstGeom prst="rect">
                      <a:avLst/>
                    </a:prstGeom>
                    <a:noFill/>
                    <a:ln w="12700">
                      <a:solidFill>
                        <a:schemeClr val="tx1"/>
                      </a:solidFill>
                    </a:ln>
                  </pic:spPr>
                </pic:pic>
              </a:graphicData>
            </a:graphic>
          </wp:inline>
        </w:drawing>
      </w:r>
    </w:p>
    <w:p>
      <w:pPr>
        <w:pStyle w:val="85"/>
      </w:pPr>
      <w:r>
        <w:rPr>
          <w:rFonts w:hint="eastAsia"/>
        </w:rPr>
        <w:t>图5.2-1  下游地下水COD</w:t>
      </w:r>
      <w:r>
        <w:rPr>
          <w:rFonts w:hint="eastAsia"/>
          <w:vertAlign w:val="subscript"/>
        </w:rPr>
        <w:t>Mn</w:t>
      </w:r>
      <w:r>
        <w:rPr>
          <w:rFonts w:hint="eastAsia"/>
        </w:rPr>
        <w:t>第100</w:t>
      </w:r>
      <w:r>
        <w:t>d</w:t>
      </w:r>
      <w:r>
        <w:rPr>
          <w:rFonts w:hint="eastAsia"/>
        </w:rPr>
        <w:t>预测</w:t>
      </w:r>
      <w:r>
        <w:t>值</w:t>
      </w:r>
      <w:r>
        <w:rPr>
          <w:rFonts w:hint="eastAsia"/>
        </w:rPr>
        <w:t>变化</w:t>
      </w:r>
      <w:r>
        <w:t>趋势</w:t>
      </w:r>
    </w:p>
    <w:p>
      <w:pPr>
        <w:pStyle w:val="79"/>
        <w:spacing w:line="240" w:lineRule="auto"/>
        <w:ind w:firstLine="0" w:firstLineChars="0"/>
        <w:jc w:val="center"/>
        <w:rPr>
          <w:b/>
        </w:rPr>
      </w:pPr>
      <w:r>
        <w:rPr>
          <w:b/>
        </w:rPr>
        <w:drawing>
          <wp:inline distT="0" distB="0" distL="0" distR="0">
            <wp:extent cx="5514975" cy="3617595"/>
            <wp:effectExtent l="19050" t="19050" r="9525" b="20955"/>
            <wp:docPr id="909" name="图片 909" descr="C:\Users\Administrator\Desktop\1000-c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C:\Users\Administrator\Desktop\1000-cod.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515200" cy="3618000"/>
                    </a:xfrm>
                    <a:prstGeom prst="rect">
                      <a:avLst/>
                    </a:prstGeom>
                    <a:noFill/>
                    <a:ln w="12700">
                      <a:solidFill>
                        <a:schemeClr val="tx1"/>
                      </a:solidFill>
                    </a:ln>
                  </pic:spPr>
                </pic:pic>
              </a:graphicData>
            </a:graphic>
          </wp:inline>
        </w:drawing>
      </w:r>
    </w:p>
    <w:p>
      <w:pPr>
        <w:pStyle w:val="85"/>
      </w:pPr>
      <w:r>
        <w:rPr>
          <w:rFonts w:hint="eastAsia"/>
        </w:rPr>
        <w:t>图5.2-2  下游地下水COD</w:t>
      </w:r>
      <w:r>
        <w:rPr>
          <w:rFonts w:hint="eastAsia"/>
          <w:vertAlign w:val="subscript"/>
        </w:rPr>
        <w:t>Mn</w:t>
      </w:r>
      <w:r>
        <w:rPr>
          <w:rFonts w:hint="eastAsia"/>
        </w:rPr>
        <w:t>第100</w:t>
      </w:r>
      <w:r>
        <w:t>0d</w:t>
      </w:r>
      <w:r>
        <w:rPr>
          <w:rFonts w:hint="eastAsia"/>
        </w:rPr>
        <w:t>预测</w:t>
      </w:r>
      <w:r>
        <w:t>值</w:t>
      </w:r>
      <w:r>
        <w:rPr>
          <w:rFonts w:hint="eastAsia"/>
        </w:rPr>
        <w:t>变化</w:t>
      </w:r>
      <w:r>
        <w:t>趋势</w:t>
      </w:r>
    </w:p>
    <w:p>
      <w:pPr>
        <w:pStyle w:val="79"/>
        <w:ind w:firstLine="0" w:firstLineChars="0"/>
        <w:jc w:val="center"/>
        <w:rPr>
          <w:b/>
        </w:rPr>
      </w:pPr>
      <w:r>
        <w:rPr>
          <w:b/>
        </w:rPr>
        <w:drawing>
          <wp:inline distT="0" distB="0" distL="0" distR="0">
            <wp:extent cx="5274310" cy="3218180"/>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4" cstate="print"/>
                    <a:srcRect/>
                    <a:stretch>
                      <a:fillRect/>
                    </a:stretch>
                  </pic:blipFill>
                  <pic:spPr>
                    <a:xfrm>
                      <a:off x="0" y="0"/>
                      <a:ext cx="5274310" cy="3218503"/>
                    </a:xfrm>
                    <a:prstGeom prst="rect">
                      <a:avLst/>
                    </a:prstGeom>
                    <a:noFill/>
                    <a:ln w="9525">
                      <a:noFill/>
                      <a:miter lim="800000"/>
                      <a:headEnd/>
                      <a:tailEnd/>
                    </a:ln>
                  </pic:spPr>
                </pic:pic>
              </a:graphicData>
            </a:graphic>
          </wp:inline>
        </w:drawing>
      </w:r>
    </w:p>
    <w:p>
      <w:pPr>
        <w:pStyle w:val="79"/>
        <w:spacing w:line="240" w:lineRule="auto"/>
        <w:ind w:firstLine="0" w:firstLineChars="0"/>
        <w:jc w:val="center"/>
        <w:rPr>
          <w:rFonts w:hAnsi="宋体" w:cs="Times New Roman"/>
          <w:b/>
          <w:sz w:val="21"/>
          <w:szCs w:val="24"/>
        </w:rPr>
      </w:pPr>
      <w:r>
        <w:rPr>
          <w:rFonts w:hint="eastAsia" w:hAnsi="宋体" w:cs="Times New Roman"/>
          <w:b/>
          <w:sz w:val="21"/>
          <w:szCs w:val="24"/>
        </w:rPr>
        <w:t>图5.2-3  下游地下水氨氮第100</w:t>
      </w:r>
      <w:r>
        <w:rPr>
          <w:rFonts w:hAnsi="宋体" w:cs="Times New Roman"/>
          <w:b/>
          <w:sz w:val="21"/>
          <w:szCs w:val="24"/>
        </w:rPr>
        <w:t>d</w:t>
      </w:r>
      <w:r>
        <w:rPr>
          <w:rFonts w:hint="eastAsia" w:hAnsi="宋体" w:cs="Times New Roman"/>
          <w:b/>
          <w:sz w:val="21"/>
          <w:szCs w:val="24"/>
        </w:rPr>
        <w:t>预测</w:t>
      </w:r>
      <w:r>
        <w:rPr>
          <w:rFonts w:hAnsi="宋体" w:cs="Times New Roman"/>
          <w:b/>
          <w:sz w:val="21"/>
          <w:szCs w:val="24"/>
        </w:rPr>
        <w:t>值</w:t>
      </w:r>
      <w:r>
        <w:rPr>
          <w:rFonts w:hint="eastAsia" w:hAnsi="宋体" w:cs="Times New Roman"/>
          <w:b/>
          <w:sz w:val="21"/>
          <w:szCs w:val="24"/>
        </w:rPr>
        <w:t>变化</w:t>
      </w:r>
      <w:r>
        <w:rPr>
          <w:rFonts w:hAnsi="宋体" w:cs="Times New Roman"/>
          <w:b/>
          <w:sz w:val="21"/>
          <w:szCs w:val="24"/>
        </w:rPr>
        <w:t>趋势</w:t>
      </w:r>
    </w:p>
    <w:p>
      <w:pPr>
        <w:pStyle w:val="79"/>
        <w:spacing w:line="240" w:lineRule="auto"/>
        <w:ind w:firstLine="0" w:firstLineChars="0"/>
        <w:jc w:val="center"/>
        <w:rPr>
          <w:b/>
        </w:rPr>
      </w:pPr>
      <w:r>
        <w:rPr>
          <w:b/>
        </w:rPr>
        <w:drawing>
          <wp:inline distT="0" distB="0" distL="0" distR="0">
            <wp:extent cx="5274310" cy="3199765"/>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5" cstate="print"/>
                    <a:srcRect/>
                    <a:stretch>
                      <a:fillRect/>
                    </a:stretch>
                  </pic:blipFill>
                  <pic:spPr>
                    <a:xfrm>
                      <a:off x="0" y="0"/>
                      <a:ext cx="5274310" cy="3200109"/>
                    </a:xfrm>
                    <a:prstGeom prst="rect">
                      <a:avLst/>
                    </a:prstGeom>
                    <a:noFill/>
                    <a:ln w="9525">
                      <a:noFill/>
                      <a:miter lim="800000"/>
                      <a:headEnd/>
                      <a:tailEnd/>
                    </a:ln>
                  </pic:spPr>
                </pic:pic>
              </a:graphicData>
            </a:graphic>
          </wp:inline>
        </w:drawing>
      </w:r>
    </w:p>
    <w:p>
      <w:pPr>
        <w:pStyle w:val="79"/>
        <w:spacing w:line="240" w:lineRule="auto"/>
        <w:ind w:firstLine="0" w:firstLineChars="0"/>
        <w:jc w:val="center"/>
        <w:rPr>
          <w:rFonts w:hAnsi="宋体" w:cs="Times New Roman"/>
          <w:b/>
          <w:sz w:val="21"/>
          <w:szCs w:val="24"/>
        </w:rPr>
      </w:pPr>
      <w:r>
        <w:rPr>
          <w:rFonts w:hint="eastAsia" w:hAnsi="宋体" w:cs="Times New Roman"/>
          <w:b/>
          <w:sz w:val="21"/>
          <w:szCs w:val="24"/>
        </w:rPr>
        <w:t>图5.2-4  下游地下水氨氮第100</w:t>
      </w:r>
      <w:r>
        <w:rPr>
          <w:rFonts w:hAnsi="宋体" w:cs="Times New Roman"/>
          <w:b/>
          <w:sz w:val="21"/>
          <w:szCs w:val="24"/>
        </w:rPr>
        <w:t>0d</w:t>
      </w:r>
      <w:r>
        <w:rPr>
          <w:rFonts w:hint="eastAsia" w:hAnsi="宋体" w:cs="Times New Roman"/>
          <w:b/>
          <w:sz w:val="21"/>
          <w:szCs w:val="24"/>
        </w:rPr>
        <w:t>预测</w:t>
      </w:r>
      <w:r>
        <w:rPr>
          <w:rFonts w:hAnsi="宋体" w:cs="Times New Roman"/>
          <w:b/>
          <w:sz w:val="21"/>
          <w:szCs w:val="24"/>
        </w:rPr>
        <w:t>值</w:t>
      </w:r>
      <w:r>
        <w:rPr>
          <w:rFonts w:hint="eastAsia" w:hAnsi="宋体" w:cs="Times New Roman"/>
          <w:b/>
          <w:sz w:val="21"/>
          <w:szCs w:val="24"/>
        </w:rPr>
        <w:t>变化</w:t>
      </w:r>
      <w:r>
        <w:rPr>
          <w:rFonts w:hAnsi="宋体" w:cs="Times New Roman"/>
          <w:b/>
          <w:sz w:val="21"/>
          <w:szCs w:val="24"/>
        </w:rPr>
        <w:t>趋势</w:t>
      </w:r>
    </w:p>
    <w:p>
      <w:pPr>
        <w:pStyle w:val="79"/>
        <w:spacing w:line="240" w:lineRule="auto"/>
        <w:ind w:firstLine="0" w:firstLineChars="0"/>
        <w:jc w:val="center"/>
        <w:rPr>
          <w:rFonts w:hAnsi="宋体" w:cs="Times New Roman"/>
          <w:b/>
          <w:sz w:val="21"/>
          <w:szCs w:val="24"/>
        </w:rPr>
      </w:pPr>
    </w:p>
    <w:p>
      <w:pPr>
        <w:pStyle w:val="79"/>
        <w:ind w:firstLine="480"/>
      </w:pPr>
      <w:r>
        <w:rPr>
          <w:rFonts w:hint="eastAsia"/>
        </w:rPr>
        <w:t>由上述预测可知，当污水站出现泄漏后，COD</w:t>
      </w:r>
      <w:r>
        <w:rPr>
          <w:rFonts w:hint="eastAsia"/>
          <w:vertAlign w:val="subscript"/>
        </w:rPr>
        <w:t>Mn</w:t>
      </w:r>
      <w:r>
        <w:rPr>
          <w:rFonts w:hint="eastAsia"/>
        </w:rPr>
        <w:t>第100 天的污染物最高点出现在事故源下游</w:t>
      </w:r>
      <w:r>
        <w:t>15</w:t>
      </w:r>
      <w:r>
        <w:rPr>
          <w:rFonts w:hint="eastAsia"/>
        </w:rPr>
        <w:t>m 处，最高点浓度为</w:t>
      </w:r>
      <w:r>
        <w:t>169.90</w:t>
      </w:r>
      <w:r>
        <w:rPr>
          <w:rFonts w:hint="eastAsia"/>
        </w:rPr>
        <w:t>mg/L，最远影响距离为事故源下游</w:t>
      </w:r>
      <w:r>
        <w:t>85</w:t>
      </w:r>
      <w:r>
        <w:rPr>
          <w:rFonts w:hint="eastAsia"/>
        </w:rPr>
        <w:t>m 处；第1000天的污染物最高点出现在事故源下游</w:t>
      </w:r>
      <w:r>
        <w:t>90</w:t>
      </w:r>
      <w:r>
        <w:rPr>
          <w:rFonts w:hint="eastAsia"/>
        </w:rPr>
        <w:t>m 处，最高点浓度</w:t>
      </w:r>
      <w:r>
        <w:t>27.59</w:t>
      </w:r>
      <w:r>
        <w:rPr>
          <w:rFonts w:hint="eastAsia"/>
        </w:rPr>
        <w:t>mg/L，最远影响距离为事故源下游</w:t>
      </w:r>
      <w:r>
        <w:t>300</w:t>
      </w:r>
      <w:r>
        <w:rPr>
          <w:rFonts w:hint="eastAsia"/>
        </w:rPr>
        <w:t>m 处。</w:t>
      </w:r>
    </w:p>
    <w:p>
      <w:pPr>
        <w:pStyle w:val="79"/>
        <w:ind w:firstLine="480"/>
      </w:pPr>
      <w:r>
        <w:rPr>
          <w:rFonts w:hint="eastAsia"/>
        </w:rPr>
        <w:t>氨氮第100 天的污染物最高点出现在事故源下游12m 处，最高点浓度0.00055mg/L，最远影响距离为事故源下游90m处；第1000 天的污染物最高点出现在事故源下游6</w:t>
      </w:r>
      <w:r>
        <w:t>0</w:t>
      </w:r>
      <w:r>
        <w:rPr>
          <w:rFonts w:hint="eastAsia"/>
        </w:rPr>
        <w:t>m 处，最高点浓度0.0002mg/L，最远影响距离为事故源下游</w:t>
      </w:r>
      <w:r>
        <w:t>300</w:t>
      </w:r>
      <w:r>
        <w:rPr>
          <w:rFonts w:hint="eastAsia"/>
        </w:rPr>
        <w:t>m 处。</w:t>
      </w:r>
    </w:p>
    <w:p>
      <w:pPr>
        <w:pStyle w:val="79"/>
        <w:ind w:firstLine="480"/>
      </w:pPr>
      <w:r>
        <w:rPr>
          <w:rFonts w:hint="eastAsia"/>
        </w:rPr>
        <w:t>计算的结果可以看出：随着污水泄漏进入含水层发生时间的延续，同一距离处</w:t>
      </w:r>
      <w:r>
        <w:rPr>
          <w:rFonts w:eastAsia="TimesNewRomanPSMT" w:cs="Times New Roman"/>
        </w:rPr>
        <w:t>COD</w:t>
      </w:r>
      <w:r>
        <w:rPr>
          <w:rFonts w:hint="eastAsia"/>
        </w:rPr>
        <w:t>和氨氮的浓度呈现增大趋势，污染物影响的范围也在增加。在同一时间内，随着距离由近及远，</w:t>
      </w:r>
      <w:r>
        <w:rPr>
          <w:rFonts w:eastAsia="TimesNewRomanPSMT" w:cs="Times New Roman"/>
        </w:rPr>
        <w:t xml:space="preserve">COD </w:t>
      </w:r>
      <w:r>
        <w:rPr>
          <w:rFonts w:cs="Times New Roman"/>
        </w:rPr>
        <w:t>和</w:t>
      </w:r>
      <w:r>
        <w:rPr>
          <w:rFonts w:hint="eastAsia"/>
        </w:rPr>
        <w:t>氨氮浓度均表现出由高及低的规律。</w:t>
      </w:r>
    </w:p>
    <w:p>
      <w:pPr>
        <w:pStyle w:val="79"/>
        <w:ind w:firstLine="480"/>
      </w:pPr>
      <w:r>
        <w:rPr>
          <w:rFonts w:hint="eastAsia"/>
        </w:rPr>
        <w:t>综上所述，正常工况下，地下水污染防治措施到位的情况下，养猪场运营对地下</w:t>
      </w:r>
      <w:r>
        <w:rPr>
          <w:rFonts w:hint="eastAsia" w:ascii="宋体" w:hAnsi="Calibri" w:cs="宋体"/>
          <w:kern w:val="0"/>
          <w:szCs w:val="24"/>
        </w:rPr>
        <w:t>水的环境影响很小。在事故工况下，防渗层发生破损未能有效阻挡污染物的下渗条件下，地下水有发生污染的可能，当然在采取积极防治、及时采取地下水监测、应急响应、地下水污染修复和治理等措施下，可将污染限制在较小范围，对区域内地下水环境的影响很小。</w:t>
      </w:r>
    </w:p>
    <w:p>
      <w:pPr>
        <w:pStyle w:val="5"/>
      </w:pPr>
      <w:r>
        <w:rPr>
          <w:rFonts w:hint="eastAsia"/>
        </w:rPr>
        <w:t>施肥</w:t>
      </w:r>
      <w:r>
        <w:t>还田</w:t>
      </w:r>
      <w:r>
        <w:rPr>
          <w:rFonts w:hint="eastAsia"/>
        </w:rPr>
        <w:t>土地</w:t>
      </w:r>
      <w:r>
        <w:t>利用区域地下水</w:t>
      </w:r>
      <w:r>
        <w:rPr>
          <w:rFonts w:hint="eastAsia"/>
        </w:rPr>
        <w:t>影响</w:t>
      </w:r>
      <w:r>
        <w:t>分析</w:t>
      </w:r>
    </w:p>
    <w:p>
      <w:pPr>
        <w:pStyle w:val="79"/>
        <w:ind w:firstLine="480"/>
        <w:rPr>
          <w:rFonts w:cs="Times New Roman"/>
          <w:highlight w:val="yellow"/>
        </w:rPr>
      </w:pPr>
      <w:r>
        <w:rPr>
          <w:rFonts w:cs="Times New Roman"/>
        </w:rPr>
        <w:t>本项目运营期产生的养殖废水</w:t>
      </w:r>
      <w:r>
        <w:rPr>
          <w:rFonts w:hint="eastAsia" w:cs="Times New Roman"/>
        </w:rPr>
        <w:t>和生活污水全部经“集粪池+固液分离+厌氧发酵”处理后进行种植区的魔芋、特色林果业的农田施肥</w:t>
      </w:r>
      <w:r>
        <w:rPr>
          <w:rFonts w:hint="eastAsia"/>
        </w:rPr>
        <w:t>。废水经处理后，其污染物浓度大大降低，合理施用农肥能够促进土壤团粒结构的形成，增强土壤保水保肥能力，改善土壤理化特性，提高土壤中有机质、总氮、总磷及有效磷等成分，能减少污染，降低施肥成本。对地下水的影响主要考虑对浅层水的影响。但污染物在到达地下水之前要经过包气带下渗，由于土壤有过滤吸附自净能力，可以使污染物的浓度变化，特别是包气带岩层的组成颗粒较细，厚度较大时，可以使污染物含量降低，甚至全部消除，只有那些迁移性较强的物质才能够达到地下水面污染地下水，对深层水影响较小。</w:t>
      </w:r>
    </w:p>
    <w:p>
      <w:pPr>
        <w:pStyle w:val="4"/>
      </w:pPr>
      <w:bookmarkStart w:id="137" w:name="_Toc488102177"/>
      <w:r>
        <w:rPr>
          <w:rFonts w:hint="eastAsia"/>
        </w:rPr>
        <w:t>声环境影响</w:t>
      </w:r>
      <w:bookmarkEnd w:id="137"/>
      <w:r>
        <w:rPr>
          <w:rFonts w:hint="eastAsia"/>
        </w:rPr>
        <w:t>分析</w:t>
      </w:r>
    </w:p>
    <w:p>
      <w:pPr>
        <w:pStyle w:val="5"/>
      </w:pPr>
      <w:r>
        <w:rPr>
          <w:rFonts w:hint="eastAsia"/>
        </w:rPr>
        <w:t>预测</w:t>
      </w:r>
      <w:r>
        <w:t>范围</w:t>
      </w:r>
      <w:r>
        <w:rPr>
          <w:rFonts w:hint="eastAsia"/>
        </w:rPr>
        <w:t>及</w:t>
      </w:r>
      <w:r>
        <w:t>噪声预测</w:t>
      </w:r>
      <w:r>
        <w:rPr>
          <w:rFonts w:hint="eastAsia"/>
        </w:rPr>
        <w:t>点</w:t>
      </w:r>
    </w:p>
    <w:p>
      <w:pPr>
        <w:pStyle w:val="79"/>
        <w:ind w:firstLine="480"/>
      </w:pPr>
      <w:r>
        <w:rPr>
          <w:rFonts w:hint="eastAsia"/>
        </w:rPr>
        <w:t>根据现场调查，项目周围</w:t>
      </w:r>
      <w:r>
        <w:rPr>
          <w:rFonts w:eastAsia="TimesNewRomanPSMT" w:cs="Times New Roman"/>
        </w:rPr>
        <w:t xml:space="preserve">200m </w:t>
      </w:r>
      <w:r>
        <w:rPr>
          <w:rFonts w:cs="Times New Roman"/>
        </w:rPr>
        <w:t>范</w:t>
      </w:r>
      <w:r>
        <w:rPr>
          <w:rFonts w:hint="eastAsia"/>
        </w:rPr>
        <w:t>围内无居民居住，因此本次评价主要预测项目建成投产后厂界的声环境变化情况，评价建设项目在运营期噪声的影响程度、影响范围，给出厂界噪声贡献值达标分析。</w:t>
      </w:r>
    </w:p>
    <w:p>
      <w:pPr>
        <w:pStyle w:val="5"/>
      </w:pPr>
      <w:r>
        <w:rPr>
          <w:rFonts w:hint="eastAsia"/>
        </w:rPr>
        <w:t>源强确定</w:t>
      </w:r>
    </w:p>
    <w:p>
      <w:pPr>
        <w:ind w:firstLine="480"/>
      </w:pPr>
      <w:r>
        <w:rPr>
          <w:rFonts w:hint="eastAsia"/>
        </w:rPr>
        <w:t>项目</w:t>
      </w:r>
      <w:r>
        <w:t>噪声主要来源于猪舍</w:t>
      </w:r>
      <w:r>
        <w:rPr>
          <w:rFonts w:hint="eastAsia"/>
        </w:rPr>
        <w:t>猪叫、换气扇，</w:t>
      </w:r>
      <w:r>
        <w:t>饲料粉碎机，</w:t>
      </w:r>
      <w:r>
        <w:rPr>
          <w:rFonts w:hint="eastAsia"/>
        </w:rPr>
        <w:t>污水</w:t>
      </w:r>
      <w:r>
        <w:t>处理区的</w:t>
      </w:r>
      <w:r>
        <w:rPr>
          <w:rFonts w:hint="eastAsia"/>
        </w:rPr>
        <w:t>水泵、</w:t>
      </w:r>
      <w:r>
        <w:t>固液分离机等</w:t>
      </w:r>
      <w:r>
        <w:rPr>
          <w:rFonts w:hint="eastAsia"/>
        </w:rPr>
        <w:t>机械</w:t>
      </w:r>
      <w:r>
        <w:t>设备，</w:t>
      </w:r>
      <w:r>
        <w:rPr>
          <w:rFonts w:hint="eastAsia"/>
        </w:rPr>
        <w:t>项目</w:t>
      </w:r>
      <w:r>
        <w:t>源强见表</w:t>
      </w:r>
      <w:r>
        <w:rPr>
          <w:rFonts w:hint="eastAsia"/>
        </w:rPr>
        <w:t>5.2-1</w:t>
      </w:r>
      <w:r>
        <w:t>3</w:t>
      </w:r>
      <w:r>
        <w:rPr>
          <w:rFonts w:hint="eastAsia"/>
        </w:rPr>
        <w:t>。</w:t>
      </w:r>
    </w:p>
    <w:p>
      <w:pPr>
        <w:pStyle w:val="85"/>
      </w:pPr>
      <w:r>
        <w:rPr>
          <w:rFonts w:hint="eastAsia"/>
        </w:rPr>
        <w:t>表</w:t>
      </w:r>
      <w:r>
        <w:fldChar w:fldCharType="begin"/>
      </w:r>
      <w:r>
        <w:rPr>
          <w:rFonts w:hint="eastAsia"/>
        </w:rPr>
        <w:instrText xml:space="preserve">STYLEREF 2 \s</w:instrText>
      </w:r>
      <w:r>
        <w:fldChar w:fldCharType="separate"/>
      </w:r>
      <w:r>
        <w:t>5.2</w:t>
      </w:r>
      <w:r>
        <w:fldChar w:fldCharType="end"/>
      </w:r>
      <w:r>
        <w:noBreakHyphen/>
      </w:r>
      <w:r>
        <w:t xml:space="preserve">13 </w:t>
      </w:r>
      <w:r>
        <w:rPr>
          <w:rFonts w:hint="eastAsia"/>
        </w:rPr>
        <w:t>主要产噪设备</w:t>
      </w:r>
      <w:r>
        <w:t>一览表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8"/>
        <w:gridCol w:w="917"/>
        <w:gridCol w:w="1238"/>
        <w:gridCol w:w="962"/>
        <w:gridCol w:w="828"/>
        <w:gridCol w:w="1741"/>
        <w:gridCol w:w="1081"/>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28" w:type="dxa"/>
            <w:vAlign w:val="center"/>
          </w:tcPr>
          <w:p>
            <w:pPr>
              <w:pStyle w:val="40"/>
              <w:rPr>
                <w:szCs w:val="21"/>
              </w:rPr>
            </w:pPr>
            <w:r>
              <w:rPr>
                <w:szCs w:val="21"/>
              </w:rPr>
              <w:t>序号</w:t>
            </w:r>
          </w:p>
        </w:tc>
        <w:tc>
          <w:tcPr>
            <w:tcW w:w="917" w:type="dxa"/>
            <w:vAlign w:val="center"/>
          </w:tcPr>
          <w:p>
            <w:pPr>
              <w:pStyle w:val="40"/>
              <w:rPr>
                <w:szCs w:val="21"/>
              </w:rPr>
            </w:pPr>
            <w:r>
              <w:rPr>
                <w:rFonts w:hint="eastAsia"/>
                <w:szCs w:val="21"/>
              </w:rPr>
              <w:t>声源</w:t>
            </w:r>
          </w:p>
          <w:p>
            <w:pPr>
              <w:pStyle w:val="40"/>
              <w:rPr>
                <w:szCs w:val="21"/>
              </w:rPr>
            </w:pPr>
            <w:r>
              <w:rPr>
                <w:szCs w:val="21"/>
              </w:rPr>
              <w:t>位置</w:t>
            </w:r>
          </w:p>
        </w:tc>
        <w:tc>
          <w:tcPr>
            <w:tcW w:w="1238" w:type="dxa"/>
            <w:vAlign w:val="center"/>
          </w:tcPr>
          <w:p>
            <w:pPr>
              <w:pStyle w:val="40"/>
              <w:rPr>
                <w:szCs w:val="21"/>
              </w:rPr>
            </w:pPr>
            <w:r>
              <w:rPr>
                <w:rFonts w:hint="eastAsia"/>
                <w:szCs w:val="21"/>
              </w:rPr>
              <w:t>噪声</w:t>
            </w:r>
            <w:r>
              <w:rPr>
                <w:szCs w:val="21"/>
              </w:rPr>
              <w:t>源</w:t>
            </w:r>
          </w:p>
          <w:p>
            <w:pPr>
              <w:pStyle w:val="40"/>
              <w:rPr>
                <w:szCs w:val="21"/>
              </w:rPr>
            </w:pPr>
            <w:r>
              <w:rPr>
                <w:szCs w:val="21"/>
              </w:rPr>
              <w:t>名称</w:t>
            </w:r>
          </w:p>
        </w:tc>
        <w:tc>
          <w:tcPr>
            <w:tcW w:w="962" w:type="dxa"/>
            <w:vAlign w:val="center"/>
          </w:tcPr>
          <w:p>
            <w:pPr>
              <w:pStyle w:val="40"/>
              <w:rPr>
                <w:szCs w:val="21"/>
              </w:rPr>
            </w:pPr>
            <w:r>
              <w:rPr>
                <w:rFonts w:hint="eastAsia"/>
                <w:szCs w:val="21"/>
              </w:rPr>
              <w:t>台数</w:t>
            </w:r>
          </w:p>
          <w:p>
            <w:pPr>
              <w:pStyle w:val="40"/>
              <w:rPr>
                <w:szCs w:val="21"/>
              </w:rPr>
            </w:pPr>
            <w:r>
              <w:rPr>
                <w:rFonts w:hint="eastAsia"/>
                <w:szCs w:val="21"/>
              </w:rPr>
              <w:t>（台/套）</w:t>
            </w:r>
          </w:p>
        </w:tc>
        <w:tc>
          <w:tcPr>
            <w:tcW w:w="828" w:type="dxa"/>
            <w:vAlign w:val="center"/>
          </w:tcPr>
          <w:p>
            <w:pPr>
              <w:pStyle w:val="40"/>
              <w:rPr>
                <w:szCs w:val="21"/>
              </w:rPr>
            </w:pPr>
            <w:r>
              <w:rPr>
                <w:szCs w:val="21"/>
              </w:rPr>
              <w:t>噪声级dB</w:t>
            </w:r>
            <w:r>
              <w:rPr>
                <w:rFonts w:hint="eastAsia"/>
                <w:szCs w:val="21"/>
              </w:rPr>
              <w:t>（</w:t>
            </w:r>
            <w:r>
              <w:rPr>
                <w:szCs w:val="21"/>
              </w:rPr>
              <w:t>A</w:t>
            </w:r>
            <w:r>
              <w:rPr>
                <w:rFonts w:hint="eastAsia"/>
                <w:szCs w:val="21"/>
              </w:rPr>
              <w:t>）</w:t>
            </w:r>
          </w:p>
        </w:tc>
        <w:tc>
          <w:tcPr>
            <w:tcW w:w="1741" w:type="dxa"/>
            <w:vAlign w:val="center"/>
          </w:tcPr>
          <w:p>
            <w:pPr>
              <w:pStyle w:val="40"/>
              <w:rPr>
                <w:szCs w:val="21"/>
              </w:rPr>
            </w:pPr>
            <w:r>
              <w:rPr>
                <w:szCs w:val="21"/>
              </w:rPr>
              <w:t>治理措施</w:t>
            </w:r>
          </w:p>
        </w:tc>
        <w:tc>
          <w:tcPr>
            <w:tcW w:w="1081" w:type="dxa"/>
            <w:vAlign w:val="center"/>
          </w:tcPr>
          <w:p>
            <w:pPr>
              <w:pStyle w:val="40"/>
              <w:rPr>
                <w:szCs w:val="21"/>
              </w:rPr>
            </w:pPr>
            <w:r>
              <w:rPr>
                <w:szCs w:val="21"/>
              </w:rPr>
              <w:t>降噪效果dB（A）</w:t>
            </w:r>
          </w:p>
        </w:tc>
        <w:tc>
          <w:tcPr>
            <w:tcW w:w="1081" w:type="dxa"/>
            <w:vAlign w:val="center"/>
          </w:tcPr>
          <w:p>
            <w:pPr>
              <w:spacing w:line="240" w:lineRule="auto"/>
              <w:ind w:firstLine="0" w:firstLineChars="0"/>
              <w:jc w:val="center"/>
              <w:rPr>
                <w:sz w:val="21"/>
                <w:szCs w:val="21"/>
              </w:rPr>
            </w:pPr>
            <w:r>
              <w:rPr>
                <w:sz w:val="21"/>
                <w:szCs w:val="21"/>
              </w:rPr>
              <w:t>治理后</w:t>
            </w:r>
          </w:p>
          <w:p>
            <w:pPr>
              <w:pStyle w:val="40"/>
              <w:rPr>
                <w:szCs w:val="21"/>
              </w:rPr>
            </w:pPr>
            <w:r>
              <w:rPr>
                <w:szCs w:val="21"/>
              </w:rPr>
              <w:t>噪声级dB</w:t>
            </w:r>
            <w:r>
              <w:rPr>
                <w:rFonts w:hint="eastAsia"/>
                <w:szCs w:val="21"/>
              </w:rPr>
              <w:t>（</w:t>
            </w:r>
            <w:r>
              <w:rPr>
                <w:szCs w:val="21"/>
              </w:rPr>
              <w:t>A</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8" w:type="dxa"/>
            <w:vAlign w:val="center"/>
          </w:tcPr>
          <w:p>
            <w:pPr>
              <w:pStyle w:val="40"/>
              <w:numPr>
                <w:ilvl w:val="0"/>
                <w:numId w:val="16"/>
              </w:numPr>
              <w:rPr>
                <w:szCs w:val="21"/>
              </w:rPr>
            </w:pPr>
          </w:p>
        </w:tc>
        <w:tc>
          <w:tcPr>
            <w:tcW w:w="917" w:type="dxa"/>
            <w:vMerge w:val="restart"/>
            <w:vAlign w:val="center"/>
          </w:tcPr>
          <w:p>
            <w:pPr>
              <w:autoSpaceDE w:val="0"/>
              <w:autoSpaceDN w:val="0"/>
              <w:snapToGrid/>
              <w:spacing w:line="240" w:lineRule="auto"/>
              <w:ind w:firstLine="0" w:firstLineChars="0"/>
              <w:jc w:val="center"/>
              <w:textAlignment w:val="bottom"/>
              <w:rPr>
                <w:kern w:val="0"/>
                <w:sz w:val="21"/>
                <w:szCs w:val="21"/>
                <w:highlight w:val="yellow"/>
              </w:rPr>
            </w:pPr>
            <w:r>
              <w:rPr>
                <w:rFonts w:hint="eastAsia"/>
                <w:kern w:val="0"/>
                <w:sz w:val="21"/>
                <w:szCs w:val="21"/>
              </w:rPr>
              <w:t>猪舍</w:t>
            </w:r>
          </w:p>
        </w:tc>
        <w:tc>
          <w:tcPr>
            <w:tcW w:w="123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猪叫</w:t>
            </w:r>
            <w:r>
              <w:rPr>
                <w:kern w:val="0"/>
                <w:sz w:val="21"/>
                <w:szCs w:val="21"/>
              </w:rPr>
              <w:t>声</w:t>
            </w:r>
          </w:p>
        </w:tc>
        <w:tc>
          <w:tcPr>
            <w:tcW w:w="962"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82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60</w:t>
            </w:r>
            <w:r>
              <w:rPr>
                <w:kern w:val="0"/>
                <w:sz w:val="21"/>
                <w:szCs w:val="21"/>
              </w:rPr>
              <w:t>~80</w:t>
            </w:r>
          </w:p>
        </w:tc>
        <w:tc>
          <w:tcPr>
            <w:tcW w:w="1741" w:type="dxa"/>
            <w:vMerge w:val="restart"/>
            <w:vAlign w:val="center"/>
          </w:tcPr>
          <w:p>
            <w:pPr>
              <w:pStyle w:val="40"/>
              <w:rPr>
                <w:szCs w:val="21"/>
              </w:rPr>
            </w:pPr>
            <w:r>
              <w:rPr>
                <w:rFonts w:hint="eastAsia"/>
                <w:kern w:val="0"/>
                <w:szCs w:val="21"/>
              </w:rPr>
              <w:t>厂房</w:t>
            </w:r>
            <w:r>
              <w:rPr>
                <w:kern w:val="0"/>
                <w:szCs w:val="21"/>
              </w:rPr>
              <w:t>隔声，避免饥渴及突发噪声</w:t>
            </w:r>
            <w:r>
              <w:rPr>
                <w:rFonts w:hint="eastAsia"/>
                <w:kern w:val="0"/>
                <w:szCs w:val="21"/>
              </w:rPr>
              <w:t>，选用</w:t>
            </w:r>
            <w:r>
              <w:rPr>
                <w:kern w:val="0"/>
                <w:szCs w:val="21"/>
              </w:rPr>
              <w:t>低噪声设备，加减振基础、设置在厂房内、</w:t>
            </w:r>
            <w:r>
              <w:rPr>
                <w:rFonts w:hint="eastAsia"/>
                <w:kern w:val="0"/>
                <w:szCs w:val="21"/>
              </w:rPr>
              <w:t>厂房</w:t>
            </w:r>
            <w:r>
              <w:rPr>
                <w:kern w:val="0"/>
                <w:szCs w:val="21"/>
              </w:rPr>
              <w:t>及窗户封闭，排风口安装消声器</w:t>
            </w: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15</w:t>
            </w: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8" w:type="dxa"/>
            <w:vAlign w:val="center"/>
          </w:tcPr>
          <w:p>
            <w:pPr>
              <w:pStyle w:val="40"/>
              <w:numPr>
                <w:ilvl w:val="0"/>
                <w:numId w:val="16"/>
              </w:numPr>
              <w:rPr>
                <w:szCs w:val="21"/>
              </w:rPr>
            </w:pPr>
          </w:p>
        </w:tc>
        <w:tc>
          <w:tcPr>
            <w:tcW w:w="917" w:type="dxa"/>
            <w:vMerge w:val="continue"/>
            <w:vAlign w:val="center"/>
          </w:tcPr>
          <w:p>
            <w:pPr>
              <w:pStyle w:val="40"/>
              <w:rPr>
                <w:szCs w:val="21"/>
              </w:rPr>
            </w:pPr>
          </w:p>
        </w:tc>
        <w:tc>
          <w:tcPr>
            <w:tcW w:w="123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0"/>
              </w:rPr>
              <w:t>换气扇</w:t>
            </w:r>
          </w:p>
        </w:tc>
        <w:tc>
          <w:tcPr>
            <w:tcW w:w="962"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0"/>
              </w:rPr>
              <w:t>80</w:t>
            </w:r>
          </w:p>
        </w:tc>
        <w:tc>
          <w:tcPr>
            <w:tcW w:w="82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75</w:t>
            </w:r>
            <w:r>
              <w:rPr>
                <w:kern w:val="0"/>
                <w:sz w:val="21"/>
                <w:szCs w:val="21"/>
              </w:rPr>
              <w:t>~80</w:t>
            </w:r>
          </w:p>
        </w:tc>
        <w:tc>
          <w:tcPr>
            <w:tcW w:w="1741" w:type="dxa"/>
            <w:vMerge w:val="continue"/>
            <w:vAlign w:val="center"/>
          </w:tcPr>
          <w:p>
            <w:pPr>
              <w:pStyle w:val="40"/>
              <w:rPr>
                <w:szCs w:val="21"/>
              </w:rPr>
            </w:pP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w:t>
            </w:r>
            <w:r>
              <w:rPr>
                <w:kern w:val="0"/>
                <w:sz w:val="21"/>
                <w:szCs w:val="21"/>
              </w:rPr>
              <w:t>5</w:t>
            </w: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8" w:type="dxa"/>
            <w:vAlign w:val="center"/>
          </w:tcPr>
          <w:p>
            <w:pPr>
              <w:pStyle w:val="40"/>
              <w:numPr>
                <w:ilvl w:val="0"/>
                <w:numId w:val="16"/>
              </w:numPr>
              <w:rPr>
                <w:szCs w:val="21"/>
              </w:rPr>
            </w:pPr>
          </w:p>
        </w:tc>
        <w:tc>
          <w:tcPr>
            <w:tcW w:w="917" w:type="dxa"/>
            <w:vAlign w:val="center"/>
          </w:tcPr>
          <w:p>
            <w:pPr>
              <w:pStyle w:val="40"/>
              <w:rPr>
                <w:szCs w:val="21"/>
              </w:rPr>
            </w:pPr>
            <w:r>
              <w:rPr>
                <w:rFonts w:hint="eastAsia"/>
                <w:szCs w:val="21"/>
              </w:rPr>
              <w:t>饲料加工/库房</w:t>
            </w: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粉碎机</w:t>
            </w:r>
          </w:p>
        </w:tc>
        <w:tc>
          <w:tcPr>
            <w:tcW w:w="96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82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80~85</w:t>
            </w:r>
          </w:p>
        </w:tc>
        <w:tc>
          <w:tcPr>
            <w:tcW w:w="1741" w:type="dxa"/>
            <w:vMerge w:val="continue"/>
            <w:vAlign w:val="center"/>
          </w:tcPr>
          <w:p>
            <w:pPr>
              <w:pStyle w:val="40"/>
              <w:rPr>
                <w:szCs w:val="21"/>
              </w:rPr>
            </w:pP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15</w:t>
            </w: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8" w:type="dxa"/>
            <w:vAlign w:val="center"/>
          </w:tcPr>
          <w:p>
            <w:pPr>
              <w:pStyle w:val="40"/>
              <w:numPr>
                <w:ilvl w:val="0"/>
                <w:numId w:val="16"/>
              </w:numPr>
              <w:rPr>
                <w:szCs w:val="21"/>
              </w:rPr>
            </w:pPr>
          </w:p>
        </w:tc>
        <w:tc>
          <w:tcPr>
            <w:tcW w:w="917" w:type="dxa"/>
            <w:vMerge w:val="restart"/>
            <w:vAlign w:val="center"/>
          </w:tcPr>
          <w:p>
            <w:pPr>
              <w:autoSpaceDE w:val="0"/>
              <w:autoSpaceDN w:val="0"/>
              <w:snapToGrid/>
              <w:spacing w:line="240" w:lineRule="auto"/>
              <w:ind w:firstLine="0" w:firstLineChars="0"/>
              <w:jc w:val="center"/>
              <w:textAlignment w:val="bottom"/>
              <w:rPr>
                <w:kern w:val="0"/>
                <w:sz w:val="21"/>
                <w:szCs w:val="21"/>
                <w:highlight w:val="yellow"/>
              </w:rPr>
            </w:pPr>
            <w:r>
              <w:rPr>
                <w:rFonts w:hint="eastAsia"/>
                <w:kern w:val="0"/>
                <w:sz w:val="21"/>
                <w:szCs w:val="21"/>
              </w:rPr>
              <w:t>污水</w:t>
            </w:r>
            <w:r>
              <w:rPr>
                <w:kern w:val="0"/>
                <w:sz w:val="21"/>
                <w:szCs w:val="21"/>
              </w:rPr>
              <w:t>处理</w:t>
            </w:r>
          </w:p>
        </w:tc>
        <w:tc>
          <w:tcPr>
            <w:tcW w:w="123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泵</w:t>
            </w:r>
          </w:p>
        </w:tc>
        <w:tc>
          <w:tcPr>
            <w:tcW w:w="962"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1</w:t>
            </w:r>
          </w:p>
        </w:tc>
        <w:tc>
          <w:tcPr>
            <w:tcW w:w="82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80</w:t>
            </w:r>
            <w:r>
              <w:rPr>
                <w:kern w:val="0"/>
                <w:sz w:val="21"/>
                <w:szCs w:val="21"/>
              </w:rPr>
              <w:t>~85</w:t>
            </w:r>
          </w:p>
        </w:tc>
        <w:tc>
          <w:tcPr>
            <w:tcW w:w="1741" w:type="dxa"/>
            <w:vMerge w:val="continue"/>
            <w:vAlign w:val="center"/>
          </w:tcPr>
          <w:p>
            <w:pPr>
              <w:pStyle w:val="40"/>
              <w:rPr>
                <w:szCs w:val="21"/>
              </w:rPr>
            </w:pP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w:t>
            </w:r>
            <w:r>
              <w:rPr>
                <w:kern w:val="0"/>
                <w:sz w:val="21"/>
                <w:szCs w:val="21"/>
              </w:rPr>
              <w:t>5</w:t>
            </w: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8" w:type="dxa"/>
            <w:vAlign w:val="center"/>
          </w:tcPr>
          <w:p>
            <w:pPr>
              <w:pStyle w:val="40"/>
              <w:numPr>
                <w:ilvl w:val="0"/>
                <w:numId w:val="16"/>
              </w:numPr>
              <w:rPr>
                <w:szCs w:val="21"/>
              </w:rPr>
            </w:pPr>
          </w:p>
        </w:tc>
        <w:tc>
          <w:tcPr>
            <w:tcW w:w="917" w:type="dxa"/>
            <w:vMerge w:val="continue"/>
            <w:vAlign w:val="center"/>
          </w:tcPr>
          <w:p>
            <w:pPr>
              <w:pStyle w:val="40"/>
              <w:rPr>
                <w:szCs w:val="21"/>
                <w:highlight w:val="yellow"/>
              </w:rPr>
            </w:pPr>
          </w:p>
        </w:tc>
        <w:tc>
          <w:tcPr>
            <w:tcW w:w="123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固液</w:t>
            </w:r>
            <w:r>
              <w:rPr>
                <w:kern w:val="0"/>
                <w:sz w:val="21"/>
                <w:szCs w:val="21"/>
              </w:rPr>
              <w:t>分离机</w:t>
            </w:r>
          </w:p>
        </w:tc>
        <w:tc>
          <w:tcPr>
            <w:tcW w:w="962"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w:t>
            </w:r>
          </w:p>
        </w:tc>
        <w:tc>
          <w:tcPr>
            <w:tcW w:w="82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80</w:t>
            </w:r>
            <w:r>
              <w:rPr>
                <w:kern w:val="0"/>
                <w:sz w:val="21"/>
                <w:szCs w:val="21"/>
              </w:rPr>
              <w:t>~85</w:t>
            </w:r>
          </w:p>
        </w:tc>
        <w:tc>
          <w:tcPr>
            <w:tcW w:w="1741" w:type="dxa"/>
            <w:vMerge w:val="continue"/>
            <w:vAlign w:val="center"/>
          </w:tcPr>
          <w:p>
            <w:pPr>
              <w:pStyle w:val="40"/>
              <w:rPr>
                <w:szCs w:val="21"/>
              </w:rPr>
            </w:pP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w:t>
            </w:r>
            <w:r>
              <w:rPr>
                <w:kern w:val="0"/>
                <w:sz w:val="21"/>
                <w:szCs w:val="21"/>
              </w:rPr>
              <w:t>5</w:t>
            </w:r>
          </w:p>
        </w:tc>
        <w:tc>
          <w:tcPr>
            <w:tcW w:w="108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65</w:t>
            </w:r>
          </w:p>
        </w:tc>
      </w:tr>
    </w:tbl>
    <w:p>
      <w:pPr>
        <w:pStyle w:val="79"/>
        <w:ind w:firstLine="480"/>
      </w:pPr>
      <w:bookmarkStart w:id="138" w:name="_Toc24493"/>
      <w:bookmarkStart w:id="139" w:name="_Toc17870"/>
      <w:bookmarkStart w:id="140" w:name="_Toc21270"/>
      <w:r>
        <w:rPr>
          <w:rFonts w:hint="eastAsia"/>
        </w:rPr>
        <w:t>项目</w:t>
      </w:r>
      <w:r>
        <w:t>各噪声源距离每个场</w:t>
      </w:r>
      <w:r>
        <w:rPr>
          <w:rFonts w:hint="eastAsia"/>
        </w:rPr>
        <w:t>地</w:t>
      </w:r>
      <w:r>
        <w:t>厂界的最近距离见表</w:t>
      </w:r>
      <w:r>
        <w:rPr>
          <w:rFonts w:hint="eastAsia"/>
        </w:rPr>
        <w:t>5.2-</w:t>
      </w:r>
      <w:r>
        <w:t>14</w:t>
      </w:r>
      <w:r>
        <w:rPr>
          <w:rFonts w:hint="eastAsia"/>
        </w:rPr>
        <w:t>。</w:t>
      </w:r>
    </w:p>
    <w:p>
      <w:pPr>
        <w:pStyle w:val="41"/>
        <w:rPr>
          <w:rFonts w:eastAsia="宋体"/>
        </w:rPr>
      </w:pPr>
      <w:r>
        <w:rPr>
          <w:rFonts w:hint="eastAsia" w:ascii="宋体" w:hAnsi="宋体" w:eastAsia="宋体" w:cs="宋体"/>
        </w:rPr>
        <w:t>表</w:t>
      </w:r>
      <w:r>
        <w:rPr>
          <w:rFonts w:hAnsi="Times New Roman" w:eastAsia="宋体"/>
        </w:rPr>
        <w:fldChar w:fldCharType="begin"/>
      </w:r>
      <w:r>
        <w:rPr>
          <w:rFonts w:hAnsi="Times New Roman" w:eastAsia="宋体"/>
        </w:rPr>
        <w:instrText xml:space="preserve">STYLEREF 2 \s</w:instrText>
      </w:r>
      <w:r>
        <w:rPr>
          <w:rFonts w:hAnsi="Times New Roman" w:eastAsia="宋体"/>
        </w:rPr>
        <w:fldChar w:fldCharType="separate"/>
      </w:r>
      <w:r>
        <w:rPr>
          <w:rFonts w:hAnsi="Times New Roman" w:eastAsia="宋体"/>
        </w:rPr>
        <w:t>5.2</w:t>
      </w:r>
      <w:r>
        <w:rPr>
          <w:rFonts w:hAnsi="Times New Roman" w:eastAsia="宋体"/>
        </w:rPr>
        <w:fldChar w:fldCharType="end"/>
      </w:r>
      <w:r>
        <w:rPr>
          <w:rFonts w:hAnsi="Times New Roman" w:eastAsia="宋体"/>
        </w:rPr>
        <w:noBreakHyphen/>
      </w:r>
      <w:r>
        <w:rPr>
          <w:rFonts w:hAnsi="Times New Roman" w:eastAsia="宋体"/>
        </w:rPr>
        <w:t xml:space="preserve">14 </w:t>
      </w:r>
      <w:r>
        <w:rPr>
          <w:rFonts w:hint="eastAsia" w:eastAsia="宋体"/>
        </w:rPr>
        <w:t>主要产噪设备及距离</w:t>
      </w:r>
      <w:r>
        <w:rPr>
          <w:rFonts w:eastAsia="宋体"/>
        </w:rPr>
        <w:t>厂界的最近距离</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462"/>
        <w:gridCol w:w="1346"/>
        <w:gridCol w:w="1245"/>
        <w:gridCol w:w="1245"/>
        <w:gridCol w:w="1243"/>
        <w:gridCol w:w="12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92" w:type="dxa"/>
            <w:vMerge w:val="restart"/>
            <w:vAlign w:val="center"/>
          </w:tcPr>
          <w:p>
            <w:pPr>
              <w:pStyle w:val="40"/>
            </w:pPr>
            <w:r>
              <w:t>序号</w:t>
            </w:r>
          </w:p>
        </w:tc>
        <w:tc>
          <w:tcPr>
            <w:tcW w:w="1462" w:type="dxa"/>
            <w:vMerge w:val="restart"/>
            <w:vAlign w:val="center"/>
          </w:tcPr>
          <w:p>
            <w:pPr>
              <w:pStyle w:val="40"/>
            </w:pPr>
            <w:r>
              <w:rPr>
                <w:rFonts w:hint="eastAsia"/>
              </w:rPr>
              <w:t>声源</w:t>
            </w:r>
            <w:r>
              <w:t>位置</w:t>
            </w:r>
          </w:p>
        </w:tc>
        <w:tc>
          <w:tcPr>
            <w:tcW w:w="1346" w:type="dxa"/>
            <w:vMerge w:val="restart"/>
            <w:vAlign w:val="center"/>
          </w:tcPr>
          <w:p>
            <w:pPr>
              <w:pStyle w:val="40"/>
            </w:pPr>
            <w:r>
              <w:rPr>
                <w:rFonts w:hint="eastAsia"/>
              </w:rPr>
              <w:t>噪声</w:t>
            </w:r>
            <w:r>
              <w:t>源名称</w:t>
            </w:r>
          </w:p>
        </w:tc>
        <w:tc>
          <w:tcPr>
            <w:tcW w:w="4976" w:type="dxa"/>
            <w:gridSpan w:val="4"/>
            <w:vAlign w:val="center"/>
          </w:tcPr>
          <w:p>
            <w:pPr>
              <w:pStyle w:val="40"/>
            </w:pPr>
            <w:r>
              <w:rPr>
                <w:szCs w:val="21"/>
              </w:rPr>
              <w:t>距最近厂界监测点位的最近距离（m）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92" w:type="dxa"/>
            <w:vMerge w:val="continue"/>
            <w:vAlign w:val="center"/>
          </w:tcPr>
          <w:p>
            <w:pPr>
              <w:pStyle w:val="40"/>
            </w:pPr>
          </w:p>
        </w:tc>
        <w:tc>
          <w:tcPr>
            <w:tcW w:w="1462" w:type="dxa"/>
            <w:vMerge w:val="continue"/>
            <w:vAlign w:val="center"/>
          </w:tcPr>
          <w:p>
            <w:pPr>
              <w:pStyle w:val="40"/>
            </w:pPr>
          </w:p>
        </w:tc>
        <w:tc>
          <w:tcPr>
            <w:tcW w:w="1346" w:type="dxa"/>
            <w:vMerge w:val="continue"/>
            <w:vAlign w:val="center"/>
          </w:tcPr>
          <w:p>
            <w:pPr>
              <w:pStyle w:val="40"/>
            </w:pPr>
          </w:p>
        </w:tc>
        <w:tc>
          <w:tcPr>
            <w:tcW w:w="1245" w:type="dxa"/>
            <w:vAlign w:val="center"/>
          </w:tcPr>
          <w:p>
            <w:pPr>
              <w:pStyle w:val="84"/>
            </w:pPr>
            <w:r>
              <w:t>东厂界</w:t>
            </w:r>
          </w:p>
        </w:tc>
        <w:tc>
          <w:tcPr>
            <w:tcW w:w="1245" w:type="dxa"/>
            <w:vAlign w:val="center"/>
          </w:tcPr>
          <w:p>
            <w:pPr>
              <w:pStyle w:val="84"/>
            </w:pPr>
            <w:r>
              <w:t>南厂界</w:t>
            </w:r>
          </w:p>
        </w:tc>
        <w:tc>
          <w:tcPr>
            <w:tcW w:w="1243" w:type="dxa"/>
            <w:vAlign w:val="center"/>
          </w:tcPr>
          <w:p>
            <w:pPr>
              <w:pStyle w:val="84"/>
            </w:pPr>
            <w:r>
              <w:t>西厂界</w:t>
            </w:r>
          </w:p>
        </w:tc>
        <w:tc>
          <w:tcPr>
            <w:tcW w:w="1243" w:type="dxa"/>
            <w:vAlign w:val="center"/>
          </w:tcPr>
          <w:p>
            <w:pPr>
              <w:pStyle w:val="84"/>
            </w:pPr>
            <w: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Align w:val="center"/>
          </w:tcPr>
          <w:p>
            <w:pPr>
              <w:pStyle w:val="40"/>
              <w:numPr>
                <w:ilvl w:val="0"/>
                <w:numId w:val="17"/>
              </w:numPr>
            </w:pPr>
          </w:p>
        </w:tc>
        <w:tc>
          <w:tcPr>
            <w:tcW w:w="1462" w:type="dxa"/>
            <w:vMerge w:val="restart"/>
            <w:vAlign w:val="center"/>
          </w:tcPr>
          <w:p>
            <w:pPr>
              <w:autoSpaceDE w:val="0"/>
              <w:autoSpaceDN w:val="0"/>
              <w:snapToGrid/>
              <w:spacing w:line="240" w:lineRule="auto"/>
              <w:ind w:firstLine="0" w:firstLineChars="0"/>
              <w:jc w:val="center"/>
              <w:textAlignment w:val="bottom"/>
              <w:rPr>
                <w:kern w:val="0"/>
                <w:sz w:val="21"/>
                <w:szCs w:val="20"/>
                <w:highlight w:val="yellow"/>
              </w:rPr>
            </w:pPr>
            <w:r>
              <w:rPr>
                <w:rFonts w:hint="eastAsia"/>
                <w:kern w:val="0"/>
                <w:sz w:val="21"/>
                <w:szCs w:val="20"/>
              </w:rPr>
              <w:t>猪舍</w:t>
            </w:r>
          </w:p>
        </w:tc>
        <w:tc>
          <w:tcPr>
            <w:tcW w:w="134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猪叫</w:t>
            </w:r>
            <w:r>
              <w:rPr>
                <w:kern w:val="0"/>
                <w:sz w:val="21"/>
                <w:szCs w:val="20"/>
              </w:rPr>
              <w:t>声</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30</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14</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Align w:val="center"/>
          </w:tcPr>
          <w:p>
            <w:pPr>
              <w:pStyle w:val="40"/>
              <w:numPr>
                <w:ilvl w:val="0"/>
                <w:numId w:val="17"/>
              </w:numPr>
            </w:pPr>
          </w:p>
        </w:tc>
        <w:tc>
          <w:tcPr>
            <w:tcW w:w="1462" w:type="dxa"/>
            <w:vMerge w:val="continue"/>
            <w:vAlign w:val="center"/>
          </w:tcPr>
          <w:p>
            <w:pPr>
              <w:pStyle w:val="40"/>
            </w:pPr>
          </w:p>
        </w:tc>
        <w:tc>
          <w:tcPr>
            <w:tcW w:w="134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换气扇</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r>
              <w:rPr>
                <w:rFonts w:hint="eastAsia"/>
                <w:kern w:val="0"/>
                <w:sz w:val="21"/>
                <w:szCs w:val="20"/>
              </w:rPr>
              <w:t>8</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17</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22</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Align w:val="center"/>
          </w:tcPr>
          <w:p>
            <w:pPr>
              <w:pStyle w:val="40"/>
              <w:numPr>
                <w:ilvl w:val="0"/>
                <w:numId w:val="17"/>
              </w:numPr>
            </w:pPr>
          </w:p>
        </w:tc>
        <w:tc>
          <w:tcPr>
            <w:tcW w:w="1462" w:type="dxa"/>
            <w:vAlign w:val="center"/>
          </w:tcPr>
          <w:p>
            <w:pPr>
              <w:pStyle w:val="40"/>
            </w:pPr>
            <w:r>
              <w:rPr>
                <w:rFonts w:hint="eastAsia"/>
              </w:rPr>
              <w:t>饲料</w:t>
            </w:r>
            <w:r>
              <w:t>加工</w:t>
            </w:r>
            <w:r>
              <w:rPr>
                <w:rFonts w:hint="eastAsia"/>
              </w:rPr>
              <w:t>/库房</w:t>
            </w:r>
          </w:p>
        </w:tc>
        <w:tc>
          <w:tcPr>
            <w:tcW w:w="134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粉碎机</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30</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50</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Align w:val="center"/>
          </w:tcPr>
          <w:p>
            <w:pPr>
              <w:pStyle w:val="40"/>
              <w:numPr>
                <w:ilvl w:val="0"/>
                <w:numId w:val="17"/>
              </w:numPr>
            </w:pPr>
          </w:p>
        </w:tc>
        <w:tc>
          <w:tcPr>
            <w:tcW w:w="1462"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污水</w:t>
            </w:r>
            <w:r>
              <w:rPr>
                <w:kern w:val="0"/>
                <w:sz w:val="21"/>
                <w:szCs w:val="20"/>
              </w:rPr>
              <w:t>处理区</w:t>
            </w:r>
          </w:p>
        </w:tc>
        <w:tc>
          <w:tcPr>
            <w:tcW w:w="134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水泵</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40</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2" w:type="dxa"/>
            <w:vAlign w:val="center"/>
          </w:tcPr>
          <w:p>
            <w:pPr>
              <w:pStyle w:val="40"/>
              <w:numPr>
                <w:ilvl w:val="0"/>
                <w:numId w:val="17"/>
              </w:numPr>
            </w:pPr>
          </w:p>
        </w:tc>
        <w:tc>
          <w:tcPr>
            <w:tcW w:w="1462" w:type="dxa"/>
            <w:vMerge w:val="continue"/>
            <w:vAlign w:val="center"/>
          </w:tcPr>
          <w:p>
            <w:pPr>
              <w:pStyle w:val="40"/>
            </w:pPr>
          </w:p>
        </w:tc>
        <w:tc>
          <w:tcPr>
            <w:tcW w:w="134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固液</w:t>
            </w:r>
            <w:r>
              <w:rPr>
                <w:kern w:val="0"/>
                <w:sz w:val="21"/>
                <w:szCs w:val="20"/>
              </w:rPr>
              <w:t>分离机</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30</w:t>
            </w:r>
          </w:p>
        </w:tc>
        <w:tc>
          <w:tcPr>
            <w:tcW w:w="124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20</w:t>
            </w:r>
          </w:p>
        </w:tc>
        <w:tc>
          <w:tcPr>
            <w:tcW w:w="124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80</w:t>
            </w:r>
          </w:p>
        </w:tc>
      </w:tr>
    </w:tbl>
    <w:p>
      <w:pPr>
        <w:pStyle w:val="5"/>
      </w:pPr>
      <w:r>
        <w:t>噪声影响预测</w:t>
      </w:r>
      <w:bookmarkEnd w:id="138"/>
      <w:bookmarkEnd w:id="139"/>
      <w:bookmarkEnd w:id="140"/>
    </w:p>
    <w:p>
      <w:pPr>
        <w:ind w:firstLine="480"/>
      </w:pPr>
      <w:bookmarkStart w:id="141" w:name="_Toc346223670"/>
      <w:bookmarkStart w:id="142" w:name="_Toc346224114"/>
      <w:bookmarkStart w:id="143" w:name="_Toc346223453"/>
      <w:bookmarkStart w:id="144" w:name="_Toc364090163"/>
      <w:bookmarkStart w:id="145" w:name="_Toc349767217"/>
      <w:bookmarkStart w:id="146" w:name="_Toc382810897"/>
      <w:r>
        <w:t>本次评价采用《环境影响评价技术导则声环境》</w:t>
      </w:r>
      <w:r>
        <w:rPr>
          <w:rFonts w:hint="eastAsia"/>
        </w:rPr>
        <w:t>（</w:t>
      </w:r>
      <w:r>
        <w:t>HJ 2.4</w:t>
      </w:r>
      <w:r>
        <w:rPr>
          <w:rFonts w:hint="eastAsia"/>
        </w:rPr>
        <w:t>-</w:t>
      </w:r>
      <w:r>
        <w:t>2021</w:t>
      </w:r>
      <w:r>
        <w:rPr>
          <w:rFonts w:hint="eastAsia"/>
        </w:rPr>
        <w:t>）</w:t>
      </w:r>
      <w:r>
        <w:t>中推荐模式进行预测，具体模式如下：</w:t>
      </w:r>
    </w:p>
    <w:p>
      <w:pPr>
        <w:ind w:firstLine="480"/>
      </w:pPr>
      <w:r>
        <w:t>（1）室外声源在预测点的A声级</w:t>
      </w:r>
    </w:p>
    <w:p>
      <w:pPr>
        <w:ind w:firstLine="480"/>
        <w:jc w:val="center"/>
      </w:pPr>
      <w:r>
        <w:object>
          <v:shape id="_x0000_i1029" o:spt="75" type="#_x0000_t75" style="height:22.55pt;width:257.9pt;" o:ole="t" fillcolor="#FFFFFF" filled="f" o:preferrelative="t" stroked="f" coordsize="21600,21600">
            <v:path/>
            <v:fill on="f" focussize="0,0"/>
            <v:stroke on="f" joinstyle="miter"/>
            <v:imagedata r:id="rId87" o:title=""/>
            <o:lock v:ext="edit" aspectratio="t"/>
            <w10:wrap type="none"/>
            <w10:anchorlock/>
          </v:shape>
          <o:OLEObject Type="Embed" ProgID="Equation.3" ShapeID="_x0000_i1029" DrawAspect="Content" ObjectID="_1468075729" r:id="rId86">
            <o:LockedField>false</o:LockedField>
          </o:OLEObject>
        </w:object>
      </w:r>
    </w:p>
    <w:p>
      <w:pPr>
        <w:ind w:firstLine="480"/>
      </w:pPr>
      <w:r>
        <w:t>式中：</w:t>
      </w:r>
    </w:p>
    <w:p>
      <w:pPr>
        <w:ind w:firstLine="480"/>
      </w:pPr>
      <w:r>
        <w:t>Lp</w:t>
      </w:r>
      <w:r>
        <w:rPr>
          <w:rFonts w:hint="eastAsia"/>
        </w:rPr>
        <w:t>（</w:t>
      </w:r>
      <w:r>
        <w:t>r</w:t>
      </w:r>
      <w:r>
        <w:rPr>
          <w:rFonts w:hint="eastAsia"/>
        </w:rPr>
        <w:t>）</w:t>
      </w:r>
      <w:r>
        <w:t>—距声源r处的A声级，dB</w:t>
      </w:r>
      <w:r>
        <w:rPr>
          <w:rFonts w:hint="eastAsia"/>
        </w:rPr>
        <w:t>（</w:t>
      </w:r>
      <w:r>
        <w:t>A</w:t>
      </w:r>
      <w:r>
        <w:rPr>
          <w:rFonts w:hint="eastAsia"/>
        </w:rPr>
        <w:t>）</w:t>
      </w:r>
      <w:r>
        <w:t>；</w:t>
      </w:r>
    </w:p>
    <w:p>
      <w:pPr>
        <w:ind w:firstLine="480"/>
      </w:pPr>
      <w:r>
        <w:t>Lp</w:t>
      </w:r>
      <w:r>
        <w:rPr>
          <w:rFonts w:hint="eastAsia"/>
        </w:rPr>
        <w:t>（</w:t>
      </w:r>
      <w:r>
        <w:t>r</w:t>
      </w:r>
      <w:r>
        <w:rPr>
          <w:vertAlign w:val="subscript"/>
        </w:rPr>
        <w:t>0</w:t>
      </w:r>
      <w:r>
        <w:rPr>
          <w:rFonts w:hint="eastAsia"/>
        </w:rPr>
        <w:t>）</w:t>
      </w:r>
      <w:r>
        <w:t>—参考位置r</w:t>
      </w:r>
      <w:r>
        <w:rPr>
          <w:vertAlign w:val="subscript"/>
        </w:rPr>
        <w:t>0</w:t>
      </w:r>
      <w:r>
        <w:t>处的A声级，dB</w:t>
      </w:r>
      <w:r>
        <w:rPr>
          <w:rFonts w:hint="eastAsia"/>
        </w:rPr>
        <w:t>（</w:t>
      </w:r>
      <w:r>
        <w:t>A</w:t>
      </w:r>
      <w:r>
        <w:rPr>
          <w:rFonts w:hint="eastAsia"/>
        </w:rPr>
        <w:t>）</w:t>
      </w:r>
      <w:r>
        <w:t>；</w:t>
      </w:r>
    </w:p>
    <w:p>
      <w:pPr>
        <w:ind w:firstLine="480"/>
      </w:pPr>
      <w:r>
        <w:t>A</w:t>
      </w:r>
      <w:r>
        <w:rPr>
          <w:vertAlign w:val="subscript"/>
        </w:rPr>
        <w:t>div</w:t>
      </w:r>
      <w:r>
        <w:t>—声波几何发散引起的A声级衰减量，dB</w:t>
      </w:r>
      <w:r>
        <w:rPr>
          <w:rFonts w:hint="eastAsia"/>
        </w:rPr>
        <w:t>（</w:t>
      </w:r>
      <w:r>
        <w:t>A</w:t>
      </w:r>
      <w:r>
        <w:rPr>
          <w:rFonts w:hint="eastAsia"/>
        </w:rPr>
        <w:t>）</w:t>
      </w:r>
      <w:r>
        <w:t>；</w:t>
      </w:r>
    </w:p>
    <w:p>
      <w:pPr>
        <w:ind w:firstLine="480"/>
      </w:pPr>
      <w:r>
        <w:t>A</w:t>
      </w:r>
      <w:r>
        <w:rPr>
          <w:vertAlign w:val="subscript"/>
        </w:rPr>
        <w:t>ba</w:t>
      </w:r>
      <w:r>
        <w:t>—遮挡物引起的A声级衰减量，dB</w:t>
      </w:r>
      <w:r>
        <w:rPr>
          <w:rFonts w:hint="eastAsia"/>
        </w:rPr>
        <w:t>（</w:t>
      </w:r>
      <w:r>
        <w:t>A</w:t>
      </w:r>
      <w:r>
        <w:rPr>
          <w:rFonts w:hint="eastAsia"/>
        </w:rPr>
        <w:t>）</w:t>
      </w:r>
      <w:r>
        <w:t>；</w:t>
      </w:r>
    </w:p>
    <w:p>
      <w:pPr>
        <w:ind w:firstLine="480"/>
      </w:pPr>
      <w:r>
        <w:t>A</w:t>
      </w:r>
      <w:r>
        <w:rPr>
          <w:vertAlign w:val="subscript"/>
        </w:rPr>
        <w:t>atm</w:t>
      </w:r>
      <w:r>
        <w:t>—空气吸收衰减量，dB</w:t>
      </w:r>
      <w:r>
        <w:rPr>
          <w:rFonts w:hint="eastAsia"/>
        </w:rPr>
        <w:t>（</w:t>
      </w:r>
      <w:r>
        <w:t>A</w:t>
      </w:r>
      <w:r>
        <w:rPr>
          <w:rFonts w:hint="eastAsia"/>
        </w:rPr>
        <w:t>）</w:t>
      </w:r>
      <w:r>
        <w:t>；</w:t>
      </w:r>
    </w:p>
    <w:p>
      <w:pPr>
        <w:ind w:firstLine="480"/>
      </w:pPr>
      <w:r>
        <w:t>A</w:t>
      </w:r>
      <w:r>
        <w:rPr>
          <w:vertAlign w:val="subscript"/>
        </w:rPr>
        <w:t>gr</w:t>
      </w:r>
      <w:r>
        <w:t>—地面效应衰减量，dB</w:t>
      </w:r>
      <w:r>
        <w:rPr>
          <w:rFonts w:hint="eastAsia"/>
        </w:rPr>
        <w:t>（</w:t>
      </w:r>
      <w:r>
        <w:t>A</w:t>
      </w:r>
      <w:r>
        <w:rPr>
          <w:rFonts w:hint="eastAsia"/>
        </w:rPr>
        <w:t>）</w:t>
      </w:r>
      <w:r>
        <w:t>；</w:t>
      </w:r>
    </w:p>
    <w:p>
      <w:pPr>
        <w:ind w:firstLine="480"/>
      </w:pPr>
      <w:r>
        <w:t>A</w:t>
      </w:r>
      <w:r>
        <w:rPr>
          <w:vertAlign w:val="subscript"/>
        </w:rPr>
        <w:t>misc</w:t>
      </w:r>
      <w:r>
        <w:t>—其它方面效应衰减量，dB</w:t>
      </w:r>
      <w:r>
        <w:rPr>
          <w:rFonts w:hint="eastAsia"/>
        </w:rPr>
        <w:t>（</w:t>
      </w:r>
      <w:r>
        <w:t>A</w:t>
      </w:r>
      <w:r>
        <w:rPr>
          <w:rFonts w:hint="eastAsia"/>
        </w:rPr>
        <w:t>）</w:t>
      </w:r>
      <w:r>
        <w:t>。</w:t>
      </w:r>
    </w:p>
    <w:p>
      <w:pPr>
        <w:ind w:firstLine="480"/>
      </w:pPr>
      <w:r>
        <w:t>（2）室内声源在预测点的A声级计算</w:t>
      </w:r>
    </w:p>
    <w:p>
      <w:pPr>
        <w:ind w:firstLine="480"/>
      </w:pPr>
      <w:r>
        <w:t>a.首先计算某个室内声源在靠近围护结构处的A声级</w:t>
      </w:r>
    </w:p>
    <w:p>
      <w:pPr>
        <w:ind w:firstLine="480"/>
        <w:jc w:val="center"/>
      </w:pPr>
      <w:r>
        <w:object>
          <v:shape id="_x0000_i1030" o:spt="75" type="#_x0000_t75" style="height:37.6pt;width:121.45pt;" o:ole="t" filled="f" o:preferrelative="t" stroked="f" coordsize="21600,21600">
            <v:path/>
            <v:fill on="f" focussize="0,0"/>
            <v:stroke on="f" joinstyle="miter"/>
            <v:imagedata r:id="rId89" o:title=""/>
            <o:lock v:ext="edit" aspectratio="t"/>
            <w10:wrap type="none"/>
            <w10:anchorlock/>
          </v:shape>
          <o:OLEObject Type="Embed" ProgID="Equation.3" ShapeID="_x0000_i1030" DrawAspect="Content" ObjectID="_1468075730" r:id="rId88">
            <o:LockedField>false</o:LockedField>
          </o:OLEObject>
        </w:object>
      </w:r>
    </w:p>
    <w:p>
      <w:pPr>
        <w:ind w:firstLine="480"/>
      </w:pPr>
      <w:r>
        <w:t>式中：</w:t>
      </w:r>
    </w:p>
    <w:p>
      <w:pPr>
        <w:ind w:firstLine="480"/>
      </w:pPr>
      <w:r>
        <w:t>Li—某个室内声源在靠近围护结构处产生的A声级，dB</w:t>
      </w:r>
      <w:r>
        <w:rPr>
          <w:rFonts w:hint="eastAsia"/>
        </w:rPr>
        <w:t>（</w:t>
      </w:r>
      <w:r>
        <w:t>A</w:t>
      </w:r>
      <w:r>
        <w:rPr>
          <w:rFonts w:hint="eastAsia"/>
        </w:rPr>
        <w:t>）</w:t>
      </w:r>
      <w:r>
        <w:t>；</w:t>
      </w:r>
    </w:p>
    <w:p>
      <w:pPr>
        <w:ind w:firstLine="480"/>
      </w:pPr>
      <w:r>
        <w:t>Lw—某个声源的声功率级，dB</w:t>
      </w:r>
      <w:r>
        <w:rPr>
          <w:rFonts w:hint="eastAsia"/>
        </w:rPr>
        <w:t>（</w:t>
      </w:r>
      <w:r>
        <w:t>A</w:t>
      </w:r>
      <w:r>
        <w:rPr>
          <w:rFonts w:hint="eastAsia"/>
        </w:rPr>
        <w:t>）</w:t>
      </w:r>
      <w:r>
        <w:t>；</w:t>
      </w:r>
    </w:p>
    <w:p>
      <w:pPr>
        <w:ind w:firstLine="480"/>
      </w:pPr>
      <w:r>
        <w:t>r—某个声源与靠近围护结构处的距离，m；</w:t>
      </w:r>
    </w:p>
    <w:p>
      <w:pPr>
        <w:ind w:firstLine="480"/>
      </w:pPr>
      <w:r>
        <w:t>R—房间常数（取R =10 m</w:t>
      </w:r>
      <w:r>
        <w:rPr>
          <w:vertAlign w:val="superscript"/>
        </w:rPr>
        <w:t>2</w:t>
      </w:r>
      <w:r>
        <w:t>）；</w:t>
      </w:r>
    </w:p>
    <w:p>
      <w:pPr>
        <w:ind w:firstLine="480"/>
      </w:pPr>
      <w:r>
        <w:t>Q—方向性因子（取Q=1）。</w:t>
      </w:r>
    </w:p>
    <w:p>
      <w:pPr>
        <w:ind w:firstLine="480"/>
      </w:pPr>
      <w:r>
        <w:t>b.计算所有室内声源在靠近围护结构处产生的总有效声级</w:t>
      </w:r>
    </w:p>
    <w:p>
      <w:pPr>
        <w:ind w:firstLine="480"/>
        <w:jc w:val="center"/>
      </w:pPr>
      <w:r>
        <w:object>
          <v:shape id="_x0000_i1031" o:spt="75" type="#_x0000_t75" style="height:37.6pt;width:108pt;" o:ole="t" filled="f" o:preferrelative="t" stroked="f" coordsize="21600,21600">
            <v:path/>
            <v:fill on="f" focussize="0,0"/>
            <v:stroke on="f" joinstyle="miter"/>
            <v:imagedata r:id="rId91" o:title=""/>
            <o:lock v:ext="edit" aspectratio="t"/>
            <w10:wrap type="none"/>
            <w10:anchorlock/>
          </v:shape>
          <o:OLEObject Type="Embed" ProgID="Equation.3" ShapeID="_x0000_i1031" DrawAspect="Content" ObjectID="_1468075731" r:id="rId90">
            <o:LockedField>false</o:LockedField>
          </o:OLEObject>
        </w:object>
      </w:r>
    </w:p>
    <w:p>
      <w:pPr>
        <w:ind w:firstLine="480"/>
      </w:pPr>
      <w:r>
        <w:t>c.计算室外靠近围护结构处的A声级</w:t>
      </w:r>
    </w:p>
    <w:p>
      <w:pPr>
        <w:ind w:firstLine="480"/>
        <w:jc w:val="center"/>
      </w:pPr>
      <w:r>
        <w:rPr>
          <w:position w:val="-10"/>
        </w:rPr>
        <w:object>
          <v:shape id="_x0000_i1032" o:spt="75" type="#_x0000_t75" style="height:17.2pt;width:120.9pt;" o:ole="t" filled="f" o:preferrelative="t" stroked="f" coordsize="21600,21600">
            <v:path/>
            <v:fill on="f" focussize="0,0"/>
            <v:stroke on="f" joinstyle="miter"/>
            <v:imagedata r:id="rId93" o:title=""/>
            <o:lock v:ext="edit" aspectratio="t"/>
            <w10:wrap type="none"/>
            <w10:anchorlock/>
          </v:shape>
          <o:OLEObject Type="Embed" ProgID="Equation.3" ShapeID="_x0000_i1032" DrawAspect="Content" ObjectID="_1468075732" r:id="rId92">
            <o:LockedField>false</o:LockedField>
          </o:OLEObject>
        </w:object>
      </w:r>
    </w:p>
    <w:p>
      <w:pPr>
        <w:ind w:firstLine="480"/>
      </w:pPr>
      <w:r>
        <w:t>式中：</w:t>
      </w:r>
    </w:p>
    <w:p>
      <w:pPr>
        <w:ind w:firstLine="480"/>
      </w:pPr>
      <w:r>
        <w:t>TL—窗户平均隔声量，dB</w:t>
      </w:r>
      <w:r>
        <w:rPr>
          <w:rFonts w:hint="eastAsia"/>
        </w:rPr>
        <w:t>（</w:t>
      </w:r>
      <w:r>
        <w:t>A</w:t>
      </w:r>
      <w:r>
        <w:rPr>
          <w:rFonts w:hint="eastAsia"/>
        </w:rPr>
        <w:t>）</w:t>
      </w:r>
      <w:r>
        <w:t>。</w:t>
      </w:r>
    </w:p>
    <w:p>
      <w:pPr>
        <w:ind w:firstLine="480"/>
      </w:pPr>
      <w:r>
        <w:t>d.将室外声级L</w:t>
      </w:r>
      <w:r>
        <w:rPr>
          <w:vertAlign w:val="subscript"/>
        </w:rPr>
        <w:t>2</w:t>
      </w:r>
      <w:r>
        <w:t>(T)和透声面积换算成等效的室外声源，计算出等效声源的声功率级Lw：</w:t>
      </w:r>
    </w:p>
    <w:p>
      <w:pPr>
        <w:ind w:firstLine="480"/>
        <w:jc w:val="center"/>
      </w:pPr>
      <w:r>
        <w:object>
          <v:shape id="_x0000_i1033" o:spt="75" type="#_x0000_t75" style="height:20.95pt;width:106.4pt;" o:ole="t" filled="f" o:preferrelative="t" stroked="f" coordsize="21600,21600">
            <v:path/>
            <v:fill on="f" focussize="0,0"/>
            <v:stroke on="f" joinstyle="miter"/>
            <v:imagedata r:id="rId95" o:title=""/>
            <o:lock v:ext="edit" aspectratio="t"/>
            <w10:wrap type="none"/>
            <w10:anchorlock/>
          </v:shape>
          <o:OLEObject Type="Embed" ProgID="Equation.3" ShapeID="_x0000_i1033" DrawAspect="Content" ObjectID="_1468075733" r:id="rId94">
            <o:LockedField>false</o:LockedField>
          </o:OLEObject>
        </w:object>
      </w:r>
    </w:p>
    <w:p>
      <w:pPr>
        <w:ind w:firstLine="480"/>
      </w:pPr>
      <w:r>
        <w:t>式中：</w:t>
      </w:r>
    </w:p>
    <w:p>
      <w:pPr>
        <w:ind w:firstLine="480"/>
      </w:pPr>
      <w:r>
        <w:t>S—透声面积，m</w:t>
      </w:r>
      <w:r>
        <w:rPr>
          <w:vertAlign w:val="superscript"/>
        </w:rPr>
        <w:t>2</w:t>
      </w:r>
      <w:r>
        <w:t>（取S =10 m</w:t>
      </w:r>
      <w:r>
        <w:rPr>
          <w:vertAlign w:val="superscript"/>
        </w:rPr>
        <w:t>2</w:t>
      </w:r>
      <w:r>
        <w:t>）。</w:t>
      </w:r>
    </w:p>
    <w:p>
      <w:pPr>
        <w:ind w:firstLine="480"/>
      </w:pPr>
      <w:r>
        <w:t>e.等效室外声源的位置为围护结构的位置，其声功率级为Lw，由此计算等效声源在预测点产生的声级。</w:t>
      </w:r>
    </w:p>
    <w:p>
      <w:pPr>
        <w:ind w:firstLine="480"/>
      </w:pPr>
      <w:r>
        <w:t>（3）总声级的计算</w:t>
      </w:r>
    </w:p>
    <w:p>
      <w:pPr>
        <w:ind w:firstLine="480"/>
      </w:pPr>
      <w:r>
        <w:t>设第i个室外声源在预测点产生的A声级为LA</w:t>
      </w:r>
      <w:r>
        <w:rPr>
          <w:vertAlign w:val="subscript"/>
        </w:rPr>
        <w:t>in,i</w:t>
      </w:r>
      <w:r>
        <w:t>，在T时间内该声源工作时间为t</w:t>
      </w:r>
      <w:r>
        <w:rPr>
          <w:vertAlign w:val="subscript"/>
        </w:rPr>
        <w:t>in,i</w:t>
      </w:r>
      <w:r>
        <w:t>；设第j个等效室外声源在预测点产生的A声级为LA</w:t>
      </w:r>
      <w:r>
        <w:rPr>
          <w:vertAlign w:val="subscript"/>
        </w:rPr>
        <w:t>jout,j</w:t>
      </w:r>
      <w:r>
        <w:t>，在T时间内该声源工作时间为t</w:t>
      </w:r>
      <w:r>
        <w:rPr>
          <w:vertAlign w:val="subscript"/>
        </w:rPr>
        <w:t>in,j</w:t>
      </w:r>
      <w:r>
        <w:t>，则预测点的总有效声级为：</w:t>
      </w:r>
    </w:p>
    <w:p>
      <w:pPr>
        <w:ind w:firstLine="480"/>
        <w:jc w:val="center"/>
      </w:pPr>
      <w:r>
        <w:object>
          <v:shape id="_x0000_i1034" o:spt="75" type="#_x0000_t75" style="height:37.6pt;width:267.05pt;" o:ole="t" filled="f" o:preferrelative="t" stroked="f" coordsize="21600,21600">
            <v:path/>
            <v:fill on="f" focussize="0,0"/>
            <v:stroke on="f" joinstyle="miter"/>
            <v:imagedata r:id="rId97" o:title=""/>
            <o:lock v:ext="edit" aspectratio="t"/>
            <w10:wrap type="none"/>
            <w10:anchorlock/>
          </v:shape>
          <o:OLEObject Type="Embed" ProgID="Equation.3" ShapeID="_x0000_i1034" DrawAspect="Content" ObjectID="_1468075734" r:id="rId96">
            <o:LockedField>false</o:LockedField>
          </o:OLEObject>
        </w:object>
      </w:r>
    </w:p>
    <w:p>
      <w:pPr>
        <w:ind w:firstLine="480"/>
      </w:pPr>
      <w:r>
        <w:t>式中：</w:t>
      </w:r>
    </w:p>
    <w:p>
      <w:pPr>
        <w:ind w:firstLine="480"/>
      </w:pPr>
      <w:r>
        <w:t>T—计算等效声级的时间；</w:t>
      </w:r>
    </w:p>
    <w:p>
      <w:pPr>
        <w:ind w:firstLine="480"/>
      </w:pPr>
      <w:r>
        <w:t>N—室外声源的个数；</w:t>
      </w:r>
    </w:p>
    <w:p>
      <w:pPr>
        <w:ind w:firstLine="480"/>
      </w:pPr>
      <w:r>
        <w:t>M—等效室外声源的个数。</w:t>
      </w:r>
    </w:p>
    <w:p>
      <w:pPr>
        <w:ind w:firstLine="480"/>
      </w:pPr>
      <w:r>
        <w:t>（4）预测参数的确定：</w:t>
      </w:r>
    </w:p>
    <w:p>
      <w:pPr>
        <w:ind w:firstLine="480"/>
      </w:pPr>
      <w:r>
        <w:t>a.窗户的平均隔声量TL取经验值，15dB</w:t>
      </w:r>
      <w:r>
        <w:rPr>
          <w:rFonts w:hint="eastAsia"/>
        </w:rPr>
        <w:t>（</w:t>
      </w:r>
      <w:r>
        <w:t>A</w:t>
      </w:r>
      <w:r>
        <w:rPr>
          <w:rFonts w:hint="eastAsia"/>
        </w:rPr>
        <w:t>）</w:t>
      </w:r>
      <w:r>
        <w:t>。</w:t>
      </w:r>
    </w:p>
    <w:p>
      <w:pPr>
        <w:ind w:firstLine="480"/>
      </w:pPr>
      <w:r>
        <w:t>b.声波几何发散引起的A声级衰减量：</w:t>
      </w:r>
    </w:p>
    <w:p>
      <w:pPr>
        <w:ind w:firstLine="480"/>
        <w:jc w:val="center"/>
      </w:pPr>
      <w:r>
        <w:rPr>
          <w:position w:val="-30"/>
        </w:rPr>
        <w:object>
          <v:shape id="_x0000_i1035" o:spt="75" type="#_x0000_t75" style="height:37.6pt;width:72pt;" o:ole="t" filled="f" o:preferrelative="t" stroked="f" coordsize="21600,21600">
            <v:path/>
            <v:fill on="f" focussize="0,0"/>
            <v:stroke on="f" joinstyle="miter"/>
            <v:imagedata r:id="rId99" o:title=""/>
            <o:lock v:ext="edit" aspectratio="t"/>
            <w10:wrap type="none"/>
            <w10:anchorlock/>
          </v:shape>
          <o:OLEObject Type="Embed" ProgID="Equation.DSMT4" ShapeID="_x0000_i1035" DrawAspect="Content" ObjectID="_1468075735" r:id="rId98">
            <o:LockedField>false</o:LockedField>
          </o:OLEObject>
        </w:object>
      </w:r>
    </w:p>
    <w:p>
      <w:pPr>
        <w:ind w:firstLine="480"/>
      </w:pPr>
      <w:r>
        <w:t>c.空气吸收衰减量Aatm：</w:t>
      </w:r>
    </w:p>
    <w:p>
      <w:pPr>
        <w:ind w:firstLine="480"/>
        <w:jc w:val="center"/>
      </w:pPr>
      <w:r>
        <w:rPr>
          <w:position w:val="-24"/>
        </w:rPr>
        <w:object>
          <v:shape id="_x0000_i1036" o:spt="75" type="#_x0000_t75" style="height:33.85pt;width:89.2pt;" o:ole="t" filled="f" o:preferrelative="t" stroked="f" coordsize="21600,21600">
            <v:path/>
            <v:fill on="f" focussize="0,0"/>
            <v:stroke on="f" joinstyle="miter"/>
            <v:imagedata r:id="rId101" o:title=""/>
            <o:lock v:ext="edit" aspectratio="t"/>
            <w10:wrap type="none"/>
            <w10:anchorlock/>
          </v:shape>
          <o:OLEObject Type="Embed" ProgID="Equation.3" ShapeID="_x0000_i1036" DrawAspect="Content" ObjectID="_1468075736" r:id="rId100">
            <o:LockedField>false</o:LockedField>
          </o:OLEObject>
        </w:object>
      </w:r>
    </w:p>
    <w:p>
      <w:pPr>
        <w:ind w:firstLine="480"/>
      </w:pPr>
      <w:r>
        <w:t>式中：</w:t>
      </w:r>
    </w:p>
    <w:p>
      <w:pPr>
        <w:ind w:firstLine="480"/>
      </w:pPr>
      <w:r>
        <w:t>r—预测点到声源的距离，m；</w:t>
      </w:r>
    </w:p>
    <w:p>
      <w:pPr>
        <w:ind w:firstLine="480"/>
      </w:pPr>
      <w:r>
        <w:t>r</w:t>
      </w:r>
      <w:r>
        <w:rPr>
          <w:vertAlign w:val="subscript"/>
        </w:rPr>
        <w:t>0</w:t>
      </w:r>
      <w:r>
        <w:t>—参考点到声源的距离，m；</w:t>
      </w:r>
    </w:p>
    <w:p>
      <w:pPr>
        <w:ind w:firstLine="480"/>
      </w:pPr>
      <w:r>
        <w:t>a—空气吸收系数，它随频率和距离的增大而增大，本次预测空气吸收性衰减很小，预测时可忽略不计。</w:t>
      </w:r>
    </w:p>
    <w:p>
      <w:pPr>
        <w:ind w:firstLine="480"/>
      </w:pPr>
      <w:r>
        <w:t>d.地面效应衰减Agr</w:t>
      </w:r>
    </w:p>
    <w:p>
      <w:pPr>
        <w:ind w:firstLine="480"/>
      </w:pPr>
      <w:r>
        <w:t>一般地面类型可分为坚实地面（包括铺筑过的路面、水面、冰面以及夯实地面）、疏松地面（包括被草或其他植物覆盖的地面，以及农田等适合于植物生长的地面）和混合地面（由坚实地面和疏松地面组成）。声波越过疏松地面传播时，或大部分为疏松地面的混合地面，在预测点仅计算A声级前提下，地面效应引起的倍频带衰减可用下式进行计算：</w:t>
      </w:r>
    </w:p>
    <w:p>
      <w:pPr>
        <w:ind w:firstLine="480"/>
        <w:jc w:val="center"/>
      </w:pPr>
      <w:r>
        <w:rPr>
          <w:position w:val="-30"/>
        </w:rPr>
        <w:object>
          <v:shape id="_x0000_i1037" o:spt="75" type="#_x0000_t75" style="height:37.6pt;width:195.05pt;" o:ole="t" filled="f" o:preferrelative="t" stroked="f" coordsize="21600,21600">
            <v:path/>
            <v:fill on="f" focussize="0,0"/>
            <v:stroke on="f" joinstyle="miter"/>
            <v:imagedata r:id="rId103" o:title=""/>
            <o:lock v:ext="edit" aspectratio="t"/>
            <w10:wrap type="none"/>
            <w10:anchorlock/>
          </v:shape>
          <o:OLEObject Type="Embed" ProgID="Equation.3" ShapeID="_x0000_i1037" DrawAspect="Content" ObjectID="_1468075737" r:id="rId102">
            <o:LockedField>false</o:LockedField>
          </o:OLEObject>
        </w:object>
      </w:r>
    </w:p>
    <w:p>
      <w:pPr>
        <w:ind w:firstLine="480"/>
      </w:pPr>
      <w:r>
        <w:t>式中：</w:t>
      </w:r>
    </w:p>
    <w:p>
      <w:pPr>
        <w:ind w:firstLine="480"/>
      </w:pPr>
      <w:r>
        <w:t>r —声源到预测点的距离，m；</w:t>
      </w:r>
    </w:p>
    <w:p>
      <w:pPr>
        <w:ind w:firstLine="480"/>
      </w:pPr>
      <w:r>
        <w:t>h</w:t>
      </w:r>
      <w:r>
        <w:rPr>
          <w:vertAlign w:val="subscript"/>
        </w:rPr>
        <w:t>m</w:t>
      </w:r>
      <w:r>
        <w:t>—传播路径的平均离地高度，m。</w:t>
      </w:r>
    </w:p>
    <w:p>
      <w:pPr>
        <w:ind w:firstLine="480"/>
      </w:pPr>
      <w:r>
        <w:t>e.屏障引起的衰减量Abar</w:t>
      </w:r>
    </w:p>
    <w:p>
      <w:pPr>
        <w:ind w:firstLine="480"/>
      </w:pPr>
      <w:r>
        <w:t>噪声在向外传播过程中将受到厂房或其它车间的阻挡影响，从而引起声能量的衰减，具体衰减根据不同声级的传播途径而定，一般取8dB</w:t>
      </w:r>
      <w:r>
        <w:rPr>
          <w:rFonts w:hint="eastAsia"/>
        </w:rPr>
        <w:t>（</w:t>
      </w:r>
      <w:r>
        <w:t>A</w:t>
      </w:r>
      <w:r>
        <w:rPr>
          <w:rFonts w:hint="eastAsia"/>
        </w:rPr>
        <w:t>）</w:t>
      </w:r>
      <w:r>
        <w:t>。</w:t>
      </w:r>
    </w:p>
    <w:p>
      <w:pPr>
        <w:ind w:firstLine="480"/>
      </w:pPr>
      <w:r>
        <w:t>f.其它多方面原因引起的衰减量Amisc</w:t>
      </w:r>
    </w:p>
    <w:p>
      <w:pPr>
        <w:ind w:firstLine="480"/>
      </w:pPr>
      <w:r>
        <w:t>主要包括通过工业场所的衰减和通过房屋群的衰减等，在声环境影响评价中，一般情况下，不考虑自然条件（如风、温度梯度、雾等）变化引起的附加修正。根据项目厂区布置和噪声源强及外环境状况，可以忽略本项附加衰减量。</w:t>
      </w:r>
    </w:p>
    <w:p>
      <w:pPr>
        <w:ind w:firstLine="480"/>
        <w:rPr>
          <w:szCs w:val="24"/>
        </w:rPr>
      </w:pPr>
      <w:r>
        <w:rPr>
          <w:szCs w:val="24"/>
        </w:rPr>
        <w:t>（5）采取的噪声控制措施</w:t>
      </w:r>
    </w:p>
    <w:p>
      <w:pPr>
        <w:ind w:firstLine="480"/>
        <w:rPr>
          <w:szCs w:val="24"/>
        </w:rPr>
      </w:pPr>
      <w:r>
        <w:rPr>
          <w:szCs w:val="24"/>
        </w:rPr>
        <w:t>为减轻噪声对周围环境影响，要求车间严格按规范设计，选用低噪声设备，风机安装减振垫、风管与设备采用软连接，排风口安装消声器，可降噪20dB（A）以上。</w:t>
      </w:r>
    </w:p>
    <w:p>
      <w:pPr>
        <w:ind w:firstLine="480"/>
      </w:pPr>
      <w:r>
        <w:t>（6）预测结果</w:t>
      </w:r>
    </w:p>
    <w:p>
      <w:pPr>
        <w:pStyle w:val="79"/>
        <w:ind w:firstLine="480"/>
        <w:rPr>
          <w:rFonts w:cs="Times New Roman"/>
        </w:rPr>
      </w:pPr>
      <w:r>
        <w:rPr>
          <w:rFonts w:cs="Times New Roman"/>
        </w:rPr>
        <w:t>根据项目主要设备的噪声源情况，利用上述预测模式和参数计算得各厂界噪声预测值，昼间噪声影响和预测结果见</w:t>
      </w:r>
      <w:r>
        <w:rPr>
          <w:rFonts w:hint="eastAsia"/>
        </w:rPr>
        <w:t>表5.2-15</w:t>
      </w:r>
      <w:r>
        <w:rPr>
          <w:rFonts w:cs="Times New Roman"/>
        </w:rPr>
        <w:t>。</w:t>
      </w:r>
    </w:p>
    <w:p>
      <w:pPr>
        <w:pStyle w:val="85"/>
        <w:rPr>
          <w:rFonts w:hAnsi="Times New Roman"/>
          <w:sz w:val="20"/>
          <w:szCs w:val="20"/>
        </w:rPr>
      </w:pPr>
      <w:bookmarkStart w:id="147" w:name="_Ref26802207"/>
      <w:r>
        <w:rPr>
          <w:rFonts w:hAnsi="Times New Roman"/>
        </w:rPr>
        <w:br w:type="column"/>
      </w: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bookmarkEnd w:id="147"/>
      <w:r>
        <w:rPr>
          <w:rFonts w:hAnsi="Times New Roman"/>
        </w:rPr>
        <w:t xml:space="preserve">15  </w:t>
      </w:r>
      <w:r>
        <w:rPr>
          <w:rFonts w:hAnsi="Times New Roman"/>
          <w:szCs w:val="21"/>
        </w:rPr>
        <w:t>噪声预测结果</w:t>
      </w:r>
      <w:r>
        <w:rPr>
          <w:rFonts w:hint="eastAsia" w:hAnsi="Times New Roman"/>
          <w:szCs w:val="21"/>
        </w:rPr>
        <w:t xml:space="preserve"> </w:t>
      </w:r>
      <w:r>
        <w:rPr>
          <w:rFonts w:hAnsi="Times New Roman"/>
          <w:szCs w:val="21"/>
        </w:rPr>
        <w:t>单位：dB</w:t>
      </w:r>
      <w:r>
        <w:rPr>
          <w:rFonts w:hint="eastAsia" w:hAnsi="Times New Roman"/>
          <w:szCs w:val="21"/>
        </w:rPr>
        <w:t>（</w:t>
      </w:r>
      <w:r>
        <w:rPr>
          <w:rFonts w:hAnsi="Times New Roman"/>
          <w:szCs w:val="21"/>
        </w:rPr>
        <w:t>A</w:t>
      </w:r>
      <w:r>
        <w:rPr>
          <w:rFonts w:hint="eastAsia" w:hAnsi="Times New Roman"/>
          <w:szCs w:val="21"/>
        </w:rPr>
        <w:t>）</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513"/>
        <w:gridCol w:w="2028"/>
        <w:gridCol w:w="1245"/>
        <w:gridCol w:w="1245"/>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513" w:type="dxa"/>
            <w:vMerge w:val="restart"/>
            <w:vAlign w:val="center"/>
          </w:tcPr>
          <w:p>
            <w:pPr>
              <w:pStyle w:val="84"/>
            </w:pPr>
            <w:r>
              <w:t>预测点</w:t>
            </w:r>
          </w:p>
        </w:tc>
        <w:tc>
          <w:tcPr>
            <w:tcW w:w="3273" w:type="dxa"/>
            <w:gridSpan w:val="2"/>
            <w:vAlign w:val="center"/>
          </w:tcPr>
          <w:p>
            <w:pPr>
              <w:pStyle w:val="84"/>
            </w:pPr>
            <w:r>
              <w:t>贡献值</w:t>
            </w:r>
          </w:p>
        </w:tc>
        <w:tc>
          <w:tcPr>
            <w:tcW w:w="2490" w:type="dxa"/>
            <w:gridSpan w:val="2"/>
          </w:tcPr>
          <w:p>
            <w:pPr>
              <w:pStyle w:val="84"/>
            </w:pPr>
            <w:r>
              <w:rPr>
                <w:rFonts w:hint="eastAsia"/>
              </w:rPr>
              <w:t>标准</w:t>
            </w:r>
            <w: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513" w:type="dxa"/>
            <w:vMerge w:val="continue"/>
            <w:vAlign w:val="center"/>
          </w:tcPr>
          <w:p>
            <w:pPr>
              <w:pStyle w:val="84"/>
            </w:pPr>
          </w:p>
        </w:tc>
        <w:tc>
          <w:tcPr>
            <w:tcW w:w="2028" w:type="dxa"/>
            <w:vAlign w:val="center"/>
          </w:tcPr>
          <w:p>
            <w:pPr>
              <w:pStyle w:val="84"/>
            </w:pPr>
            <w:r>
              <w:t>昼间</w:t>
            </w:r>
          </w:p>
        </w:tc>
        <w:tc>
          <w:tcPr>
            <w:tcW w:w="1245" w:type="dxa"/>
            <w:vAlign w:val="center"/>
          </w:tcPr>
          <w:p>
            <w:pPr>
              <w:pStyle w:val="84"/>
            </w:pPr>
            <w:r>
              <w:rPr>
                <w:rFonts w:hint="eastAsia"/>
              </w:rPr>
              <w:t>夜</w:t>
            </w:r>
            <w:r>
              <w:t>间</w:t>
            </w:r>
          </w:p>
        </w:tc>
        <w:tc>
          <w:tcPr>
            <w:tcW w:w="1245" w:type="dxa"/>
            <w:vAlign w:val="center"/>
          </w:tcPr>
          <w:p>
            <w:pPr>
              <w:pStyle w:val="84"/>
            </w:pPr>
            <w:r>
              <w:t>昼间</w:t>
            </w:r>
          </w:p>
        </w:tc>
        <w:tc>
          <w:tcPr>
            <w:tcW w:w="1245" w:type="dxa"/>
            <w:vAlign w:val="center"/>
          </w:tcPr>
          <w:p>
            <w:pPr>
              <w:pStyle w:val="84"/>
            </w:pPr>
            <w:r>
              <w:rPr>
                <w:rFonts w:hint="eastAsia"/>
              </w:rPr>
              <w:t>夜</w:t>
            </w:r>
            <w:r>
              <w:t>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513" w:type="dxa"/>
            <w:vAlign w:val="center"/>
          </w:tcPr>
          <w:p>
            <w:pPr>
              <w:pStyle w:val="84"/>
            </w:pPr>
            <w:r>
              <w:t>东厂界</w:t>
            </w:r>
          </w:p>
        </w:tc>
        <w:tc>
          <w:tcPr>
            <w:tcW w:w="2028" w:type="dxa"/>
            <w:vAlign w:val="center"/>
          </w:tcPr>
          <w:p>
            <w:pPr>
              <w:pStyle w:val="84"/>
            </w:pPr>
            <w:r>
              <w:t>37.6</w:t>
            </w:r>
          </w:p>
        </w:tc>
        <w:tc>
          <w:tcPr>
            <w:tcW w:w="1245" w:type="dxa"/>
            <w:vAlign w:val="center"/>
          </w:tcPr>
          <w:p>
            <w:pPr>
              <w:pStyle w:val="84"/>
            </w:pPr>
            <w:r>
              <w:t>37.6</w:t>
            </w:r>
          </w:p>
        </w:tc>
        <w:tc>
          <w:tcPr>
            <w:tcW w:w="1245" w:type="dxa"/>
            <w:vAlign w:val="center"/>
          </w:tcPr>
          <w:p>
            <w:pPr>
              <w:pStyle w:val="84"/>
            </w:pPr>
            <w:r>
              <w:rPr>
                <w:rFonts w:hint="eastAsia"/>
              </w:rPr>
              <w:t>60</w:t>
            </w:r>
          </w:p>
        </w:tc>
        <w:tc>
          <w:tcPr>
            <w:tcW w:w="1245" w:type="dxa"/>
            <w:vAlign w:val="center"/>
          </w:tcPr>
          <w:p>
            <w:pPr>
              <w:pStyle w:val="84"/>
            </w:pP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513" w:type="dxa"/>
            <w:vAlign w:val="center"/>
          </w:tcPr>
          <w:p>
            <w:pPr>
              <w:pStyle w:val="84"/>
            </w:pPr>
            <w:r>
              <w:t>南厂界</w:t>
            </w:r>
          </w:p>
        </w:tc>
        <w:tc>
          <w:tcPr>
            <w:tcW w:w="2028" w:type="dxa"/>
            <w:vAlign w:val="center"/>
          </w:tcPr>
          <w:p>
            <w:pPr>
              <w:pStyle w:val="84"/>
            </w:pPr>
            <w:r>
              <w:t>40.3</w:t>
            </w:r>
          </w:p>
        </w:tc>
        <w:tc>
          <w:tcPr>
            <w:tcW w:w="1245" w:type="dxa"/>
            <w:vAlign w:val="center"/>
          </w:tcPr>
          <w:p>
            <w:pPr>
              <w:pStyle w:val="84"/>
            </w:pPr>
            <w:r>
              <w:t>40.3</w:t>
            </w:r>
          </w:p>
        </w:tc>
        <w:tc>
          <w:tcPr>
            <w:tcW w:w="1245" w:type="dxa"/>
            <w:vAlign w:val="center"/>
          </w:tcPr>
          <w:p>
            <w:pPr>
              <w:pStyle w:val="84"/>
            </w:pPr>
            <w:r>
              <w:rPr>
                <w:rFonts w:hint="eastAsia"/>
              </w:rPr>
              <w:t>60</w:t>
            </w:r>
          </w:p>
        </w:tc>
        <w:tc>
          <w:tcPr>
            <w:tcW w:w="1245" w:type="dxa"/>
            <w:vAlign w:val="center"/>
          </w:tcPr>
          <w:p>
            <w:pPr>
              <w:pStyle w:val="84"/>
            </w:pP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513" w:type="dxa"/>
            <w:vAlign w:val="center"/>
          </w:tcPr>
          <w:p>
            <w:pPr>
              <w:pStyle w:val="84"/>
            </w:pPr>
            <w:r>
              <w:t>西厂界</w:t>
            </w:r>
          </w:p>
        </w:tc>
        <w:tc>
          <w:tcPr>
            <w:tcW w:w="2028" w:type="dxa"/>
            <w:vAlign w:val="center"/>
          </w:tcPr>
          <w:p>
            <w:pPr>
              <w:pStyle w:val="84"/>
            </w:pPr>
            <w:r>
              <w:t>40.6</w:t>
            </w:r>
          </w:p>
        </w:tc>
        <w:tc>
          <w:tcPr>
            <w:tcW w:w="1245" w:type="dxa"/>
            <w:vAlign w:val="center"/>
          </w:tcPr>
          <w:p>
            <w:pPr>
              <w:pStyle w:val="84"/>
            </w:pPr>
            <w:r>
              <w:t>40.6</w:t>
            </w:r>
          </w:p>
        </w:tc>
        <w:tc>
          <w:tcPr>
            <w:tcW w:w="1245" w:type="dxa"/>
            <w:vAlign w:val="center"/>
          </w:tcPr>
          <w:p>
            <w:pPr>
              <w:pStyle w:val="84"/>
            </w:pPr>
            <w:r>
              <w:rPr>
                <w:rFonts w:hint="eastAsia"/>
              </w:rPr>
              <w:t>60</w:t>
            </w:r>
          </w:p>
        </w:tc>
        <w:tc>
          <w:tcPr>
            <w:tcW w:w="1245" w:type="dxa"/>
            <w:vAlign w:val="center"/>
          </w:tcPr>
          <w:p>
            <w:pPr>
              <w:pStyle w:val="84"/>
            </w:pP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513" w:type="dxa"/>
            <w:vAlign w:val="center"/>
          </w:tcPr>
          <w:p>
            <w:pPr>
              <w:pStyle w:val="84"/>
            </w:pPr>
            <w:r>
              <w:t>北厂界</w:t>
            </w:r>
          </w:p>
        </w:tc>
        <w:tc>
          <w:tcPr>
            <w:tcW w:w="2028" w:type="dxa"/>
            <w:vAlign w:val="center"/>
          </w:tcPr>
          <w:p>
            <w:pPr>
              <w:pStyle w:val="84"/>
            </w:pPr>
            <w:r>
              <w:t>34.5</w:t>
            </w:r>
          </w:p>
        </w:tc>
        <w:tc>
          <w:tcPr>
            <w:tcW w:w="1245" w:type="dxa"/>
            <w:vAlign w:val="center"/>
          </w:tcPr>
          <w:p>
            <w:pPr>
              <w:pStyle w:val="84"/>
            </w:pPr>
            <w:r>
              <w:t>34.5</w:t>
            </w:r>
          </w:p>
        </w:tc>
        <w:tc>
          <w:tcPr>
            <w:tcW w:w="1245" w:type="dxa"/>
            <w:vAlign w:val="center"/>
          </w:tcPr>
          <w:p>
            <w:pPr>
              <w:pStyle w:val="84"/>
            </w:pPr>
            <w:r>
              <w:rPr>
                <w:rFonts w:hint="eastAsia"/>
              </w:rPr>
              <w:t>60</w:t>
            </w:r>
          </w:p>
        </w:tc>
        <w:tc>
          <w:tcPr>
            <w:tcW w:w="1245" w:type="dxa"/>
            <w:vAlign w:val="center"/>
          </w:tcPr>
          <w:p>
            <w:pPr>
              <w:pStyle w:val="84"/>
            </w:pPr>
            <w:r>
              <w:rPr>
                <w:rFonts w:hint="eastAsia"/>
              </w:rPr>
              <w:t>50</w:t>
            </w:r>
          </w:p>
        </w:tc>
      </w:tr>
    </w:tbl>
    <w:p>
      <w:pPr>
        <w:pStyle w:val="5"/>
      </w:pPr>
      <w:r>
        <w:rPr>
          <w:rFonts w:hint="eastAsia"/>
        </w:rPr>
        <w:t>噪声</w:t>
      </w:r>
      <w:r>
        <w:t>环境影响评价</w:t>
      </w:r>
    </w:p>
    <w:p>
      <w:pPr>
        <w:ind w:firstLine="480"/>
        <w:rPr>
          <w:highlight w:val="yellow"/>
        </w:rPr>
      </w:pPr>
      <w:r>
        <w:t>由预测结果可知，在采取相应的噪声污染防治措施后，项目营运期噪声对各厂界的噪声贡献值较小，各厂界昼间噪声</w:t>
      </w:r>
      <w:r>
        <w:rPr>
          <w:rFonts w:hint="eastAsia"/>
        </w:rPr>
        <w:t>贡献值</w:t>
      </w:r>
      <w:r>
        <w:t>均满足《工业企业厂界环境噪声排放标准》（GB12348-2008）2类标准要求，项目产生噪声对</w:t>
      </w:r>
      <w:r>
        <w:rPr>
          <w:rFonts w:hint="eastAsia"/>
        </w:rPr>
        <w:t>周围环境</w:t>
      </w:r>
      <w:r>
        <w:t>影响较小。</w:t>
      </w:r>
      <w:bookmarkEnd w:id="141"/>
      <w:bookmarkEnd w:id="142"/>
      <w:bookmarkEnd w:id="143"/>
      <w:bookmarkEnd w:id="144"/>
      <w:bookmarkEnd w:id="145"/>
      <w:bookmarkEnd w:id="146"/>
    </w:p>
    <w:p>
      <w:pPr>
        <w:pStyle w:val="4"/>
      </w:pPr>
      <w:bookmarkStart w:id="148" w:name="_Toc488102176"/>
      <w:r>
        <w:rPr>
          <w:rFonts w:hint="eastAsia"/>
        </w:rPr>
        <w:t>固体废物环境影响评价</w:t>
      </w:r>
      <w:bookmarkEnd w:id="148"/>
    </w:p>
    <w:p>
      <w:pPr>
        <w:ind w:firstLine="480"/>
      </w:pPr>
      <w:r>
        <w:rPr>
          <w:szCs w:val="24"/>
        </w:rPr>
        <w:t>项目运营后产生的固体废物主要为猪粪、病死猪</w:t>
      </w:r>
      <w:r>
        <w:rPr>
          <w:rFonts w:hint="eastAsia"/>
          <w:szCs w:val="24"/>
        </w:rPr>
        <w:t>及分娩废物</w:t>
      </w:r>
      <w:r>
        <w:rPr>
          <w:szCs w:val="24"/>
        </w:rPr>
        <w:t>、</w:t>
      </w:r>
      <w:r>
        <w:rPr>
          <w:rFonts w:hint="eastAsia"/>
        </w:rPr>
        <w:t>废脱硫剂、医疗废物和员工生活垃圾等</w:t>
      </w:r>
      <w:r>
        <w:t>。</w:t>
      </w:r>
    </w:p>
    <w:p>
      <w:pPr>
        <w:pStyle w:val="5"/>
      </w:pPr>
      <w:r>
        <w:rPr>
          <w:rFonts w:hint="eastAsia"/>
        </w:rPr>
        <w:t>猪粪</w:t>
      </w:r>
    </w:p>
    <w:p>
      <w:pPr>
        <w:pStyle w:val="79"/>
        <w:ind w:firstLine="480"/>
      </w:pPr>
      <w:r>
        <w:rPr>
          <w:rFonts w:hint="eastAsia"/>
        </w:rPr>
        <w:t>项目猪粪产生量约</w:t>
      </w:r>
      <w:r>
        <w:rPr>
          <w:szCs w:val="21"/>
        </w:rPr>
        <w:t>2263</w:t>
      </w:r>
      <w:r>
        <w:rPr>
          <w:rFonts w:hint="eastAsia"/>
        </w:rPr>
        <w:t>t/a，</w:t>
      </w:r>
      <w:r>
        <w:t>采用干清粪工艺，经固液分离机分离出猪粪，分离率为80%，被分离出来的</w:t>
      </w:r>
      <w:r>
        <w:rPr>
          <w:rFonts w:hint="eastAsia"/>
        </w:rPr>
        <w:t>固体</w:t>
      </w:r>
      <w:r>
        <w:t>猪粪量为1810.4</w:t>
      </w:r>
      <w:r>
        <w:rPr>
          <w:rFonts w:hint="eastAsia"/>
        </w:rPr>
        <w:t>3</w:t>
      </w:r>
      <w:r>
        <w:t>t/a，</w:t>
      </w:r>
      <w:r>
        <w:rPr>
          <w:rFonts w:hint="eastAsia"/>
        </w:rPr>
        <w:t>外售</w:t>
      </w:r>
      <w:r>
        <w:t>作为有机肥厂原料，。剩余的20%</w:t>
      </w:r>
      <w:r>
        <w:rPr>
          <w:rFonts w:hint="eastAsia"/>
        </w:rPr>
        <w:t>（</w:t>
      </w:r>
      <w:r>
        <w:t>452.6t/a</w:t>
      </w:r>
      <w:r>
        <w:rPr>
          <w:rFonts w:hint="eastAsia"/>
        </w:rPr>
        <w:t>）</w:t>
      </w:r>
      <w:r>
        <w:t>进入</w:t>
      </w:r>
      <w:r>
        <w:rPr>
          <w:rFonts w:hint="eastAsia"/>
        </w:rPr>
        <w:t>厌氧发酵池</w:t>
      </w:r>
      <w:r>
        <w:t>处理</w:t>
      </w:r>
      <w:r>
        <w:rPr>
          <w:rFonts w:hint="eastAsia"/>
        </w:rPr>
        <w:t>，产生</w:t>
      </w:r>
      <w:r>
        <w:t>的沼液</w:t>
      </w:r>
      <w:r>
        <w:rPr>
          <w:rFonts w:hint="eastAsia"/>
        </w:rPr>
        <w:t>待</w:t>
      </w:r>
      <w:r>
        <w:t>施肥</w:t>
      </w:r>
      <w:r>
        <w:rPr>
          <w:rFonts w:hint="eastAsia"/>
        </w:rPr>
        <w:t>期</w:t>
      </w:r>
      <w:r>
        <w:t>作为农肥施用于种植区魔芋、特色林果业的肥料。</w:t>
      </w:r>
      <w:r>
        <w:rPr>
          <w:rFonts w:hint="eastAsia"/>
        </w:rPr>
        <w:t>满足《农业农村部办公厅 生态环境部办公厅关于进一步明确畜禽粪污还田利用要求强化养殖污染监管的通知》（农办牧〔2020〕23号）中的鼓励畜禽粪污还田利用中的粪肥</w:t>
      </w:r>
      <w:r>
        <w:t>还田</w:t>
      </w:r>
      <w:r>
        <w:rPr>
          <w:rFonts w:hint="eastAsia"/>
        </w:rPr>
        <w:t>、生产有机肥等方式进行资源化利用的要求，</w:t>
      </w:r>
      <w:r>
        <w:t>粪污得到妥善处理，不会对环境造成影响。</w:t>
      </w:r>
    </w:p>
    <w:p>
      <w:pPr>
        <w:pStyle w:val="5"/>
      </w:pPr>
      <w:r>
        <w:rPr>
          <w:rFonts w:hint="eastAsia"/>
        </w:rPr>
        <w:t>病死猪</w:t>
      </w:r>
      <w:r>
        <w:t>及</w:t>
      </w:r>
      <w:r>
        <w:rPr>
          <w:rFonts w:hint="eastAsia"/>
        </w:rPr>
        <w:t>分娩</w:t>
      </w:r>
      <w:r>
        <w:t>胎衣</w:t>
      </w:r>
    </w:p>
    <w:p>
      <w:pPr>
        <w:pStyle w:val="15"/>
        <w:spacing w:line="360" w:lineRule="auto"/>
        <w:ind w:firstLine="480" w:firstLineChars="200"/>
        <w:rPr>
          <w:rFonts w:ascii="Times New Roman" w:hAnsi="Times New Roman"/>
          <w:sz w:val="24"/>
          <w:szCs w:val="24"/>
        </w:rPr>
      </w:pPr>
      <w:r>
        <w:rPr>
          <w:rFonts w:hint="eastAsia" w:ascii="Times New Roman" w:hAnsi="Times New Roman"/>
          <w:sz w:val="24"/>
          <w:szCs w:val="24"/>
        </w:rPr>
        <w:t>项目病死猪为</w:t>
      </w:r>
      <w:r>
        <w:rPr>
          <w:rFonts w:ascii="Times New Roman" w:hAnsi="Times New Roman"/>
          <w:sz w:val="24"/>
          <w:szCs w:val="24"/>
        </w:rPr>
        <w:t>2.86t/a</w:t>
      </w:r>
      <w:r>
        <w:rPr>
          <w:rFonts w:hint="eastAsia" w:ascii="Times New Roman" w:hAnsi="Times New Roman"/>
          <w:sz w:val="24"/>
          <w:szCs w:val="24"/>
        </w:rPr>
        <w:t>，分娩废物产量为</w:t>
      </w:r>
      <w:r>
        <w:rPr>
          <w:rFonts w:ascii="Times New Roman" w:hAnsi="Times New Roman"/>
          <w:sz w:val="24"/>
          <w:szCs w:val="24"/>
        </w:rPr>
        <w:t>2.76t/a</w:t>
      </w:r>
      <w:r>
        <w:rPr>
          <w:rFonts w:hint="eastAsia" w:ascii="Times New Roman" w:hAnsi="Times New Roman"/>
          <w:sz w:val="24"/>
          <w:szCs w:val="24"/>
        </w:rPr>
        <w:t>，项目产生病死猪及分娩废物在场区内安全填埋。</w:t>
      </w:r>
    </w:p>
    <w:p>
      <w:pPr>
        <w:pStyle w:val="5"/>
      </w:pPr>
      <w:r>
        <w:rPr>
          <w:rFonts w:hint="eastAsia"/>
        </w:rPr>
        <w:t>医疗</w:t>
      </w:r>
      <w:r>
        <w:t>废物</w:t>
      </w:r>
    </w:p>
    <w:p>
      <w:pPr>
        <w:pStyle w:val="15"/>
        <w:spacing w:line="360" w:lineRule="auto"/>
        <w:ind w:firstLine="480" w:firstLineChars="200"/>
        <w:rPr>
          <w:rFonts w:ascii="Times New Roman" w:hAnsi="Times New Roman"/>
          <w:sz w:val="24"/>
          <w:szCs w:val="24"/>
        </w:rPr>
      </w:pPr>
      <w:r>
        <w:rPr>
          <w:rFonts w:hint="eastAsia" w:ascii="Times New Roman" w:hAnsi="Times New Roman"/>
          <w:sz w:val="24"/>
          <w:szCs w:val="24"/>
        </w:rPr>
        <w:t>医疗废物的产生量约为0.27t/a，该类废物将按照类别分别置于防渗漏的密闭容器内，经分类收集后暂存于医疗废物暂存间，交由有资质单位处置。</w:t>
      </w:r>
    </w:p>
    <w:p>
      <w:pPr>
        <w:pStyle w:val="79"/>
        <w:ind w:firstLine="480"/>
      </w:pPr>
      <w:r>
        <w:rPr>
          <w:rFonts w:hint="eastAsia"/>
        </w:rPr>
        <w:t>本评价要求建设单位对医疗废物的分类收集、贮存、运送、处置和管理等应严格执行《医疗废物集中处置技术规范》、《医疗废物管理条例》、《陕西省医疗卫生机构医疗废物管理规范（试行）》，建立医疗废物的暂时贮存设施、设备，不露天存放医疗废物，及时收集医疗废物，并按照类别分置于防渗漏、防锐器穿透的专用包装物或者密闭的容器内。医疗废物专用包装物、容器，应当有明显的警示标识和警示说明。使用防渗漏、防遗撒的专用运送工具，按照本单位确定的内部医疗废物运送时间、路线，将医疗废物收集、运送至暂时贮存地点。运送工具使用后应当在厂内指定的地点及时消毒和清洁等。在采取上述措施后，项目产生的医疗废物对环境不会产生不利影响。</w:t>
      </w:r>
    </w:p>
    <w:p>
      <w:pPr>
        <w:pStyle w:val="5"/>
      </w:pPr>
      <w:r>
        <w:rPr>
          <w:rFonts w:hint="eastAsia"/>
        </w:rPr>
        <w:t>废脱硫剂</w:t>
      </w:r>
    </w:p>
    <w:p>
      <w:pPr>
        <w:ind w:firstLine="480"/>
      </w:pPr>
      <w:r>
        <w:rPr>
          <w:rFonts w:hint="eastAsia"/>
        </w:rPr>
        <w:t>本项目采用干法脱硫（氧化铁），脱硫剂每半年更换一次，废脱硫剂产生量0.</w:t>
      </w:r>
      <w:r>
        <w:t>003</w:t>
      </w:r>
      <w:r>
        <w:rPr>
          <w:rFonts w:hint="eastAsia"/>
        </w:rPr>
        <w:t>t/a，该废物属于一般固废，可由生产厂家回收处理。</w:t>
      </w:r>
    </w:p>
    <w:p>
      <w:pPr>
        <w:pStyle w:val="5"/>
      </w:pPr>
      <w:r>
        <w:rPr>
          <w:rFonts w:hint="eastAsia"/>
        </w:rPr>
        <w:t>生活</w:t>
      </w:r>
      <w:r>
        <w:t>垃圾</w:t>
      </w:r>
    </w:p>
    <w:p>
      <w:pPr>
        <w:pStyle w:val="79"/>
        <w:ind w:firstLine="480"/>
      </w:pPr>
      <w:r>
        <w:rPr>
          <w:rFonts w:hint="eastAsia"/>
        </w:rPr>
        <w:t>项目</w:t>
      </w:r>
      <w:r>
        <w:t>生活垃圾的产生量为</w:t>
      </w:r>
      <w:r>
        <w:rPr>
          <w:rFonts w:hint="eastAsia"/>
        </w:rPr>
        <w:t>9.13</w:t>
      </w:r>
      <w:r>
        <w:t>t/a，收集后与附近村庄生活垃圾一起处理。</w:t>
      </w:r>
    </w:p>
    <w:p>
      <w:pPr>
        <w:pStyle w:val="79"/>
        <w:ind w:firstLine="480"/>
      </w:pPr>
      <w:r>
        <w:rPr>
          <w:rFonts w:hint="eastAsia"/>
        </w:rPr>
        <w:t>项目</w:t>
      </w:r>
      <w:r>
        <w:t>固体废物产</w:t>
      </w:r>
      <w:r>
        <w:rPr>
          <w:rFonts w:hint="eastAsia"/>
        </w:rPr>
        <w:t>生</w:t>
      </w:r>
      <w:r>
        <w:t>及处置一览表见表5.2-16</w:t>
      </w:r>
      <w:r>
        <w:rPr>
          <w:rFonts w:hint="eastAsia"/>
        </w:rPr>
        <w:t>。</w:t>
      </w:r>
    </w:p>
    <w:p>
      <w:pPr>
        <w:pStyle w:val="85"/>
      </w:pPr>
      <w:r>
        <w:rPr>
          <w:rFonts w:hint="eastAsia"/>
        </w:rPr>
        <w:t>表</w:t>
      </w:r>
      <w:r>
        <w:fldChar w:fldCharType="begin"/>
      </w:r>
      <w:r>
        <w:rPr>
          <w:rFonts w:hint="eastAsia"/>
        </w:rPr>
        <w:instrText xml:space="preserve">STYLEREF 2 \s</w:instrText>
      </w:r>
      <w:r>
        <w:fldChar w:fldCharType="separate"/>
      </w:r>
      <w:r>
        <w:t>5.2</w:t>
      </w:r>
      <w:r>
        <w:fldChar w:fldCharType="end"/>
      </w:r>
      <w:r>
        <w:noBreakHyphen/>
      </w:r>
      <w:r>
        <w:t xml:space="preserve">16  </w:t>
      </w:r>
      <w:r>
        <w:rPr>
          <w:rFonts w:hint="eastAsia"/>
        </w:rPr>
        <w:t>固体废物产生及处置一览表</w:t>
      </w:r>
    </w:p>
    <w:tbl>
      <w:tblPr>
        <w:tblStyle w:val="27"/>
        <w:tblW w:w="765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12"/>
        <w:gridCol w:w="992"/>
        <w:gridCol w:w="1134"/>
        <w:gridCol w:w="851"/>
        <w:gridCol w:w="32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491" w:type="dxa"/>
            <w:vAlign w:val="center"/>
          </w:tcPr>
          <w:p>
            <w:pPr>
              <w:pStyle w:val="40"/>
            </w:pPr>
            <w:r>
              <w:t>序号</w:t>
            </w:r>
          </w:p>
        </w:tc>
        <w:tc>
          <w:tcPr>
            <w:tcW w:w="912" w:type="dxa"/>
            <w:vAlign w:val="center"/>
          </w:tcPr>
          <w:p>
            <w:pPr>
              <w:pStyle w:val="40"/>
            </w:pPr>
            <w:r>
              <w:t>固废名称</w:t>
            </w:r>
          </w:p>
        </w:tc>
        <w:tc>
          <w:tcPr>
            <w:tcW w:w="992" w:type="dxa"/>
            <w:vAlign w:val="center"/>
          </w:tcPr>
          <w:p>
            <w:pPr>
              <w:pStyle w:val="40"/>
            </w:pPr>
            <w:r>
              <w:t>产生环节</w:t>
            </w:r>
          </w:p>
        </w:tc>
        <w:tc>
          <w:tcPr>
            <w:tcW w:w="1134" w:type="dxa"/>
            <w:vAlign w:val="center"/>
          </w:tcPr>
          <w:p>
            <w:pPr>
              <w:pStyle w:val="40"/>
            </w:pPr>
            <w:r>
              <w:t>固废性质</w:t>
            </w:r>
          </w:p>
        </w:tc>
        <w:tc>
          <w:tcPr>
            <w:tcW w:w="851" w:type="dxa"/>
            <w:vAlign w:val="center"/>
          </w:tcPr>
          <w:p>
            <w:pPr>
              <w:pStyle w:val="40"/>
            </w:pPr>
            <w:r>
              <w:t>产量（t/a）</w:t>
            </w:r>
          </w:p>
        </w:tc>
        <w:tc>
          <w:tcPr>
            <w:tcW w:w="3275" w:type="dxa"/>
            <w:vAlign w:val="center"/>
          </w:tcPr>
          <w:p>
            <w:pPr>
              <w:pStyle w:val="40"/>
            </w:pPr>
            <w: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0"/>
            </w:pPr>
            <w:r>
              <w:t>1</w:t>
            </w:r>
          </w:p>
        </w:tc>
        <w:tc>
          <w:tcPr>
            <w:tcW w:w="912" w:type="dxa"/>
            <w:vAlign w:val="center"/>
          </w:tcPr>
          <w:p>
            <w:pPr>
              <w:pStyle w:val="40"/>
            </w:pPr>
            <w:r>
              <w:t>猪粪</w:t>
            </w:r>
          </w:p>
        </w:tc>
        <w:tc>
          <w:tcPr>
            <w:tcW w:w="992" w:type="dxa"/>
            <w:vAlign w:val="center"/>
          </w:tcPr>
          <w:p>
            <w:pPr>
              <w:pStyle w:val="40"/>
            </w:pPr>
            <w:r>
              <w:t>猪舍</w:t>
            </w:r>
          </w:p>
        </w:tc>
        <w:tc>
          <w:tcPr>
            <w:tcW w:w="1134" w:type="dxa"/>
            <w:vAlign w:val="center"/>
          </w:tcPr>
          <w:p>
            <w:pPr>
              <w:pStyle w:val="40"/>
              <w:rPr>
                <w:spacing w:val="4"/>
              </w:rPr>
            </w:pPr>
            <w:r>
              <w:rPr>
                <w:spacing w:val="4"/>
              </w:rPr>
              <w:t>一般固废</w:t>
            </w:r>
          </w:p>
        </w:tc>
        <w:tc>
          <w:tcPr>
            <w:tcW w:w="851" w:type="dxa"/>
            <w:vAlign w:val="center"/>
          </w:tcPr>
          <w:p>
            <w:pPr>
              <w:pStyle w:val="40"/>
              <w:rPr>
                <w:spacing w:val="4"/>
              </w:rPr>
            </w:pPr>
            <w:r>
              <w:t>2263</w:t>
            </w:r>
          </w:p>
        </w:tc>
        <w:tc>
          <w:tcPr>
            <w:tcW w:w="3275" w:type="dxa"/>
            <w:vAlign w:val="center"/>
          </w:tcPr>
          <w:p>
            <w:pPr>
              <w:pStyle w:val="84"/>
              <w:jc w:val="both"/>
            </w:pPr>
            <w:r>
              <w:t>采用干清粪工艺，经固液分离机分离出猪粪，分离率为80%，被分离出来的</w:t>
            </w:r>
            <w:r>
              <w:rPr>
                <w:rFonts w:hint="eastAsia"/>
              </w:rPr>
              <w:t>固体</w:t>
            </w:r>
            <w:r>
              <w:t>猪粪</w:t>
            </w:r>
            <w:r>
              <w:rPr>
                <w:rFonts w:hint="eastAsia"/>
              </w:rPr>
              <w:t>袋装外售</w:t>
            </w:r>
            <w:r>
              <w:t>作为有机肥厂原料，剩余的20%进入</w:t>
            </w:r>
            <w:r>
              <w:rPr>
                <w:rFonts w:hint="eastAsia"/>
              </w:rPr>
              <w:t>厌氧发酵池</w:t>
            </w:r>
            <w: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0"/>
            </w:pPr>
            <w:r>
              <w:t>2</w:t>
            </w:r>
          </w:p>
        </w:tc>
        <w:tc>
          <w:tcPr>
            <w:tcW w:w="912" w:type="dxa"/>
            <w:vAlign w:val="center"/>
          </w:tcPr>
          <w:p>
            <w:pPr>
              <w:pStyle w:val="40"/>
            </w:pPr>
            <w:r>
              <w:t>病死猪</w:t>
            </w:r>
          </w:p>
        </w:tc>
        <w:tc>
          <w:tcPr>
            <w:tcW w:w="992" w:type="dxa"/>
            <w:vAlign w:val="center"/>
          </w:tcPr>
          <w:p>
            <w:pPr>
              <w:pStyle w:val="40"/>
            </w:pPr>
            <w:r>
              <w:t>猪舍</w:t>
            </w:r>
          </w:p>
        </w:tc>
        <w:tc>
          <w:tcPr>
            <w:tcW w:w="1134" w:type="dxa"/>
            <w:vAlign w:val="center"/>
          </w:tcPr>
          <w:p>
            <w:pPr>
              <w:pStyle w:val="40"/>
              <w:rPr>
                <w:spacing w:val="4"/>
              </w:rPr>
            </w:pPr>
            <w:r>
              <w:rPr>
                <w:spacing w:val="4"/>
              </w:rPr>
              <w:t>一般固废</w:t>
            </w:r>
          </w:p>
        </w:tc>
        <w:tc>
          <w:tcPr>
            <w:tcW w:w="851" w:type="dxa"/>
            <w:vAlign w:val="center"/>
          </w:tcPr>
          <w:p>
            <w:pPr>
              <w:pStyle w:val="84"/>
              <w:rPr>
                <w:highlight w:val="yellow"/>
              </w:rPr>
            </w:pPr>
            <w:r>
              <w:t>2.86</w:t>
            </w:r>
          </w:p>
        </w:tc>
        <w:tc>
          <w:tcPr>
            <w:tcW w:w="3275" w:type="dxa"/>
            <w:vAlign w:val="center"/>
          </w:tcPr>
          <w:p>
            <w:pPr>
              <w:pStyle w:val="40"/>
            </w:pPr>
            <w:r>
              <w:t>安全填埋井填埋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0"/>
            </w:pPr>
            <w:r>
              <w:t>3</w:t>
            </w:r>
          </w:p>
        </w:tc>
        <w:tc>
          <w:tcPr>
            <w:tcW w:w="912" w:type="dxa"/>
            <w:vAlign w:val="center"/>
          </w:tcPr>
          <w:p>
            <w:pPr>
              <w:pStyle w:val="40"/>
            </w:pPr>
            <w:r>
              <w:rPr>
                <w:rFonts w:hint="eastAsia"/>
              </w:rPr>
              <w:t>分娩废物</w:t>
            </w:r>
          </w:p>
        </w:tc>
        <w:tc>
          <w:tcPr>
            <w:tcW w:w="992" w:type="dxa"/>
            <w:vAlign w:val="center"/>
          </w:tcPr>
          <w:p>
            <w:pPr>
              <w:pStyle w:val="40"/>
            </w:pPr>
            <w:r>
              <w:t>猪舍</w:t>
            </w:r>
          </w:p>
        </w:tc>
        <w:tc>
          <w:tcPr>
            <w:tcW w:w="1134" w:type="dxa"/>
            <w:vAlign w:val="center"/>
          </w:tcPr>
          <w:p>
            <w:pPr>
              <w:pStyle w:val="40"/>
              <w:rPr>
                <w:spacing w:val="4"/>
              </w:rPr>
            </w:pPr>
            <w:r>
              <w:rPr>
                <w:spacing w:val="4"/>
              </w:rPr>
              <w:t>一般固废</w:t>
            </w:r>
          </w:p>
        </w:tc>
        <w:tc>
          <w:tcPr>
            <w:tcW w:w="851" w:type="dxa"/>
            <w:vAlign w:val="center"/>
          </w:tcPr>
          <w:p>
            <w:pPr>
              <w:pStyle w:val="84"/>
              <w:rPr>
                <w:highlight w:val="yellow"/>
              </w:rPr>
            </w:pPr>
            <w:r>
              <w:rPr>
                <w:rFonts w:hint="eastAsia"/>
              </w:rPr>
              <w:t>2.76</w:t>
            </w:r>
          </w:p>
        </w:tc>
        <w:tc>
          <w:tcPr>
            <w:tcW w:w="3275" w:type="dxa"/>
            <w:vAlign w:val="center"/>
          </w:tcPr>
          <w:p>
            <w:pPr>
              <w:pStyle w:val="40"/>
            </w:pPr>
            <w:r>
              <w:t>安全填埋井填埋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0"/>
            </w:pPr>
            <w:r>
              <w:t>4</w:t>
            </w:r>
          </w:p>
        </w:tc>
        <w:tc>
          <w:tcPr>
            <w:tcW w:w="912" w:type="dxa"/>
            <w:vAlign w:val="center"/>
          </w:tcPr>
          <w:p>
            <w:pPr>
              <w:pStyle w:val="40"/>
            </w:pPr>
            <w:r>
              <w:t>医疗</w:t>
            </w:r>
            <w:r>
              <w:rPr>
                <w:rFonts w:hint="eastAsia"/>
              </w:rPr>
              <w:t>废物</w:t>
            </w:r>
          </w:p>
        </w:tc>
        <w:tc>
          <w:tcPr>
            <w:tcW w:w="992" w:type="dxa"/>
            <w:vAlign w:val="center"/>
          </w:tcPr>
          <w:p>
            <w:pPr>
              <w:pStyle w:val="40"/>
            </w:pPr>
            <w:r>
              <w:t>防疫</w:t>
            </w:r>
          </w:p>
        </w:tc>
        <w:tc>
          <w:tcPr>
            <w:tcW w:w="1134" w:type="dxa"/>
            <w:vAlign w:val="center"/>
          </w:tcPr>
          <w:p>
            <w:pPr>
              <w:pStyle w:val="40"/>
            </w:pPr>
            <w:r>
              <w:t>危险废物（HW0</w:t>
            </w:r>
            <w:r>
              <w:rPr>
                <w:rFonts w:hint="eastAsia"/>
              </w:rPr>
              <w:t xml:space="preserve">1 </w:t>
            </w:r>
            <w:r>
              <w:t>841</w:t>
            </w:r>
            <w:r>
              <w:rPr>
                <w:rFonts w:hint="eastAsia"/>
              </w:rPr>
              <w:t>-001-01</w:t>
            </w:r>
            <w:r>
              <w:t>）</w:t>
            </w:r>
          </w:p>
        </w:tc>
        <w:tc>
          <w:tcPr>
            <w:tcW w:w="851" w:type="dxa"/>
            <w:vAlign w:val="center"/>
          </w:tcPr>
          <w:p>
            <w:pPr>
              <w:pStyle w:val="40"/>
            </w:pPr>
            <w:r>
              <w:rPr>
                <w:rFonts w:hint="eastAsia"/>
                <w:szCs w:val="21"/>
              </w:rPr>
              <w:t>0.27</w:t>
            </w:r>
          </w:p>
        </w:tc>
        <w:tc>
          <w:tcPr>
            <w:tcW w:w="3275" w:type="dxa"/>
            <w:vAlign w:val="center"/>
          </w:tcPr>
          <w:p>
            <w:pPr>
              <w:pStyle w:val="40"/>
            </w:pPr>
            <w:r>
              <w:t>收集后交由</w:t>
            </w:r>
            <w:r>
              <w:rPr>
                <w:rFonts w:hint="eastAsia"/>
              </w:rPr>
              <w:t>有资质单位进行处置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0"/>
              <w:rPr>
                <w:highlight w:val="yellow"/>
              </w:rPr>
            </w:pPr>
            <w:r>
              <w:t>5</w:t>
            </w:r>
          </w:p>
        </w:tc>
        <w:tc>
          <w:tcPr>
            <w:tcW w:w="912" w:type="dxa"/>
            <w:vAlign w:val="center"/>
          </w:tcPr>
          <w:p>
            <w:pPr>
              <w:pStyle w:val="40"/>
            </w:pPr>
            <w:r>
              <w:t>废脱硫剂</w:t>
            </w:r>
          </w:p>
        </w:tc>
        <w:tc>
          <w:tcPr>
            <w:tcW w:w="992" w:type="dxa"/>
            <w:vAlign w:val="center"/>
          </w:tcPr>
          <w:p>
            <w:pPr>
              <w:pStyle w:val="40"/>
            </w:pPr>
            <w:r>
              <w:t>沼气脱硫装置</w:t>
            </w:r>
          </w:p>
        </w:tc>
        <w:tc>
          <w:tcPr>
            <w:tcW w:w="1134" w:type="dxa"/>
            <w:vAlign w:val="center"/>
          </w:tcPr>
          <w:p>
            <w:pPr>
              <w:pStyle w:val="40"/>
            </w:pPr>
            <w:r>
              <w:rPr>
                <w:spacing w:val="4"/>
              </w:rPr>
              <w:t>一般固废</w:t>
            </w:r>
          </w:p>
        </w:tc>
        <w:tc>
          <w:tcPr>
            <w:tcW w:w="851" w:type="dxa"/>
            <w:vAlign w:val="center"/>
          </w:tcPr>
          <w:p>
            <w:pPr>
              <w:pStyle w:val="40"/>
            </w:pPr>
            <w:r>
              <w:t>0.003</w:t>
            </w:r>
          </w:p>
        </w:tc>
        <w:tc>
          <w:tcPr>
            <w:tcW w:w="3275" w:type="dxa"/>
            <w:vAlign w:val="center"/>
          </w:tcPr>
          <w:p>
            <w:pPr>
              <w:pStyle w:val="40"/>
            </w:pPr>
            <w:r>
              <w:t>收集后交由生产厂家回收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0"/>
              <w:rPr>
                <w:highlight w:val="yellow"/>
              </w:rPr>
            </w:pPr>
            <w:r>
              <w:t>6</w:t>
            </w:r>
          </w:p>
        </w:tc>
        <w:tc>
          <w:tcPr>
            <w:tcW w:w="912" w:type="dxa"/>
            <w:vAlign w:val="center"/>
          </w:tcPr>
          <w:p>
            <w:pPr>
              <w:pStyle w:val="40"/>
            </w:pPr>
            <w:r>
              <w:t>生活垃圾</w:t>
            </w:r>
          </w:p>
        </w:tc>
        <w:tc>
          <w:tcPr>
            <w:tcW w:w="992" w:type="dxa"/>
            <w:vAlign w:val="center"/>
          </w:tcPr>
          <w:p>
            <w:pPr>
              <w:pStyle w:val="40"/>
            </w:pPr>
            <w:r>
              <w:t>职工日常生活、办公</w:t>
            </w:r>
          </w:p>
        </w:tc>
        <w:tc>
          <w:tcPr>
            <w:tcW w:w="1134" w:type="dxa"/>
            <w:vAlign w:val="center"/>
          </w:tcPr>
          <w:p>
            <w:pPr>
              <w:pStyle w:val="40"/>
            </w:pPr>
            <w:r>
              <w:rPr>
                <w:spacing w:val="4"/>
              </w:rPr>
              <w:t>一般固废</w:t>
            </w:r>
          </w:p>
        </w:tc>
        <w:tc>
          <w:tcPr>
            <w:tcW w:w="851" w:type="dxa"/>
            <w:vAlign w:val="center"/>
          </w:tcPr>
          <w:p>
            <w:pPr>
              <w:pStyle w:val="40"/>
            </w:pPr>
            <w:r>
              <w:rPr>
                <w:rFonts w:hint="eastAsia"/>
                <w:szCs w:val="21"/>
              </w:rPr>
              <w:t>9.13</w:t>
            </w:r>
          </w:p>
        </w:tc>
        <w:tc>
          <w:tcPr>
            <w:tcW w:w="3275" w:type="dxa"/>
            <w:vAlign w:val="center"/>
          </w:tcPr>
          <w:p>
            <w:pPr>
              <w:pStyle w:val="40"/>
            </w:pPr>
            <w:r>
              <w:t>收集后与附近村庄生活垃圾一起处理</w:t>
            </w:r>
          </w:p>
        </w:tc>
      </w:tr>
    </w:tbl>
    <w:p>
      <w:pPr>
        <w:pStyle w:val="79"/>
        <w:ind w:firstLine="480"/>
      </w:pPr>
      <w:bookmarkStart w:id="149" w:name="_Toc18389"/>
      <w:bookmarkStart w:id="150" w:name="_Toc406942368"/>
      <w:bookmarkStart w:id="151" w:name="_Toc32554"/>
      <w:bookmarkStart w:id="152" w:name="_Toc26317"/>
      <w:r>
        <w:t>综上所述，项目产生的固体废物全部进行安全处置，不外排，固体废物对周围环境影响较小。</w:t>
      </w:r>
    </w:p>
    <w:p>
      <w:pPr>
        <w:pStyle w:val="4"/>
      </w:pPr>
      <w:r>
        <w:rPr>
          <w:rFonts w:hint="eastAsia"/>
        </w:rPr>
        <w:t>土壤</w:t>
      </w:r>
      <w:r>
        <w:t>环境影响分析</w:t>
      </w:r>
    </w:p>
    <w:p>
      <w:pPr>
        <w:pStyle w:val="5"/>
      </w:pPr>
      <w:r>
        <w:rPr>
          <w:rFonts w:hint="eastAsia"/>
        </w:rPr>
        <w:t>土壤</w:t>
      </w:r>
      <w:r>
        <w:t>环境影响类型与影响途径识别</w:t>
      </w:r>
    </w:p>
    <w:p>
      <w:pPr>
        <w:pStyle w:val="79"/>
        <w:ind w:firstLine="480"/>
      </w:pPr>
      <w:r>
        <w:rPr>
          <w:rFonts w:hint="eastAsia"/>
        </w:rPr>
        <w:t>本项目为生猪养殖项目，养殖场在运营过程中存在的主要土壤污染源包括养殖恶臭、粪便、尿液等，主要污染因子包括氨气、硫化氢、COD、氨氮等，不含重金属、酸、碱等污染因子，不会对土壤环境造成盐化、酸化和碱化等影响。但猪粪和尿液中含有许多未消化吸收的有机物、微量元素和病原微生物，若不妥善处理，随意堆存，不仅直接污染土壤，还可能进一步通过土壤污染地下水环境。因此项目对土壤的影响因素主要为废水泄漏入渗土壤污染土壤环境质量，属于污染影响型项目。土壤环境影响途径为大气</w:t>
      </w:r>
      <w:r>
        <w:t>沉降、</w:t>
      </w:r>
      <w:r>
        <w:rPr>
          <w:rFonts w:hint="eastAsia"/>
        </w:rPr>
        <w:t>地面漫流和垂直入渗。本项目</w:t>
      </w:r>
      <w:r>
        <w:t>土壤影响类型和途径</w:t>
      </w:r>
      <w:r>
        <w:rPr>
          <w:rFonts w:hint="eastAsia"/>
        </w:rPr>
        <w:t>识别</w:t>
      </w:r>
      <w:r>
        <w:t>见表</w:t>
      </w:r>
      <w:r>
        <w:rPr>
          <w:rFonts w:hint="eastAsia"/>
        </w:rPr>
        <w:t>5.2-</w:t>
      </w:r>
      <w:r>
        <w:t>17</w:t>
      </w:r>
      <w:r>
        <w:rPr>
          <w:rFonts w:hint="eastAsia"/>
        </w:rPr>
        <w:t>。</w:t>
      </w:r>
    </w:p>
    <w:p>
      <w:pPr>
        <w:pStyle w:val="41"/>
      </w:pPr>
      <w:r>
        <w:rPr>
          <w:rFonts w:hint="eastAsia" w:ascii="宋体" w:hAnsi="宋体" w:eastAsia="宋体" w:cs="宋体"/>
        </w:rPr>
        <w:t>表</w:t>
      </w:r>
      <w:r>
        <w:t xml:space="preserve">5.2-17  </w:t>
      </w:r>
      <w:r>
        <w:rPr>
          <w:rFonts w:hint="eastAsia" w:ascii="宋体" w:hAnsi="宋体" w:eastAsia="宋体" w:cs="宋体"/>
        </w:rPr>
        <w:t>建设项目土壤影响途径</w:t>
      </w:r>
    </w:p>
    <w:tbl>
      <w:tblPr>
        <w:tblStyle w:val="27"/>
        <w:tblW w:w="85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699"/>
        <w:gridCol w:w="1699"/>
        <w:gridCol w:w="1701"/>
        <w:gridCol w:w="17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699" w:type="dxa"/>
            <w:vMerge w:val="restart"/>
            <w:vAlign w:val="center"/>
          </w:tcPr>
          <w:p>
            <w:pPr>
              <w:pStyle w:val="79"/>
              <w:spacing w:line="240" w:lineRule="auto"/>
              <w:ind w:firstLine="0" w:firstLineChars="0"/>
              <w:jc w:val="center"/>
            </w:pPr>
            <w:r>
              <w:t>不同时段</w:t>
            </w:r>
          </w:p>
        </w:tc>
        <w:tc>
          <w:tcPr>
            <w:tcW w:w="6814" w:type="dxa"/>
            <w:gridSpan w:val="4"/>
            <w:vAlign w:val="center"/>
          </w:tcPr>
          <w:p>
            <w:pPr>
              <w:pStyle w:val="79"/>
              <w:spacing w:line="240" w:lineRule="auto"/>
              <w:ind w:firstLine="0" w:firstLineChars="0"/>
              <w:jc w:val="center"/>
            </w:pPr>
            <w: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699" w:type="dxa"/>
            <w:vMerge w:val="continue"/>
            <w:vAlign w:val="center"/>
          </w:tcPr>
          <w:p>
            <w:pPr>
              <w:pStyle w:val="79"/>
              <w:spacing w:line="240" w:lineRule="auto"/>
              <w:ind w:firstLine="0" w:firstLineChars="0"/>
              <w:jc w:val="center"/>
            </w:pPr>
          </w:p>
        </w:tc>
        <w:tc>
          <w:tcPr>
            <w:tcW w:w="1699" w:type="dxa"/>
            <w:vAlign w:val="center"/>
          </w:tcPr>
          <w:p>
            <w:pPr>
              <w:pStyle w:val="79"/>
              <w:spacing w:line="240" w:lineRule="auto"/>
              <w:ind w:firstLine="0" w:firstLineChars="0"/>
              <w:jc w:val="center"/>
            </w:pPr>
            <w:r>
              <w:t>大气沉降</w:t>
            </w:r>
          </w:p>
        </w:tc>
        <w:tc>
          <w:tcPr>
            <w:tcW w:w="1699" w:type="dxa"/>
            <w:vAlign w:val="center"/>
          </w:tcPr>
          <w:p>
            <w:pPr>
              <w:pStyle w:val="79"/>
              <w:spacing w:line="240" w:lineRule="auto"/>
              <w:ind w:firstLine="0" w:firstLineChars="0"/>
              <w:jc w:val="center"/>
            </w:pPr>
            <w:r>
              <w:t>地面漫流</w:t>
            </w:r>
          </w:p>
        </w:tc>
        <w:tc>
          <w:tcPr>
            <w:tcW w:w="1701" w:type="dxa"/>
            <w:vAlign w:val="center"/>
          </w:tcPr>
          <w:p>
            <w:pPr>
              <w:pStyle w:val="79"/>
              <w:spacing w:line="240" w:lineRule="auto"/>
              <w:ind w:firstLine="0" w:firstLineChars="0"/>
              <w:jc w:val="center"/>
            </w:pPr>
            <w:r>
              <w:t>垂直入渗</w:t>
            </w:r>
          </w:p>
        </w:tc>
        <w:tc>
          <w:tcPr>
            <w:tcW w:w="1715" w:type="dxa"/>
            <w:vAlign w:val="center"/>
          </w:tcPr>
          <w:p>
            <w:pPr>
              <w:pStyle w:val="79"/>
              <w:spacing w:line="240" w:lineRule="auto"/>
              <w:ind w:firstLine="0" w:firstLineChars="0"/>
              <w:jc w:val="center"/>
            </w:pPr>
            <w: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1699" w:type="dxa"/>
            <w:vAlign w:val="center"/>
          </w:tcPr>
          <w:p>
            <w:pPr>
              <w:pStyle w:val="79"/>
              <w:spacing w:line="240" w:lineRule="auto"/>
              <w:ind w:firstLine="0" w:firstLineChars="0"/>
              <w:jc w:val="center"/>
            </w:pPr>
            <w:r>
              <w:t>运营期</w:t>
            </w:r>
          </w:p>
        </w:tc>
        <w:tc>
          <w:tcPr>
            <w:tcW w:w="1699" w:type="dxa"/>
            <w:vAlign w:val="center"/>
          </w:tcPr>
          <w:p>
            <w:pPr>
              <w:pStyle w:val="79"/>
              <w:spacing w:line="240" w:lineRule="auto"/>
              <w:ind w:firstLine="0" w:firstLineChars="0"/>
              <w:jc w:val="center"/>
            </w:pPr>
            <w:r>
              <w:t>√</w:t>
            </w:r>
          </w:p>
        </w:tc>
        <w:tc>
          <w:tcPr>
            <w:tcW w:w="1699" w:type="dxa"/>
            <w:vAlign w:val="center"/>
          </w:tcPr>
          <w:p>
            <w:pPr>
              <w:pStyle w:val="79"/>
              <w:spacing w:line="240" w:lineRule="auto"/>
              <w:ind w:firstLine="0" w:firstLineChars="0"/>
              <w:jc w:val="center"/>
            </w:pPr>
            <w:r>
              <w:t>√</w:t>
            </w:r>
          </w:p>
        </w:tc>
        <w:tc>
          <w:tcPr>
            <w:tcW w:w="1701" w:type="dxa"/>
            <w:vAlign w:val="center"/>
          </w:tcPr>
          <w:p>
            <w:pPr>
              <w:pStyle w:val="79"/>
              <w:spacing w:line="240" w:lineRule="auto"/>
              <w:ind w:firstLine="0" w:firstLineChars="0"/>
              <w:jc w:val="center"/>
            </w:pPr>
            <w:r>
              <w:t>√</w:t>
            </w:r>
          </w:p>
        </w:tc>
        <w:tc>
          <w:tcPr>
            <w:tcW w:w="1715" w:type="dxa"/>
            <w:vAlign w:val="center"/>
          </w:tcPr>
          <w:p>
            <w:pPr>
              <w:pStyle w:val="79"/>
              <w:spacing w:line="240" w:lineRule="auto"/>
              <w:ind w:firstLine="0" w:firstLineChars="0"/>
              <w:jc w:val="center"/>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8513" w:type="dxa"/>
            <w:gridSpan w:val="5"/>
            <w:vAlign w:val="center"/>
          </w:tcPr>
          <w:p>
            <w:pPr>
              <w:pStyle w:val="79"/>
              <w:spacing w:line="240" w:lineRule="auto"/>
              <w:ind w:firstLine="0" w:firstLineChars="0"/>
              <w:jc w:val="center"/>
            </w:pPr>
            <w:r>
              <w:t>注：在可能产生土壤环境影响类型处打“√”，列表未涵盖的可自行设计</w:t>
            </w:r>
          </w:p>
        </w:tc>
      </w:tr>
    </w:tbl>
    <w:p>
      <w:pPr>
        <w:pStyle w:val="5"/>
      </w:pPr>
      <w:r>
        <w:rPr>
          <w:rFonts w:hint="eastAsia"/>
        </w:rPr>
        <w:t>土壤</w:t>
      </w:r>
      <w:r>
        <w:t>环境影响源及影响因子识别</w:t>
      </w:r>
    </w:p>
    <w:p>
      <w:pPr>
        <w:pStyle w:val="79"/>
        <w:ind w:firstLine="480"/>
      </w:pPr>
      <w:r>
        <w:rPr>
          <w:rFonts w:hint="eastAsia"/>
        </w:rPr>
        <w:t>本项目属于污染影响型建设项目，对</w:t>
      </w:r>
      <w:r>
        <w:t>土壤的影响源</w:t>
      </w:r>
      <w:r>
        <w:rPr>
          <w:rFonts w:hint="eastAsia"/>
        </w:rPr>
        <w:t>及</w:t>
      </w:r>
      <w:r>
        <w:t>影响因子识别见表</w:t>
      </w:r>
      <w:r>
        <w:rPr>
          <w:rFonts w:hint="eastAsia"/>
        </w:rPr>
        <w:t>5.2-</w:t>
      </w:r>
      <w:r>
        <w:t>18</w:t>
      </w:r>
      <w:r>
        <w:rPr>
          <w:rFonts w:hint="eastAsia"/>
        </w:rPr>
        <w:t>。</w:t>
      </w:r>
    </w:p>
    <w:p>
      <w:pPr>
        <w:spacing w:line="500" w:lineRule="exact"/>
        <w:ind w:firstLine="0" w:firstLineChars="0"/>
        <w:jc w:val="center"/>
        <w:rPr>
          <w:b/>
          <w:bCs/>
          <w:szCs w:val="24"/>
        </w:rPr>
      </w:pPr>
      <w:r>
        <w:rPr>
          <w:b/>
          <w:bCs/>
          <w:szCs w:val="24"/>
        </w:rPr>
        <w:t>表</w:t>
      </w:r>
      <w:r>
        <w:rPr>
          <w:rFonts w:hint="eastAsia"/>
          <w:b/>
          <w:bCs/>
          <w:szCs w:val="24"/>
        </w:rPr>
        <w:t>5.2</w:t>
      </w:r>
      <w:r>
        <w:rPr>
          <w:b/>
          <w:bCs/>
          <w:szCs w:val="24"/>
        </w:rPr>
        <w:t>-18  污染影响型建设项目土壤影响源及影响因子识别表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52"/>
        <w:gridCol w:w="1204"/>
        <w:gridCol w:w="1996"/>
        <w:gridCol w:w="1198"/>
        <w:gridCol w:w="1730"/>
        <w:gridCol w:w="932"/>
        <w:gridCol w:w="6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52" w:type="dxa"/>
            <w:shd w:val="clear" w:color="auto" w:fill="auto"/>
            <w:vAlign w:val="center"/>
          </w:tcPr>
          <w:p>
            <w:pPr>
              <w:spacing w:line="240" w:lineRule="auto"/>
              <w:ind w:firstLine="0" w:firstLineChars="0"/>
              <w:jc w:val="center"/>
              <w:rPr>
                <w:b/>
                <w:bCs/>
                <w:snapToGrid w:val="0"/>
                <w:kern w:val="0"/>
                <w:sz w:val="21"/>
                <w:szCs w:val="21"/>
              </w:rPr>
            </w:pPr>
            <w:r>
              <w:rPr>
                <w:b/>
                <w:bCs/>
                <w:snapToGrid w:val="0"/>
                <w:kern w:val="0"/>
                <w:sz w:val="21"/>
                <w:szCs w:val="21"/>
              </w:rPr>
              <w:t>时期</w:t>
            </w:r>
          </w:p>
        </w:tc>
        <w:tc>
          <w:tcPr>
            <w:tcW w:w="1204" w:type="dxa"/>
            <w:shd w:val="clear" w:color="auto" w:fill="auto"/>
            <w:vAlign w:val="center"/>
          </w:tcPr>
          <w:p>
            <w:pPr>
              <w:spacing w:line="240" w:lineRule="auto"/>
              <w:ind w:firstLine="0" w:firstLineChars="0"/>
              <w:jc w:val="center"/>
              <w:rPr>
                <w:b/>
                <w:bCs/>
                <w:snapToGrid w:val="0"/>
                <w:kern w:val="0"/>
                <w:sz w:val="21"/>
                <w:szCs w:val="21"/>
              </w:rPr>
            </w:pPr>
            <w:r>
              <w:rPr>
                <w:b/>
                <w:bCs/>
                <w:snapToGrid w:val="0"/>
                <w:kern w:val="0"/>
                <w:sz w:val="21"/>
                <w:szCs w:val="21"/>
              </w:rPr>
              <w:t>污染源</w:t>
            </w:r>
          </w:p>
        </w:tc>
        <w:tc>
          <w:tcPr>
            <w:tcW w:w="1996" w:type="dxa"/>
            <w:shd w:val="clear" w:color="auto" w:fill="auto"/>
            <w:vAlign w:val="center"/>
          </w:tcPr>
          <w:p>
            <w:pPr>
              <w:spacing w:line="240" w:lineRule="auto"/>
              <w:ind w:firstLine="0" w:firstLineChars="0"/>
              <w:jc w:val="center"/>
              <w:rPr>
                <w:b/>
                <w:bCs/>
                <w:snapToGrid w:val="0"/>
                <w:kern w:val="0"/>
                <w:sz w:val="21"/>
                <w:szCs w:val="21"/>
              </w:rPr>
            </w:pPr>
            <w:r>
              <w:rPr>
                <w:b/>
                <w:bCs/>
                <w:snapToGrid w:val="0"/>
                <w:kern w:val="0"/>
                <w:sz w:val="21"/>
                <w:szCs w:val="21"/>
              </w:rPr>
              <w:t>工艺流程</w:t>
            </w:r>
          </w:p>
        </w:tc>
        <w:tc>
          <w:tcPr>
            <w:tcW w:w="1198" w:type="dxa"/>
            <w:shd w:val="clear" w:color="auto" w:fill="auto"/>
            <w:vAlign w:val="center"/>
          </w:tcPr>
          <w:p>
            <w:pPr>
              <w:spacing w:line="240" w:lineRule="auto"/>
              <w:ind w:firstLine="0" w:firstLineChars="0"/>
              <w:jc w:val="center"/>
              <w:rPr>
                <w:b/>
                <w:bCs/>
                <w:snapToGrid w:val="0"/>
                <w:kern w:val="0"/>
                <w:sz w:val="21"/>
                <w:szCs w:val="21"/>
              </w:rPr>
            </w:pPr>
            <w:r>
              <w:rPr>
                <w:b/>
                <w:bCs/>
                <w:snapToGrid w:val="0"/>
                <w:kern w:val="0"/>
                <w:sz w:val="21"/>
                <w:szCs w:val="21"/>
              </w:rPr>
              <w:t>污染途径</w:t>
            </w:r>
          </w:p>
        </w:tc>
        <w:tc>
          <w:tcPr>
            <w:tcW w:w="1730" w:type="dxa"/>
            <w:shd w:val="clear" w:color="auto" w:fill="auto"/>
            <w:vAlign w:val="center"/>
          </w:tcPr>
          <w:p>
            <w:pPr>
              <w:spacing w:line="240" w:lineRule="auto"/>
              <w:ind w:firstLine="0" w:firstLineChars="0"/>
              <w:jc w:val="center"/>
              <w:rPr>
                <w:b/>
                <w:bCs/>
                <w:snapToGrid w:val="0"/>
                <w:kern w:val="0"/>
                <w:sz w:val="21"/>
                <w:szCs w:val="21"/>
              </w:rPr>
            </w:pPr>
            <w:r>
              <w:rPr>
                <w:b/>
                <w:bCs/>
                <w:snapToGrid w:val="0"/>
                <w:kern w:val="0"/>
                <w:sz w:val="21"/>
                <w:szCs w:val="21"/>
              </w:rPr>
              <w:t>全部污染物指标</w:t>
            </w:r>
          </w:p>
        </w:tc>
        <w:tc>
          <w:tcPr>
            <w:tcW w:w="932" w:type="dxa"/>
            <w:shd w:val="clear" w:color="auto" w:fill="auto"/>
            <w:vAlign w:val="center"/>
          </w:tcPr>
          <w:p>
            <w:pPr>
              <w:spacing w:line="240" w:lineRule="auto"/>
              <w:ind w:firstLine="0" w:firstLineChars="0"/>
              <w:jc w:val="center"/>
              <w:rPr>
                <w:b/>
                <w:bCs/>
                <w:snapToGrid w:val="0"/>
                <w:kern w:val="0"/>
                <w:sz w:val="21"/>
                <w:szCs w:val="21"/>
              </w:rPr>
            </w:pPr>
            <w:r>
              <w:rPr>
                <w:b/>
                <w:bCs/>
                <w:snapToGrid w:val="0"/>
                <w:kern w:val="0"/>
                <w:sz w:val="21"/>
                <w:szCs w:val="21"/>
              </w:rPr>
              <w:t>特征因子</w:t>
            </w:r>
          </w:p>
        </w:tc>
        <w:tc>
          <w:tcPr>
            <w:tcW w:w="664" w:type="dxa"/>
            <w:shd w:val="clear" w:color="auto" w:fill="auto"/>
            <w:vAlign w:val="center"/>
          </w:tcPr>
          <w:p>
            <w:pPr>
              <w:spacing w:line="240" w:lineRule="auto"/>
              <w:ind w:firstLine="0" w:firstLineChars="0"/>
              <w:jc w:val="center"/>
              <w:rPr>
                <w:b/>
                <w:bCs/>
                <w:snapToGrid w:val="0"/>
                <w:kern w:val="0"/>
                <w:sz w:val="21"/>
                <w:szCs w:val="21"/>
              </w:rPr>
            </w:pPr>
            <w:r>
              <w:rPr>
                <w:b/>
                <w:bCs/>
                <w:snapToGrid w:val="0"/>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52" w:type="dxa"/>
            <w:vMerge w:val="restart"/>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运营</w:t>
            </w:r>
            <w:r>
              <w:rPr>
                <w:snapToGrid w:val="0"/>
                <w:kern w:val="0"/>
                <w:sz w:val="21"/>
                <w:szCs w:val="21"/>
              </w:rPr>
              <w:t>期</w:t>
            </w:r>
          </w:p>
        </w:tc>
        <w:tc>
          <w:tcPr>
            <w:tcW w:w="1204"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沼气火炬</w:t>
            </w:r>
          </w:p>
        </w:tc>
        <w:tc>
          <w:tcPr>
            <w:tcW w:w="1996" w:type="dxa"/>
            <w:shd w:val="clear" w:color="auto" w:fill="auto"/>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沼气燃烧</w:t>
            </w:r>
          </w:p>
        </w:tc>
        <w:tc>
          <w:tcPr>
            <w:tcW w:w="1198"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大气沉降</w:t>
            </w:r>
          </w:p>
        </w:tc>
        <w:tc>
          <w:tcPr>
            <w:tcW w:w="1730" w:type="dxa"/>
            <w:shd w:val="clear" w:color="auto" w:fill="auto"/>
            <w:vAlign w:val="center"/>
          </w:tcPr>
          <w:p>
            <w:pPr>
              <w:spacing w:line="240" w:lineRule="auto"/>
              <w:ind w:firstLine="0" w:firstLineChars="0"/>
              <w:jc w:val="center"/>
              <w:rPr>
                <w:snapToGrid w:val="0"/>
                <w:kern w:val="0"/>
                <w:sz w:val="21"/>
                <w:szCs w:val="21"/>
              </w:rPr>
            </w:pPr>
            <w:r>
              <w:rPr>
                <w:sz w:val="21"/>
                <w:szCs w:val="21"/>
              </w:rPr>
              <w:t>SO</w:t>
            </w:r>
            <w:r>
              <w:rPr>
                <w:sz w:val="21"/>
                <w:szCs w:val="21"/>
                <w:vertAlign w:val="subscript"/>
              </w:rPr>
              <w:t>2</w:t>
            </w:r>
            <w:r>
              <w:rPr>
                <w:sz w:val="21"/>
                <w:szCs w:val="21"/>
              </w:rPr>
              <w:t>、</w:t>
            </w:r>
            <w:r>
              <w:rPr>
                <w:snapToGrid w:val="0"/>
                <w:kern w:val="0"/>
                <w:sz w:val="21"/>
                <w:szCs w:val="21"/>
              </w:rPr>
              <w:t>NO</w:t>
            </w:r>
            <w:r>
              <w:rPr>
                <w:snapToGrid w:val="0"/>
                <w:kern w:val="0"/>
                <w:sz w:val="21"/>
                <w:szCs w:val="21"/>
                <w:vertAlign w:val="subscript"/>
              </w:rPr>
              <w:t>X</w:t>
            </w:r>
            <w:r>
              <w:rPr>
                <w:sz w:val="21"/>
                <w:szCs w:val="21"/>
              </w:rPr>
              <w:t>、烟尘</w:t>
            </w:r>
          </w:p>
        </w:tc>
        <w:tc>
          <w:tcPr>
            <w:tcW w:w="932"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w:t>
            </w:r>
          </w:p>
        </w:tc>
        <w:tc>
          <w:tcPr>
            <w:tcW w:w="664"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52" w:type="dxa"/>
            <w:vMerge w:val="continue"/>
            <w:shd w:val="clear" w:color="auto" w:fill="auto"/>
            <w:vAlign w:val="center"/>
          </w:tcPr>
          <w:p>
            <w:pPr>
              <w:spacing w:line="240" w:lineRule="auto"/>
              <w:ind w:firstLine="0" w:firstLineChars="0"/>
              <w:jc w:val="center"/>
              <w:rPr>
                <w:snapToGrid w:val="0"/>
                <w:kern w:val="0"/>
                <w:sz w:val="21"/>
                <w:szCs w:val="21"/>
              </w:rPr>
            </w:pPr>
          </w:p>
        </w:tc>
        <w:tc>
          <w:tcPr>
            <w:tcW w:w="1204" w:type="dxa"/>
            <w:shd w:val="clear" w:color="auto" w:fill="auto"/>
            <w:vAlign w:val="center"/>
          </w:tcPr>
          <w:p>
            <w:pPr>
              <w:spacing w:line="240" w:lineRule="auto"/>
              <w:ind w:firstLine="0" w:firstLineChars="0"/>
              <w:jc w:val="center"/>
              <w:rPr>
                <w:snapToGrid w:val="0"/>
                <w:kern w:val="0"/>
                <w:sz w:val="21"/>
                <w:szCs w:val="21"/>
              </w:rPr>
            </w:pPr>
            <w:r>
              <w:rPr>
                <w:rFonts w:hint="eastAsia"/>
                <w:bCs/>
                <w:iCs/>
                <w:snapToGrid w:val="0"/>
                <w:sz w:val="21"/>
                <w:szCs w:val="21"/>
              </w:rPr>
              <w:t>污水处理系统</w:t>
            </w:r>
          </w:p>
        </w:tc>
        <w:tc>
          <w:tcPr>
            <w:tcW w:w="1996" w:type="dxa"/>
            <w:shd w:val="clear" w:color="auto" w:fill="auto"/>
            <w:vAlign w:val="center"/>
          </w:tcPr>
          <w:p>
            <w:pPr>
              <w:widowControl/>
              <w:spacing w:line="240" w:lineRule="auto"/>
              <w:ind w:firstLine="0" w:firstLineChars="0"/>
              <w:jc w:val="center"/>
              <w:rPr>
                <w:snapToGrid w:val="0"/>
                <w:kern w:val="0"/>
                <w:sz w:val="21"/>
                <w:szCs w:val="21"/>
              </w:rPr>
            </w:pPr>
            <w:r>
              <w:rPr>
                <w:kern w:val="0"/>
                <w:sz w:val="21"/>
                <w:szCs w:val="21"/>
              </w:rPr>
              <w:t>恶臭</w:t>
            </w:r>
            <w:r>
              <w:rPr>
                <w:rFonts w:hint="eastAsia"/>
                <w:kern w:val="0"/>
                <w:sz w:val="21"/>
                <w:szCs w:val="21"/>
              </w:rPr>
              <w:t>气体</w:t>
            </w:r>
            <w:r>
              <w:rPr>
                <w:kern w:val="0"/>
                <w:sz w:val="21"/>
                <w:szCs w:val="21"/>
              </w:rPr>
              <w:t>处理</w:t>
            </w:r>
          </w:p>
        </w:tc>
        <w:tc>
          <w:tcPr>
            <w:tcW w:w="1198"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大气沉降</w:t>
            </w:r>
          </w:p>
        </w:tc>
        <w:tc>
          <w:tcPr>
            <w:tcW w:w="1730" w:type="dxa"/>
            <w:shd w:val="clear" w:color="auto" w:fill="auto"/>
            <w:vAlign w:val="center"/>
          </w:tcPr>
          <w:p>
            <w:pPr>
              <w:spacing w:line="240" w:lineRule="auto"/>
              <w:ind w:firstLine="0" w:firstLineChars="0"/>
              <w:jc w:val="center"/>
              <w:rPr>
                <w:sz w:val="21"/>
                <w:szCs w:val="21"/>
              </w:rPr>
            </w:pPr>
            <w:r>
              <w:rPr>
                <w:rFonts w:hint="eastAsia"/>
                <w:snapToGrid w:val="0"/>
                <w:kern w:val="0"/>
                <w:sz w:val="21"/>
                <w:szCs w:val="21"/>
              </w:rPr>
              <w:t>N</w:t>
            </w:r>
            <w:r>
              <w:rPr>
                <w:snapToGrid w:val="0"/>
                <w:kern w:val="0"/>
                <w:sz w:val="21"/>
                <w:szCs w:val="21"/>
              </w:rPr>
              <w:t>H</w:t>
            </w:r>
            <w:r>
              <w:rPr>
                <w:snapToGrid w:val="0"/>
                <w:kern w:val="0"/>
                <w:sz w:val="21"/>
                <w:szCs w:val="21"/>
                <w:vertAlign w:val="subscript"/>
              </w:rPr>
              <w:t>3</w:t>
            </w:r>
            <w:r>
              <w:rPr>
                <w:snapToGrid w:val="0"/>
                <w:kern w:val="0"/>
                <w:sz w:val="21"/>
                <w:szCs w:val="21"/>
              </w:rPr>
              <w:t>、</w:t>
            </w:r>
            <w:r>
              <w:rPr>
                <w:rFonts w:hint="eastAsia"/>
                <w:snapToGrid w:val="0"/>
                <w:kern w:val="0"/>
                <w:sz w:val="21"/>
                <w:szCs w:val="21"/>
              </w:rPr>
              <w:t>H</w:t>
            </w:r>
            <w:r>
              <w:rPr>
                <w:snapToGrid w:val="0"/>
                <w:kern w:val="0"/>
                <w:sz w:val="21"/>
                <w:szCs w:val="21"/>
                <w:vertAlign w:val="subscript"/>
              </w:rPr>
              <w:t>2</w:t>
            </w:r>
            <w:r>
              <w:rPr>
                <w:snapToGrid w:val="0"/>
                <w:kern w:val="0"/>
                <w:sz w:val="21"/>
                <w:szCs w:val="21"/>
              </w:rPr>
              <w:t>S</w:t>
            </w:r>
          </w:p>
        </w:tc>
        <w:tc>
          <w:tcPr>
            <w:tcW w:w="932"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N</w:t>
            </w:r>
            <w:r>
              <w:rPr>
                <w:snapToGrid w:val="0"/>
                <w:kern w:val="0"/>
                <w:sz w:val="21"/>
                <w:szCs w:val="21"/>
              </w:rPr>
              <w:t>H</w:t>
            </w:r>
            <w:r>
              <w:rPr>
                <w:snapToGrid w:val="0"/>
                <w:kern w:val="0"/>
                <w:sz w:val="21"/>
                <w:szCs w:val="21"/>
                <w:vertAlign w:val="subscript"/>
              </w:rPr>
              <w:t>3</w:t>
            </w:r>
            <w:r>
              <w:rPr>
                <w:snapToGrid w:val="0"/>
                <w:kern w:val="0"/>
                <w:sz w:val="21"/>
                <w:szCs w:val="21"/>
              </w:rPr>
              <w:t>、</w:t>
            </w:r>
            <w:r>
              <w:rPr>
                <w:rFonts w:hint="eastAsia"/>
                <w:snapToGrid w:val="0"/>
                <w:kern w:val="0"/>
                <w:sz w:val="21"/>
                <w:szCs w:val="21"/>
              </w:rPr>
              <w:t>H</w:t>
            </w:r>
            <w:r>
              <w:rPr>
                <w:snapToGrid w:val="0"/>
                <w:kern w:val="0"/>
                <w:sz w:val="21"/>
                <w:szCs w:val="21"/>
                <w:vertAlign w:val="subscript"/>
              </w:rPr>
              <w:t>2</w:t>
            </w:r>
            <w:r>
              <w:rPr>
                <w:snapToGrid w:val="0"/>
                <w:kern w:val="0"/>
                <w:sz w:val="21"/>
                <w:szCs w:val="21"/>
              </w:rPr>
              <w:t>S</w:t>
            </w:r>
          </w:p>
        </w:tc>
        <w:tc>
          <w:tcPr>
            <w:tcW w:w="664"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52" w:type="dxa"/>
            <w:vMerge w:val="continue"/>
            <w:shd w:val="clear" w:color="auto" w:fill="auto"/>
            <w:vAlign w:val="center"/>
          </w:tcPr>
          <w:p>
            <w:pPr>
              <w:spacing w:line="240" w:lineRule="auto"/>
              <w:ind w:firstLine="0" w:firstLineChars="0"/>
              <w:jc w:val="center"/>
              <w:rPr>
                <w:snapToGrid w:val="0"/>
                <w:kern w:val="0"/>
                <w:sz w:val="21"/>
                <w:szCs w:val="21"/>
              </w:rPr>
            </w:pPr>
          </w:p>
        </w:tc>
        <w:tc>
          <w:tcPr>
            <w:tcW w:w="1204"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无组织</w:t>
            </w:r>
            <w:r>
              <w:rPr>
                <w:rFonts w:hint="eastAsia"/>
                <w:snapToGrid w:val="0"/>
                <w:kern w:val="0"/>
                <w:sz w:val="21"/>
                <w:szCs w:val="21"/>
              </w:rPr>
              <w:t>恶臭</w:t>
            </w:r>
          </w:p>
        </w:tc>
        <w:tc>
          <w:tcPr>
            <w:tcW w:w="1996" w:type="dxa"/>
            <w:shd w:val="clear" w:color="auto" w:fill="auto"/>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猪舍、堆粪棚、</w:t>
            </w:r>
            <w:r>
              <w:rPr>
                <w:rFonts w:hint="eastAsia"/>
                <w:bCs/>
                <w:iCs/>
                <w:snapToGrid w:val="0"/>
                <w:sz w:val="21"/>
                <w:szCs w:val="21"/>
              </w:rPr>
              <w:t>污水处理系统</w:t>
            </w:r>
          </w:p>
        </w:tc>
        <w:tc>
          <w:tcPr>
            <w:tcW w:w="1198"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大气沉降</w:t>
            </w:r>
          </w:p>
        </w:tc>
        <w:tc>
          <w:tcPr>
            <w:tcW w:w="1730"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N</w:t>
            </w:r>
            <w:r>
              <w:rPr>
                <w:snapToGrid w:val="0"/>
                <w:kern w:val="0"/>
                <w:sz w:val="21"/>
                <w:szCs w:val="21"/>
              </w:rPr>
              <w:t>H</w:t>
            </w:r>
            <w:r>
              <w:rPr>
                <w:snapToGrid w:val="0"/>
                <w:kern w:val="0"/>
                <w:sz w:val="21"/>
                <w:szCs w:val="21"/>
                <w:vertAlign w:val="subscript"/>
              </w:rPr>
              <w:t>3</w:t>
            </w:r>
            <w:r>
              <w:rPr>
                <w:snapToGrid w:val="0"/>
                <w:kern w:val="0"/>
                <w:sz w:val="21"/>
                <w:szCs w:val="21"/>
              </w:rPr>
              <w:t>、</w:t>
            </w:r>
            <w:r>
              <w:rPr>
                <w:rFonts w:hint="eastAsia"/>
                <w:snapToGrid w:val="0"/>
                <w:kern w:val="0"/>
                <w:sz w:val="21"/>
                <w:szCs w:val="21"/>
              </w:rPr>
              <w:t>H</w:t>
            </w:r>
            <w:r>
              <w:rPr>
                <w:snapToGrid w:val="0"/>
                <w:kern w:val="0"/>
                <w:sz w:val="21"/>
                <w:szCs w:val="21"/>
                <w:vertAlign w:val="subscript"/>
              </w:rPr>
              <w:t>2</w:t>
            </w:r>
            <w:r>
              <w:rPr>
                <w:snapToGrid w:val="0"/>
                <w:kern w:val="0"/>
                <w:sz w:val="21"/>
                <w:szCs w:val="21"/>
              </w:rPr>
              <w:t>S</w:t>
            </w:r>
          </w:p>
        </w:tc>
        <w:tc>
          <w:tcPr>
            <w:tcW w:w="932"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N</w:t>
            </w:r>
            <w:r>
              <w:rPr>
                <w:snapToGrid w:val="0"/>
                <w:kern w:val="0"/>
                <w:sz w:val="21"/>
                <w:szCs w:val="21"/>
              </w:rPr>
              <w:t>H</w:t>
            </w:r>
            <w:r>
              <w:rPr>
                <w:snapToGrid w:val="0"/>
                <w:kern w:val="0"/>
                <w:sz w:val="21"/>
                <w:szCs w:val="21"/>
                <w:vertAlign w:val="subscript"/>
              </w:rPr>
              <w:t>3</w:t>
            </w:r>
            <w:r>
              <w:rPr>
                <w:snapToGrid w:val="0"/>
                <w:kern w:val="0"/>
                <w:sz w:val="21"/>
                <w:szCs w:val="21"/>
              </w:rPr>
              <w:t>、</w:t>
            </w:r>
            <w:r>
              <w:rPr>
                <w:rFonts w:hint="eastAsia"/>
                <w:snapToGrid w:val="0"/>
                <w:kern w:val="0"/>
                <w:sz w:val="21"/>
                <w:szCs w:val="21"/>
              </w:rPr>
              <w:t>H</w:t>
            </w:r>
            <w:r>
              <w:rPr>
                <w:snapToGrid w:val="0"/>
                <w:kern w:val="0"/>
                <w:sz w:val="21"/>
                <w:szCs w:val="21"/>
                <w:vertAlign w:val="subscript"/>
              </w:rPr>
              <w:t>2</w:t>
            </w:r>
            <w:r>
              <w:rPr>
                <w:snapToGrid w:val="0"/>
                <w:kern w:val="0"/>
                <w:sz w:val="21"/>
                <w:szCs w:val="21"/>
              </w:rPr>
              <w:t>S</w:t>
            </w:r>
          </w:p>
        </w:tc>
        <w:tc>
          <w:tcPr>
            <w:tcW w:w="664"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52" w:type="dxa"/>
            <w:vMerge w:val="continue"/>
            <w:shd w:val="clear" w:color="auto" w:fill="auto"/>
            <w:vAlign w:val="center"/>
          </w:tcPr>
          <w:p>
            <w:pPr>
              <w:spacing w:line="240" w:lineRule="auto"/>
              <w:ind w:firstLine="0" w:firstLineChars="0"/>
              <w:jc w:val="center"/>
              <w:rPr>
                <w:snapToGrid w:val="0"/>
                <w:kern w:val="0"/>
                <w:sz w:val="21"/>
                <w:szCs w:val="21"/>
              </w:rPr>
            </w:pPr>
          </w:p>
        </w:tc>
        <w:tc>
          <w:tcPr>
            <w:tcW w:w="1204"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污水处理系统</w:t>
            </w:r>
          </w:p>
        </w:tc>
        <w:tc>
          <w:tcPr>
            <w:tcW w:w="1996" w:type="dxa"/>
            <w:shd w:val="clear" w:color="auto" w:fill="auto"/>
            <w:vAlign w:val="center"/>
          </w:tcPr>
          <w:p>
            <w:pPr>
              <w:widowControl/>
              <w:spacing w:line="240" w:lineRule="auto"/>
              <w:ind w:firstLine="0" w:firstLineChars="0"/>
              <w:jc w:val="center"/>
              <w:rPr>
                <w:snapToGrid w:val="0"/>
                <w:kern w:val="0"/>
                <w:sz w:val="21"/>
                <w:szCs w:val="21"/>
              </w:rPr>
            </w:pPr>
            <w:r>
              <w:rPr>
                <w:rFonts w:hint="eastAsia"/>
                <w:bCs/>
                <w:sz w:val="21"/>
                <w:szCs w:val="21"/>
              </w:rPr>
              <w:t>污水站各</w:t>
            </w:r>
            <w:r>
              <w:rPr>
                <w:bCs/>
                <w:sz w:val="21"/>
                <w:szCs w:val="21"/>
              </w:rPr>
              <w:t>构筑物</w:t>
            </w:r>
          </w:p>
        </w:tc>
        <w:tc>
          <w:tcPr>
            <w:tcW w:w="1198"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地面漫流、</w:t>
            </w:r>
            <w:r>
              <w:rPr>
                <w:snapToGrid w:val="0"/>
                <w:kern w:val="0"/>
                <w:sz w:val="21"/>
                <w:szCs w:val="21"/>
              </w:rPr>
              <w:t>垂直入渗</w:t>
            </w:r>
          </w:p>
        </w:tc>
        <w:tc>
          <w:tcPr>
            <w:tcW w:w="1730" w:type="dxa"/>
            <w:shd w:val="clear" w:color="auto" w:fill="auto"/>
            <w:vAlign w:val="center"/>
          </w:tcPr>
          <w:p>
            <w:pPr>
              <w:spacing w:line="240" w:lineRule="auto"/>
              <w:ind w:firstLine="0" w:firstLineChars="0"/>
              <w:jc w:val="center"/>
              <w:rPr>
                <w:sz w:val="21"/>
                <w:szCs w:val="21"/>
              </w:rPr>
            </w:pPr>
            <w:r>
              <w:rPr>
                <w:rFonts w:hint="eastAsia"/>
                <w:bCs/>
                <w:sz w:val="21"/>
                <w:szCs w:val="21"/>
              </w:rPr>
              <w:t>COD、BOD</w:t>
            </w:r>
            <w:r>
              <w:rPr>
                <w:rFonts w:hint="eastAsia"/>
                <w:bCs/>
                <w:sz w:val="21"/>
                <w:szCs w:val="21"/>
                <w:vertAlign w:val="subscript"/>
              </w:rPr>
              <w:t>5</w:t>
            </w:r>
            <w:r>
              <w:rPr>
                <w:rFonts w:hint="eastAsia"/>
                <w:bCs/>
                <w:sz w:val="21"/>
                <w:szCs w:val="21"/>
              </w:rPr>
              <w:t>、SS、N</w:t>
            </w:r>
            <w:r>
              <w:rPr>
                <w:bCs/>
                <w:sz w:val="21"/>
                <w:szCs w:val="21"/>
              </w:rPr>
              <w:t>H</w:t>
            </w:r>
            <w:r>
              <w:rPr>
                <w:bCs/>
                <w:sz w:val="21"/>
                <w:szCs w:val="21"/>
                <w:vertAlign w:val="subscript"/>
              </w:rPr>
              <w:t>3</w:t>
            </w:r>
            <w:r>
              <w:rPr>
                <w:bCs/>
                <w:sz w:val="21"/>
                <w:szCs w:val="21"/>
              </w:rPr>
              <w:t>-N</w:t>
            </w:r>
            <w:r>
              <w:rPr>
                <w:rFonts w:hint="eastAsia"/>
                <w:bCs/>
                <w:sz w:val="21"/>
                <w:szCs w:val="21"/>
              </w:rPr>
              <w:t>、T</w:t>
            </w:r>
            <w:r>
              <w:rPr>
                <w:bCs/>
                <w:sz w:val="21"/>
                <w:szCs w:val="21"/>
              </w:rPr>
              <w:t>N</w:t>
            </w:r>
            <w:r>
              <w:rPr>
                <w:rFonts w:hint="eastAsia"/>
                <w:bCs/>
                <w:sz w:val="21"/>
                <w:szCs w:val="21"/>
              </w:rPr>
              <w:t>、</w:t>
            </w:r>
            <w:r>
              <w:rPr>
                <w:bCs/>
                <w:sz w:val="21"/>
                <w:szCs w:val="21"/>
              </w:rPr>
              <w:t>TP</w:t>
            </w:r>
            <w:r>
              <w:rPr>
                <w:sz w:val="21"/>
                <w:szCs w:val="21"/>
              </w:rPr>
              <w:t xml:space="preserve"> </w:t>
            </w:r>
          </w:p>
        </w:tc>
        <w:tc>
          <w:tcPr>
            <w:tcW w:w="932" w:type="dxa"/>
            <w:shd w:val="clear" w:color="auto" w:fill="auto"/>
            <w:vAlign w:val="center"/>
          </w:tcPr>
          <w:p>
            <w:pPr>
              <w:spacing w:line="240" w:lineRule="auto"/>
              <w:ind w:firstLine="0" w:firstLineChars="0"/>
              <w:jc w:val="center"/>
              <w:rPr>
                <w:sz w:val="21"/>
                <w:szCs w:val="21"/>
              </w:rPr>
            </w:pPr>
            <w:r>
              <w:rPr>
                <w:rFonts w:hint="eastAsia"/>
                <w:bCs/>
                <w:sz w:val="21"/>
                <w:szCs w:val="21"/>
              </w:rPr>
              <w:t>N</w:t>
            </w:r>
            <w:r>
              <w:rPr>
                <w:bCs/>
                <w:sz w:val="21"/>
                <w:szCs w:val="21"/>
              </w:rPr>
              <w:t>H</w:t>
            </w:r>
            <w:r>
              <w:rPr>
                <w:bCs/>
                <w:sz w:val="21"/>
                <w:szCs w:val="21"/>
                <w:vertAlign w:val="subscript"/>
              </w:rPr>
              <w:t>3</w:t>
            </w:r>
            <w:r>
              <w:rPr>
                <w:bCs/>
                <w:sz w:val="21"/>
                <w:szCs w:val="21"/>
              </w:rPr>
              <w:t>-N</w:t>
            </w:r>
          </w:p>
        </w:tc>
        <w:tc>
          <w:tcPr>
            <w:tcW w:w="664"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52" w:type="dxa"/>
            <w:vMerge w:val="continue"/>
            <w:shd w:val="clear" w:color="auto" w:fill="auto"/>
            <w:vAlign w:val="center"/>
          </w:tcPr>
          <w:p>
            <w:pPr>
              <w:spacing w:line="240" w:lineRule="auto"/>
              <w:ind w:firstLine="0" w:firstLineChars="0"/>
              <w:jc w:val="center"/>
              <w:rPr>
                <w:snapToGrid w:val="0"/>
                <w:kern w:val="0"/>
                <w:sz w:val="21"/>
                <w:szCs w:val="21"/>
              </w:rPr>
            </w:pPr>
          </w:p>
        </w:tc>
        <w:tc>
          <w:tcPr>
            <w:tcW w:w="1204"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堆粪棚</w:t>
            </w:r>
          </w:p>
        </w:tc>
        <w:tc>
          <w:tcPr>
            <w:tcW w:w="1996" w:type="dxa"/>
            <w:shd w:val="clear" w:color="auto" w:fill="auto"/>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粪便及粪渣临时堆存</w:t>
            </w:r>
          </w:p>
        </w:tc>
        <w:tc>
          <w:tcPr>
            <w:tcW w:w="1198" w:type="dxa"/>
            <w:shd w:val="clear" w:color="auto" w:fill="auto"/>
            <w:vAlign w:val="center"/>
          </w:tcPr>
          <w:p>
            <w:pPr>
              <w:spacing w:line="240" w:lineRule="auto"/>
              <w:ind w:firstLine="0" w:firstLineChars="0"/>
              <w:jc w:val="center"/>
              <w:rPr>
                <w:snapToGrid w:val="0"/>
                <w:kern w:val="0"/>
                <w:sz w:val="21"/>
                <w:szCs w:val="21"/>
              </w:rPr>
            </w:pPr>
            <w:r>
              <w:rPr>
                <w:snapToGrid w:val="0"/>
                <w:kern w:val="0"/>
                <w:sz w:val="21"/>
                <w:szCs w:val="21"/>
              </w:rPr>
              <w:t>垂直入渗</w:t>
            </w:r>
          </w:p>
        </w:tc>
        <w:tc>
          <w:tcPr>
            <w:tcW w:w="1730" w:type="dxa"/>
            <w:shd w:val="clear" w:color="auto" w:fill="auto"/>
            <w:vAlign w:val="center"/>
          </w:tcPr>
          <w:p>
            <w:pPr>
              <w:spacing w:line="240" w:lineRule="auto"/>
              <w:ind w:firstLine="0" w:firstLineChars="0"/>
              <w:jc w:val="center"/>
              <w:rPr>
                <w:sz w:val="21"/>
                <w:szCs w:val="21"/>
              </w:rPr>
            </w:pPr>
            <w:r>
              <w:rPr>
                <w:rFonts w:hint="eastAsia"/>
                <w:bCs/>
                <w:sz w:val="21"/>
                <w:szCs w:val="21"/>
              </w:rPr>
              <w:t>COD、BOD</w:t>
            </w:r>
            <w:r>
              <w:rPr>
                <w:rFonts w:hint="eastAsia"/>
                <w:bCs/>
                <w:sz w:val="21"/>
                <w:szCs w:val="21"/>
                <w:vertAlign w:val="subscript"/>
              </w:rPr>
              <w:t>5</w:t>
            </w:r>
            <w:r>
              <w:rPr>
                <w:rFonts w:hint="eastAsia"/>
                <w:bCs/>
                <w:sz w:val="21"/>
                <w:szCs w:val="21"/>
              </w:rPr>
              <w:t>、SS、N</w:t>
            </w:r>
            <w:r>
              <w:rPr>
                <w:bCs/>
                <w:sz w:val="21"/>
                <w:szCs w:val="21"/>
              </w:rPr>
              <w:t>H</w:t>
            </w:r>
            <w:r>
              <w:rPr>
                <w:bCs/>
                <w:sz w:val="21"/>
                <w:szCs w:val="21"/>
                <w:vertAlign w:val="subscript"/>
              </w:rPr>
              <w:t>3</w:t>
            </w:r>
            <w:r>
              <w:rPr>
                <w:bCs/>
                <w:sz w:val="21"/>
                <w:szCs w:val="21"/>
              </w:rPr>
              <w:t>-N</w:t>
            </w:r>
            <w:r>
              <w:rPr>
                <w:rFonts w:hint="eastAsia"/>
                <w:bCs/>
                <w:sz w:val="21"/>
                <w:szCs w:val="21"/>
              </w:rPr>
              <w:t>、T</w:t>
            </w:r>
            <w:r>
              <w:rPr>
                <w:bCs/>
                <w:sz w:val="21"/>
                <w:szCs w:val="21"/>
              </w:rPr>
              <w:t>N</w:t>
            </w:r>
            <w:r>
              <w:rPr>
                <w:rFonts w:hint="eastAsia"/>
                <w:bCs/>
                <w:sz w:val="21"/>
                <w:szCs w:val="21"/>
              </w:rPr>
              <w:t>、</w:t>
            </w:r>
            <w:r>
              <w:rPr>
                <w:bCs/>
                <w:sz w:val="21"/>
                <w:szCs w:val="21"/>
              </w:rPr>
              <w:t>TP</w:t>
            </w:r>
          </w:p>
        </w:tc>
        <w:tc>
          <w:tcPr>
            <w:tcW w:w="932" w:type="dxa"/>
            <w:shd w:val="clear" w:color="auto" w:fill="auto"/>
            <w:vAlign w:val="center"/>
          </w:tcPr>
          <w:p>
            <w:pPr>
              <w:spacing w:line="240" w:lineRule="auto"/>
              <w:ind w:firstLine="0" w:firstLineChars="0"/>
              <w:jc w:val="center"/>
              <w:rPr>
                <w:sz w:val="21"/>
                <w:szCs w:val="21"/>
              </w:rPr>
            </w:pPr>
            <w:r>
              <w:rPr>
                <w:rFonts w:hint="eastAsia"/>
                <w:bCs/>
                <w:sz w:val="21"/>
                <w:szCs w:val="21"/>
              </w:rPr>
              <w:t>N</w:t>
            </w:r>
            <w:r>
              <w:rPr>
                <w:bCs/>
                <w:sz w:val="21"/>
                <w:szCs w:val="21"/>
              </w:rPr>
              <w:t>H</w:t>
            </w:r>
            <w:r>
              <w:rPr>
                <w:bCs/>
                <w:sz w:val="21"/>
                <w:szCs w:val="21"/>
                <w:vertAlign w:val="subscript"/>
              </w:rPr>
              <w:t>3</w:t>
            </w:r>
            <w:r>
              <w:rPr>
                <w:bCs/>
                <w:sz w:val="21"/>
                <w:szCs w:val="21"/>
              </w:rPr>
              <w:t>-N</w:t>
            </w:r>
          </w:p>
        </w:tc>
        <w:tc>
          <w:tcPr>
            <w:tcW w:w="664"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rPr>
        <w:tc>
          <w:tcPr>
            <w:tcW w:w="552" w:type="dxa"/>
            <w:vMerge w:val="continue"/>
            <w:shd w:val="clear" w:color="auto" w:fill="auto"/>
            <w:vAlign w:val="center"/>
          </w:tcPr>
          <w:p>
            <w:pPr>
              <w:spacing w:line="240" w:lineRule="auto"/>
              <w:ind w:firstLine="0" w:firstLineChars="0"/>
              <w:jc w:val="center"/>
              <w:rPr>
                <w:snapToGrid w:val="0"/>
                <w:kern w:val="0"/>
                <w:sz w:val="21"/>
                <w:szCs w:val="21"/>
              </w:rPr>
            </w:pPr>
          </w:p>
        </w:tc>
        <w:tc>
          <w:tcPr>
            <w:tcW w:w="1204"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危险</w:t>
            </w:r>
            <w:r>
              <w:rPr>
                <w:snapToGrid w:val="0"/>
                <w:kern w:val="0"/>
                <w:sz w:val="21"/>
                <w:szCs w:val="21"/>
              </w:rPr>
              <w:t>废物暂存间</w:t>
            </w:r>
          </w:p>
        </w:tc>
        <w:tc>
          <w:tcPr>
            <w:tcW w:w="1996" w:type="dxa"/>
            <w:shd w:val="clear" w:color="auto" w:fill="auto"/>
            <w:vAlign w:val="center"/>
          </w:tcPr>
          <w:p>
            <w:pPr>
              <w:widowControl/>
              <w:spacing w:line="240" w:lineRule="auto"/>
              <w:ind w:firstLine="0" w:firstLineChars="0"/>
              <w:jc w:val="center"/>
              <w:rPr>
                <w:snapToGrid w:val="0"/>
                <w:kern w:val="0"/>
                <w:sz w:val="21"/>
                <w:szCs w:val="21"/>
              </w:rPr>
            </w:pPr>
            <w:r>
              <w:rPr>
                <w:rFonts w:hint="eastAsia"/>
                <w:snapToGrid w:val="0"/>
                <w:kern w:val="0"/>
                <w:sz w:val="21"/>
                <w:szCs w:val="21"/>
              </w:rPr>
              <w:t>危险</w:t>
            </w:r>
            <w:r>
              <w:rPr>
                <w:snapToGrid w:val="0"/>
                <w:kern w:val="0"/>
                <w:sz w:val="21"/>
                <w:szCs w:val="21"/>
              </w:rPr>
              <w:t>废物暂存</w:t>
            </w:r>
          </w:p>
        </w:tc>
        <w:tc>
          <w:tcPr>
            <w:tcW w:w="1198"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垂直</w:t>
            </w:r>
            <w:r>
              <w:rPr>
                <w:snapToGrid w:val="0"/>
                <w:kern w:val="0"/>
                <w:sz w:val="21"/>
                <w:szCs w:val="21"/>
              </w:rPr>
              <w:t>入渗</w:t>
            </w:r>
          </w:p>
        </w:tc>
        <w:tc>
          <w:tcPr>
            <w:tcW w:w="1730" w:type="dxa"/>
            <w:shd w:val="clear" w:color="auto" w:fill="auto"/>
            <w:vAlign w:val="center"/>
          </w:tcPr>
          <w:p>
            <w:pPr>
              <w:pStyle w:val="89"/>
              <w:snapToGrid w:val="0"/>
              <w:rPr>
                <w:bCs/>
              </w:rPr>
            </w:pPr>
            <w:r>
              <w:rPr>
                <w:rFonts w:hint="eastAsia"/>
              </w:rPr>
              <w:t>损伤性废弃物（针头、药剂瓶等）、药物性废弃物（过期药品、疫苗等）、感染性废弃物（一次性注射器、一次性输液管、棉球、棉签、纱布、病畜污染物等）</w:t>
            </w:r>
          </w:p>
        </w:tc>
        <w:tc>
          <w:tcPr>
            <w:tcW w:w="932" w:type="dxa"/>
            <w:shd w:val="clear" w:color="auto" w:fill="auto"/>
            <w:vAlign w:val="center"/>
          </w:tcPr>
          <w:p>
            <w:pPr>
              <w:spacing w:line="240" w:lineRule="auto"/>
              <w:ind w:firstLine="0" w:firstLineChars="0"/>
              <w:jc w:val="center"/>
              <w:rPr>
                <w:bCs/>
                <w:sz w:val="21"/>
                <w:szCs w:val="21"/>
              </w:rPr>
            </w:pPr>
            <w:r>
              <w:rPr>
                <w:rFonts w:hint="eastAsia"/>
                <w:bCs/>
                <w:sz w:val="21"/>
                <w:szCs w:val="21"/>
              </w:rPr>
              <w:t>/</w:t>
            </w:r>
          </w:p>
        </w:tc>
        <w:tc>
          <w:tcPr>
            <w:tcW w:w="664" w:type="dxa"/>
            <w:shd w:val="clear" w:color="auto" w:fill="auto"/>
            <w:vAlign w:val="center"/>
          </w:tcPr>
          <w:p>
            <w:pPr>
              <w:spacing w:line="240" w:lineRule="auto"/>
              <w:ind w:firstLine="0" w:firstLineChars="0"/>
              <w:jc w:val="center"/>
              <w:rPr>
                <w:snapToGrid w:val="0"/>
                <w:kern w:val="0"/>
                <w:sz w:val="21"/>
                <w:szCs w:val="21"/>
              </w:rPr>
            </w:pPr>
            <w:r>
              <w:rPr>
                <w:rFonts w:hint="eastAsia"/>
                <w:snapToGrid w:val="0"/>
                <w:kern w:val="0"/>
                <w:sz w:val="21"/>
                <w:szCs w:val="21"/>
              </w:rPr>
              <w:t>事故</w:t>
            </w:r>
          </w:p>
        </w:tc>
      </w:tr>
    </w:tbl>
    <w:p>
      <w:pPr>
        <w:pStyle w:val="5"/>
      </w:pPr>
      <w:r>
        <w:rPr>
          <w:rFonts w:hint="eastAsia"/>
        </w:rPr>
        <w:t>评价等级</w:t>
      </w:r>
      <w:r>
        <w:t>判定</w:t>
      </w:r>
    </w:p>
    <w:p>
      <w:pPr>
        <w:pStyle w:val="79"/>
        <w:ind w:firstLine="480"/>
      </w:pPr>
      <w:r>
        <w:rPr>
          <w:rFonts w:hint="eastAsia"/>
        </w:rPr>
        <w:t>根据</w:t>
      </w:r>
      <w:r>
        <w:t>前文</w:t>
      </w:r>
      <w:r>
        <w:rPr>
          <w:rFonts w:hint="eastAsia"/>
        </w:rPr>
        <w:t>评价</w:t>
      </w:r>
      <w:r>
        <w:t>等级判定</w:t>
      </w:r>
      <w:r>
        <w:rPr>
          <w:rFonts w:hint="eastAsia"/>
        </w:rPr>
        <w:t>2.5.1.6，</w:t>
      </w:r>
      <w:r>
        <w:t>项目土壤评价等级为三级</w:t>
      </w:r>
      <w:r>
        <w:rPr>
          <w:rFonts w:hint="eastAsia"/>
        </w:rPr>
        <w:t>。</w:t>
      </w:r>
    </w:p>
    <w:p>
      <w:pPr>
        <w:pStyle w:val="5"/>
      </w:pPr>
      <w:r>
        <w:rPr>
          <w:rFonts w:hint="eastAsia"/>
        </w:rPr>
        <w:t>土壤</w:t>
      </w:r>
      <w:r>
        <w:t>环境影响评价</w:t>
      </w:r>
    </w:p>
    <w:p>
      <w:pPr>
        <w:widowControl/>
        <w:ind w:firstLine="482"/>
        <w:rPr>
          <w:rFonts w:asciiTheme="minorEastAsia" w:hAnsiTheme="minorEastAsia" w:eastAsiaTheme="minorEastAsia"/>
          <w:b/>
        </w:rPr>
      </w:pPr>
      <w:r>
        <w:rPr>
          <w:rFonts w:hint="eastAsia" w:asciiTheme="minorEastAsia" w:hAnsiTheme="minorEastAsia" w:eastAsiaTheme="minorEastAsia"/>
          <w:b/>
        </w:rPr>
        <w:t>1、预测因子及预测范围</w:t>
      </w:r>
      <w:r>
        <w:rPr>
          <w:rFonts w:asciiTheme="minorEastAsia" w:hAnsiTheme="minorEastAsia" w:eastAsiaTheme="minorEastAsia"/>
          <w:b/>
        </w:rPr>
        <w:t xml:space="preserve"> </w:t>
      </w:r>
    </w:p>
    <w:p>
      <w:pPr>
        <w:pStyle w:val="79"/>
        <w:ind w:firstLine="480"/>
      </w:pPr>
      <w:r>
        <w:rPr>
          <w:rFonts w:hint="eastAsia"/>
        </w:rPr>
        <w:t>通过工程分析可知，本项目主要污染因子为</w:t>
      </w:r>
      <w:r>
        <w:t>COD</w:t>
      </w:r>
      <w:r>
        <w:rPr>
          <w:rFonts w:hint="eastAsia"/>
        </w:rPr>
        <w:t>、</w:t>
      </w:r>
      <w:r>
        <w:t>NH</w:t>
      </w:r>
      <w:r>
        <w:rPr>
          <w:vertAlign w:val="subscript"/>
        </w:rPr>
        <w:t>3</w:t>
      </w:r>
      <w:r>
        <w:t>-N</w:t>
      </w:r>
      <w:r>
        <w:rPr>
          <w:rFonts w:hint="eastAsia"/>
        </w:rPr>
        <w:t>，不含镉、砷、铅、铬、铜、镍、锌等特征因子，且《土壤环境质量</w:t>
      </w:r>
      <w:r>
        <w:t xml:space="preserve"> </w:t>
      </w:r>
      <w:r>
        <w:rPr>
          <w:rFonts w:hint="eastAsia"/>
        </w:rPr>
        <w:t>农用地土壤污染风险管控标准（试行）》（</w:t>
      </w:r>
      <w:r>
        <w:t>GB15618-2018</w:t>
      </w:r>
      <w:r>
        <w:rPr>
          <w:rFonts w:hint="eastAsia"/>
        </w:rPr>
        <w:t>）未列</w:t>
      </w:r>
      <w:r>
        <w:t>COD</w:t>
      </w:r>
      <w:r>
        <w:rPr>
          <w:rFonts w:hint="eastAsia"/>
        </w:rPr>
        <w:t>、</w:t>
      </w:r>
      <w:r>
        <w:t>NH</w:t>
      </w:r>
      <w:r>
        <w:rPr>
          <w:vertAlign w:val="subscript"/>
        </w:rPr>
        <w:t>3</w:t>
      </w:r>
      <w:r>
        <w:t>-N</w:t>
      </w:r>
      <w:r>
        <w:rPr>
          <w:rFonts w:hint="eastAsia"/>
        </w:rPr>
        <w:t>，故本评价类比同类项目进行分析。</w:t>
      </w:r>
      <w:r>
        <w:t xml:space="preserve"> </w:t>
      </w:r>
    </w:p>
    <w:p>
      <w:pPr>
        <w:pStyle w:val="79"/>
        <w:ind w:firstLine="480"/>
      </w:pPr>
      <w:r>
        <w:rPr>
          <w:rFonts w:hint="eastAsia"/>
        </w:rPr>
        <w:t>评价范围为项目占地范围内及周边</w:t>
      </w:r>
      <w:r>
        <w:t>0.05km</w:t>
      </w:r>
      <w:r>
        <w:rPr>
          <w:rFonts w:hint="eastAsia"/>
        </w:rPr>
        <w:t>的范围。</w:t>
      </w:r>
    </w:p>
    <w:p>
      <w:pPr>
        <w:pStyle w:val="79"/>
        <w:ind w:firstLine="482"/>
        <w:rPr>
          <w:b/>
        </w:rPr>
      </w:pPr>
      <w:r>
        <w:rPr>
          <w:rFonts w:hint="eastAsia"/>
          <w:b/>
        </w:rPr>
        <w:t>2、预测方法</w:t>
      </w:r>
      <w:r>
        <w:rPr>
          <w:b/>
        </w:rPr>
        <w:t xml:space="preserve"> </w:t>
      </w:r>
    </w:p>
    <w:p>
      <w:pPr>
        <w:pStyle w:val="79"/>
        <w:ind w:firstLine="480"/>
      </w:pPr>
      <w:r>
        <w:rPr>
          <w:rFonts w:hint="eastAsia"/>
        </w:rPr>
        <w:t>根据《环境影响评价技术导则</w:t>
      </w:r>
      <w:r>
        <w:t xml:space="preserve"> </w:t>
      </w:r>
      <w:r>
        <w:rPr>
          <w:rFonts w:hint="eastAsia"/>
        </w:rPr>
        <w:t>土壤环境（试行）》（</w:t>
      </w:r>
      <w:r>
        <w:t>HJ964-2018</w:t>
      </w:r>
      <w:r>
        <w:rPr>
          <w:rFonts w:hint="eastAsia"/>
        </w:rPr>
        <w:t>）</w:t>
      </w:r>
      <w:r>
        <w:t>8.7.3</w:t>
      </w:r>
      <w:r>
        <w:rPr>
          <w:rFonts w:hint="eastAsia"/>
        </w:rPr>
        <w:t>规定：污染影响型建设项目，其评价工作等级为三级的，预测方法采用定性描述或类比分析法进行预测。本项目采用定性描述的方法进行预测。</w:t>
      </w:r>
    </w:p>
    <w:p>
      <w:pPr>
        <w:pStyle w:val="79"/>
        <w:ind w:firstLine="482"/>
        <w:rPr>
          <w:b/>
        </w:rPr>
      </w:pPr>
      <w:r>
        <w:rPr>
          <w:rFonts w:hint="eastAsia"/>
          <w:b/>
        </w:rPr>
        <w:t>3、影响预测分析</w:t>
      </w:r>
      <w:r>
        <w:rPr>
          <w:b/>
        </w:rPr>
        <w:t xml:space="preserve"> </w:t>
      </w:r>
    </w:p>
    <w:p>
      <w:pPr>
        <w:pStyle w:val="79"/>
        <w:ind w:firstLine="480"/>
      </w:pPr>
      <w:r>
        <w:t>本项目采取了源头控制和分区防渗措施，正常情况下各类物料、固废、废水不会造成下渗影响土壤</w:t>
      </w:r>
      <w:r>
        <w:rPr>
          <w:rFonts w:hint="eastAsia"/>
        </w:rPr>
        <w:t>及地下水</w:t>
      </w:r>
      <w:r>
        <w:t>环境，但对于地下或半地下工程构筑物，在非正常情况下，污染物可能在</w:t>
      </w:r>
      <w:r>
        <w:rPr>
          <w:rFonts w:hint="eastAsia"/>
        </w:rPr>
        <w:t>“</w:t>
      </w:r>
      <w:r>
        <w:t>跑</w:t>
      </w:r>
      <w:r>
        <w:rPr>
          <w:rFonts w:hint="eastAsia"/>
        </w:rPr>
        <w:t>、</w:t>
      </w:r>
      <w:r>
        <w:t>冒</w:t>
      </w:r>
      <w:r>
        <w:rPr>
          <w:rFonts w:hint="eastAsia"/>
        </w:rPr>
        <w:t>、</w:t>
      </w:r>
      <w:r>
        <w:t>滴</w:t>
      </w:r>
      <w:r>
        <w:rPr>
          <w:rFonts w:hint="eastAsia"/>
        </w:rPr>
        <w:t>、</w:t>
      </w:r>
      <w:r>
        <w:t>漏</w:t>
      </w:r>
      <w:r>
        <w:rPr>
          <w:rFonts w:hint="eastAsia"/>
        </w:rPr>
        <w:t>”</w:t>
      </w:r>
      <w:r>
        <w:t>条件下由垂直入渗途径污染土壤环境</w:t>
      </w:r>
      <w:r>
        <w:rPr>
          <w:rFonts w:hint="eastAsia"/>
        </w:rPr>
        <w:t>，</w:t>
      </w:r>
      <w:r>
        <w:t>可能会对土壤造成污染。</w:t>
      </w:r>
    </w:p>
    <w:p>
      <w:pPr>
        <w:pStyle w:val="79"/>
        <w:ind w:firstLine="480"/>
      </w:pPr>
      <w:r>
        <w:t>（1）地面漫流影响</w:t>
      </w:r>
    </w:p>
    <w:p>
      <w:pPr>
        <w:pStyle w:val="79"/>
        <w:ind w:firstLine="480"/>
      </w:pPr>
      <w:r>
        <w:rPr>
          <w:rFonts w:hint="eastAsia"/>
        </w:rPr>
        <w:t>非正常</w:t>
      </w:r>
      <w:r>
        <w:t>情况下，本项目</w:t>
      </w:r>
      <w:r>
        <w:rPr>
          <w:rFonts w:hint="eastAsia"/>
        </w:rPr>
        <w:t>集粪池</w:t>
      </w:r>
      <w:r>
        <w:t>、厌氧发酵池等构筑物中的大量废水漫流，由于主要污染因子为COD</w:t>
      </w:r>
      <w:r>
        <w:rPr>
          <w:rFonts w:hint="eastAsia"/>
        </w:rPr>
        <w:t>和</w:t>
      </w:r>
      <w:r>
        <w:t>NH</w:t>
      </w:r>
      <w:r>
        <w:rPr>
          <w:vertAlign w:val="subscript"/>
        </w:rPr>
        <w:t>3</w:t>
      </w:r>
      <w:r>
        <w:t>-N，漫流过程中，污染物质会对漫流区域的土壤和地下水造成影响。</w:t>
      </w:r>
    </w:p>
    <w:p>
      <w:pPr>
        <w:pStyle w:val="79"/>
        <w:ind w:firstLine="480"/>
      </w:pPr>
      <w:r>
        <w:t>（2）垂直入渗影响分析</w:t>
      </w:r>
    </w:p>
    <w:p>
      <w:pPr>
        <w:pStyle w:val="79"/>
        <w:ind w:firstLine="480"/>
      </w:pPr>
      <w:r>
        <w:t>本项目可能产生垂直入渗过程中的主要污染因子有COD</w:t>
      </w:r>
      <w:r>
        <w:rPr>
          <w:rFonts w:hint="eastAsia"/>
        </w:rPr>
        <w:t>和</w:t>
      </w:r>
      <w:r>
        <w:t>NH</w:t>
      </w:r>
      <w:r>
        <w:rPr>
          <w:vertAlign w:val="subscript"/>
        </w:rPr>
        <w:t>3</w:t>
      </w:r>
      <w:r>
        <w:t>-N等，</w:t>
      </w:r>
      <w:r>
        <w:rPr>
          <w:rFonts w:hint="eastAsia"/>
        </w:rPr>
        <w:t>养殖场区</w:t>
      </w:r>
      <w:r>
        <w:t>严格按照地下水导则采取分区防渗措施，将少量跑冒滴漏的废水污染物截留，正常情况下不会污染土壤；如若发生防渗层破损、处理设施故障等非正常情况，污染物可能会垂直入渗从而污染土壤。因此建设单位应该采取严格有效的防渗措施和故障处置应急小组，一旦发生非正常情况，立即采取相应的应急处理措施，切断污染源，将事故影响减小至最低。</w:t>
      </w:r>
    </w:p>
    <w:p>
      <w:pPr>
        <w:pStyle w:val="79"/>
        <w:ind w:firstLine="480"/>
      </w:pPr>
      <w:r>
        <w:rPr>
          <w:rFonts w:hint="eastAsia"/>
        </w:rPr>
        <w:t>（3）沼液</w:t>
      </w:r>
      <w:r>
        <w:t>还田影响分析</w:t>
      </w:r>
    </w:p>
    <w:p>
      <w:pPr>
        <w:pStyle w:val="79"/>
        <w:ind w:firstLine="480"/>
      </w:pPr>
      <w:r>
        <w:rPr>
          <w:rFonts w:hint="eastAsia"/>
        </w:rPr>
        <w:t>沼液是一种养分全面、速缓肥效兼备的优质有机液肥，能显著的改善土壤环境，有效调节土壤中的水、肥、气、热状态，促进土壤生态环境良性循环等多方面优点。使用沼液对周围环境的影响主要表现在少量恶臭影响，过量沼液对土壤的影响，灌溉可能产生的对地表水和地下水的影响。根据李铁、张玉龙等《施用沼肥对保护土壤微生物群落影响的研究》的研究。施用沼肥有利于土壤中多种微生物的均衡生长，有利于土壤微生物种群的均匀分布，又根据张无敌、尹芳、李建昌等《沼液对土壤有机质含量和肥效的影响》，施用沼液对增加土壤氨态氮含量、速效钾含量、速效磷含量和有机质含量有一定的促进作用。又根据孙广辉《沼液灌溉对蔬菜产量和品质以及土壤质量影响的研究》，“通过对供试蔬菜和土壤的测定，单施化肥的处理生产的蔬菜Cd和Pd含量已经超过国家食品卫生标准。沼液单施和沼液和化肥配施用各处理土壤中Cu含量都有所增加，而Pb、Cr都有所下降。所有处理土壤中Cr含量符合国家一级标准，Cu含量符合国家二级标准，而Cd量符合国家三级标准。”因此，施用不超过土壤负荷量的沼液对改善土壤质量，提高土壤肥力，改善土壤微生物群落等显著促进作用。因此沼液还田对土壤环境影响较小。</w:t>
      </w:r>
    </w:p>
    <w:p>
      <w:pPr>
        <w:pStyle w:val="5"/>
      </w:pPr>
      <w:r>
        <w:rPr>
          <w:rFonts w:hint="eastAsia"/>
        </w:rPr>
        <w:t>污染</w:t>
      </w:r>
      <w:r>
        <w:t>防治</w:t>
      </w:r>
      <w:r>
        <w:rPr>
          <w:rFonts w:hint="eastAsia"/>
        </w:rPr>
        <w:t>措施</w:t>
      </w:r>
    </w:p>
    <w:p>
      <w:pPr>
        <w:pStyle w:val="79"/>
        <w:ind w:firstLine="480"/>
      </w:pPr>
      <w:r>
        <w:rPr>
          <w:rFonts w:hint="eastAsia"/>
        </w:rPr>
        <w:t>1、源头控制措施</w:t>
      </w:r>
    </w:p>
    <w:p>
      <w:pPr>
        <w:pStyle w:val="79"/>
        <w:ind w:firstLine="480"/>
      </w:pPr>
      <w:r>
        <w:rPr>
          <w:rFonts w:hint="eastAsia"/>
        </w:rPr>
        <w:t>养殖场区各类污染物严格按照畜禽养殖污染防治技术要求进行处理，从源头上减少污染物进入土壤；项目场地划分为重点防渗区、一般防渗区和简单防渗区，各区域的地面采用相应的措施进行防渗处理，以达到各防渗区的防渗技术要求，场区污水处理设施地面以及污水管道均进行有效防渗，可将污水跑、冒、滴、漏降到最低限度。</w:t>
      </w:r>
    </w:p>
    <w:p>
      <w:pPr>
        <w:pStyle w:val="79"/>
        <w:ind w:firstLine="480"/>
      </w:pPr>
      <w:r>
        <w:rPr>
          <w:rFonts w:hint="eastAsia"/>
        </w:rPr>
        <w:t>2、过程防控措施</w:t>
      </w:r>
    </w:p>
    <w:p>
      <w:pPr>
        <w:pStyle w:val="79"/>
        <w:ind w:firstLine="480"/>
      </w:pPr>
      <w:r>
        <w:rPr>
          <w:rFonts w:hint="eastAsia"/>
        </w:rPr>
        <w:t>项目各类废水和固废污染防治设施均采取相应的防渗措施，并制定相应的环保管理规章制度，安排专人负责运行管理。运行期间对各设施定期进行维护，确保正常运行而不超标排放，同时做好日常运行台账记录，从制度上防止土壤环境污染。</w:t>
      </w:r>
    </w:p>
    <w:p>
      <w:pPr>
        <w:pStyle w:val="79"/>
        <w:ind w:firstLine="480"/>
      </w:pPr>
      <w:r>
        <w:rPr>
          <w:rFonts w:hint="eastAsia"/>
        </w:rPr>
        <w:t>3、土壤环境管理</w:t>
      </w:r>
    </w:p>
    <w:p>
      <w:pPr>
        <w:pStyle w:val="79"/>
        <w:ind w:firstLine="480"/>
      </w:pPr>
      <w:r>
        <w:rPr>
          <w:rFonts w:hint="eastAsia"/>
        </w:rPr>
        <w:t>加强环境管理，避免危废容器破损，定期巡查，一旦发现泄漏及时处理，避免对土壤造成污染。定期对污水处理设施、固废处理设施周边土壤进行检测，一经发现土壤环境污染，应及时采取防治措施。</w:t>
      </w:r>
    </w:p>
    <w:p>
      <w:pPr>
        <w:pStyle w:val="79"/>
        <w:ind w:firstLine="480"/>
      </w:pPr>
      <w:r>
        <w:rPr>
          <w:rFonts w:hint="eastAsia"/>
        </w:rPr>
        <w:t>综上，本项目的固废、危废暂存间和污水都经过处理措施之后，不会对项目区的土壤环境造成较大影响。</w:t>
      </w:r>
    </w:p>
    <w:p>
      <w:pPr>
        <w:pStyle w:val="79"/>
        <w:ind w:firstLine="480"/>
      </w:pPr>
      <w:r>
        <w:rPr>
          <w:rFonts w:hint="eastAsia"/>
        </w:rPr>
        <w:t>本项目运营期间</w:t>
      </w:r>
      <w:r>
        <w:t>产生的</w:t>
      </w:r>
      <w:r>
        <w:rPr>
          <w:rFonts w:hint="eastAsia"/>
        </w:rPr>
        <w:t>各类污染物</w:t>
      </w:r>
      <w:r>
        <w:t>均</w:t>
      </w:r>
      <w:r>
        <w:rPr>
          <w:rFonts w:hint="eastAsia"/>
        </w:rPr>
        <w:t>得到了</w:t>
      </w:r>
      <w:r>
        <w:t>妥善处理，采取“源头控制、分区防控”的</w:t>
      </w:r>
      <w:r>
        <w:rPr>
          <w:rFonts w:hint="eastAsia"/>
        </w:rPr>
        <w:t>土壤污染防治</w:t>
      </w:r>
      <w:r>
        <w:t>措施</w:t>
      </w:r>
      <w:r>
        <w:rPr>
          <w:rFonts w:hint="eastAsia"/>
        </w:rPr>
        <w:t>，</w:t>
      </w:r>
      <w:r>
        <w:t>在源头上减少了污染物进入土壤</w:t>
      </w:r>
      <w:r>
        <w:rPr>
          <w:rFonts w:hint="eastAsia"/>
        </w:rPr>
        <w:t>；同时</w:t>
      </w:r>
      <w:r>
        <w:t>场</w:t>
      </w:r>
      <w:r>
        <w:rPr>
          <w:rFonts w:hint="eastAsia"/>
        </w:rPr>
        <w:t>区</w:t>
      </w:r>
      <w:r>
        <w:t>划分为重点防渗区、一般防渗区和简单防渗区</w:t>
      </w:r>
      <w:r>
        <w:rPr>
          <w:rFonts w:hint="eastAsia"/>
        </w:rPr>
        <w:t>进行分区防渗，并加强运行期间的环境管理</w:t>
      </w:r>
      <w:r>
        <w:t>。</w:t>
      </w:r>
      <w:r>
        <w:rPr>
          <w:rFonts w:hint="eastAsia"/>
        </w:rPr>
        <w:t>在采取以上土壤污染防治</w:t>
      </w:r>
      <w:r>
        <w:t>措施</w:t>
      </w:r>
      <w:r>
        <w:rPr>
          <w:rFonts w:hint="eastAsia"/>
        </w:rPr>
        <w:t>后</w:t>
      </w:r>
      <w:r>
        <w:t>，</w:t>
      </w:r>
      <w:r>
        <w:rPr>
          <w:rFonts w:hint="eastAsia"/>
        </w:rPr>
        <w:t>本项目运营期不会造成土壤环境的恶化，影响可接受。</w:t>
      </w:r>
    </w:p>
    <w:bookmarkEnd w:id="149"/>
    <w:bookmarkEnd w:id="150"/>
    <w:bookmarkEnd w:id="151"/>
    <w:bookmarkEnd w:id="152"/>
    <w:p>
      <w:pPr>
        <w:pStyle w:val="4"/>
      </w:pPr>
      <w:bookmarkStart w:id="153" w:name="_Toc488102178"/>
      <w:r>
        <w:rPr>
          <w:rFonts w:hint="eastAsia"/>
        </w:rPr>
        <w:t>生态环境影响分析与评价</w:t>
      </w:r>
      <w:bookmarkEnd w:id="153"/>
    </w:p>
    <w:p>
      <w:pPr>
        <w:ind w:firstLine="480"/>
      </w:pPr>
      <w:r>
        <w:rPr>
          <w:rFonts w:hint="eastAsia"/>
        </w:rPr>
        <w:t>本工程总占地面积</w:t>
      </w:r>
      <w:r>
        <w:rPr>
          <w:lang w:val="zh-CN"/>
        </w:rPr>
        <w:t>27737.7</w:t>
      </w:r>
      <w:r>
        <w:rPr>
          <w:rFonts w:hint="eastAsia"/>
        </w:rPr>
        <w:t>m</w:t>
      </w:r>
      <w:r>
        <w:rPr>
          <w:rFonts w:hint="eastAsia"/>
          <w:vertAlign w:val="superscript"/>
        </w:rPr>
        <w:t>2</w:t>
      </w:r>
      <w:r>
        <w:rPr>
          <w:rFonts w:hint="eastAsia"/>
        </w:rPr>
        <w:t>（合</w:t>
      </w:r>
      <w:r>
        <w:rPr>
          <w:lang w:val="zh-CN"/>
        </w:rPr>
        <w:t>41.6065</w:t>
      </w:r>
      <w:r>
        <w:rPr>
          <w:rFonts w:hint="eastAsia"/>
        </w:rPr>
        <w:t>亩），属于生态敏感性一般区域，根据《环境影响评价技术导则生态影响》，确定本次生态环境影响评价工作等级为三级。</w:t>
      </w:r>
    </w:p>
    <w:p>
      <w:pPr>
        <w:ind w:firstLine="480"/>
      </w:pPr>
      <w:r>
        <w:rPr>
          <w:rFonts w:hint="eastAsia"/>
        </w:rPr>
        <w:t>根据现场调查，项目所在地附近没有珍稀野生动植物，四周多为林地、农田。项目施工造成部分植被被损坏，对周围生态系统造成了一定程度的损坏。但建设完成后，养殖场内部隔离带和场界四周通过加强绿化，辅以乔、灌、草等相结合的形式，相对增加了植被生态系统的多样性。随着绿化种植，施工时的人为干扰消失，一部分外迁动物又会回归，对该地区动物生态系统影响不大。项目建成运营后，场界主要种植高大乔木辅以灌木，场内以灌木草坪为主，对氨和硫化氢有一定的吸收作用，可减轻猪舍臭气对大气环境的影响。</w:t>
      </w:r>
    </w:p>
    <w:p>
      <w:pPr>
        <w:ind w:firstLine="480"/>
      </w:pPr>
      <w:r>
        <w:rPr>
          <w:rFonts w:hint="eastAsia"/>
        </w:rPr>
        <w:t>综上所述，建设场地原有生态环境不敏感，在做好场地绿化的前提下，项目建设对生态环境的影响较小。</w:t>
      </w:r>
    </w:p>
    <w:p>
      <w:pPr>
        <w:ind w:firstLine="480"/>
        <w:sectPr>
          <w:headerReference r:id="rId51" w:type="default"/>
          <w:headerReference r:id="rId52" w:type="even"/>
          <w:pgSz w:w="11906" w:h="16838"/>
          <w:pgMar w:top="1440" w:right="1800" w:bottom="1440" w:left="1800" w:header="992" w:footer="992" w:gutter="0"/>
          <w:pgNumType w:fmt="numberInDash"/>
          <w:cols w:space="425" w:num="1"/>
          <w:docGrid w:type="lines" w:linePitch="326" w:charSpace="0"/>
        </w:sectPr>
      </w:pPr>
    </w:p>
    <w:p>
      <w:pPr>
        <w:pStyle w:val="2"/>
      </w:pPr>
      <w:bookmarkStart w:id="154" w:name="_Toc488102179"/>
      <w:bookmarkStart w:id="155" w:name="_Toc108422238"/>
      <w:r>
        <w:rPr>
          <w:rFonts w:hint="eastAsia"/>
        </w:rPr>
        <w:t>环境风险评价</w:t>
      </w:r>
      <w:bookmarkEnd w:id="154"/>
      <w:bookmarkEnd w:id="155"/>
    </w:p>
    <w:p>
      <w:pPr>
        <w:pStyle w:val="3"/>
      </w:pPr>
      <w:bookmarkStart w:id="156" w:name="_Toc108422239"/>
      <w:bookmarkStart w:id="157" w:name="_Toc384552397"/>
      <w:bookmarkStart w:id="158" w:name="_Toc382810912"/>
      <w:bookmarkStart w:id="159" w:name="_Toc437240964"/>
      <w:bookmarkStart w:id="160" w:name="_Toc468920645"/>
      <w:bookmarkStart w:id="161" w:name="_Toc387133308"/>
      <w:bookmarkStart w:id="162" w:name="_Toc364090182"/>
      <w:bookmarkStart w:id="163" w:name="_Toc346962984"/>
      <w:r>
        <w:t>评价目的</w:t>
      </w:r>
      <w:bookmarkEnd w:id="156"/>
      <w:bookmarkEnd w:id="157"/>
      <w:bookmarkEnd w:id="158"/>
      <w:bookmarkEnd w:id="159"/>
      <w:bookmarkEnd w:id="160"/>
      <w:bookmarkEnd w:id="161"/>
      <w:bookmarkEnd w:id="162"/>
      <w:bookmarkEnd w:id="163"/>
    </w:p>
    <w:p>
      <w:pPr>
        <w:ind w:firstLine="480"/>
      </w:pPr>
      <w:r>
        <w:rPr>
          <w:rFonts w:hint="eastAsia"/>
        </w:rPr>
        <w:t>根据原国家环保部《关于进一步加强环境影响评价管理防范环境风险的通知》（环发[2012]77号文）的要求：“建设项目环境风险评价是相关项目环境影响评价的重要组成部分。新、改、扩建项目建设项目环境影响评价应按照相应技术导则要求，科学预测评价突发性事件或事故可能引发的环境风险，提出环境风险防范和应急措施。”</w:t>
      </w:r>
    </w:p>
    <w:p>
      <w:pPr>
        <w:ind w:firstLine="480"/>
      </w:pPr>
      <w:r>
        <w:rPr>
          <w:rFonts w:hint="eastAsia"/>
        </w:rPr>
        <w:t>根据《建设项目环境风险评价技术导则》（HJ169-2018)，对于涉及有毒有害和易燃易爆物质的生产、使用、贮运的建设项目可能发生的突发性事故应进行环境风险评价。本项目运营期产生</w:t>
      </w:r>
      <w:r>
        <w:t>沼气具有一定危险特性，存在潜在环境污染、健康危险及火灾爆炸等风险隐患，因此必须对项目进行环境风险评价。</w:t>
      </w:r>
    </w:p>
    <w:p>
      <w:pPr>
        <w:pStyle w:val="3"/>
      </w:pPr>
      <w:bookmarkStart w:id="164" w:name="_Toc108422240"/>
      <w:r>
        <w:rPr>
          <w:rFonts w:hint="eastAsia"/>
        </w:rPr>
        <w:t>评价</w:t>
      </w:r>
      <w:r>
        <w:t>原则</w:t>
      </w:r>
      <w:bookmarkEnd w:id="164"/>
    </w:p>
    <w:p>
      <w:pPr>
        <w:ind w:firstLine="480"/>
      </w:pPr>
      <w:r>
        <w:rPr>
          <w:rFonts w:hint="eastAsia"/>
        </w:rPr>
        <w:t>环境风险评价是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3"/>
      </w:pPr>
      <w:bookmarkStart w:id="165" w:name="_Toc108422241"/>
      <w:r>
        <w:rPr>
          <w:rFonts w:hint="eastAsia"/>
        </w:rPr>
        <w:t>风险</w:t>
      </w:r>
      <w:r>
        <w:t>调查</w:t>
      </w:r>
      <w:bookmarkEnd w:id="165"/>
    </w:p>
    <w:p>
      <w:pPr>
        <w:pStyle w:val="4"/>
      </w:pPr>
      <w:r>
        <w:rPr>
          <w:rFonts w:hint="eastAsia"/>
        </w:rPr>
        <w:t>建设</w:t>
      </w:r>
      <w:r>
        <w:t>项目风险源调查</w:t>
      </w:r>
    </w:p>
    <w:p>
      <w:pPr>
        <w:ind w:firstLine="480"/>
      </w:pPr>
      <w:r>
        <w:rPr>
          <w:rFonts w:hint="eastAsia"/>
        </w:rPr>
        <w:t>（1）物质</w:t>
      </w:r>
      <w:r>
        <w:t>的</w:t>
      </w:r>
      <w:r>
        <w:rPr>
          <w:rFonts w:hint="eastAsia"/>
        </w:rPr>
        <w:t>理化</w:t>
      </w:r>
      <w:r>
        <w:t>性质</w:t>
      </w:r>
    </w:p>
    <w:p>
      <w:pPr>
        <w:ind w:firstLine="480"/>
      </w:pPr>
      <w:r>
        <w:rPr>
          <w:rFonts w:hint="eastAsia"/>
        </w:rPr>
        <w:t>沼气是一种混合气体，主要成分是甲烷，其次有CO</w:t>
      </w:r>
      <w:r>
        <w:rPr>
          <w:rFonts w:hint="eastAsia"/>
          <w:vertAlign w:val="subscript"/>
        </w:rPr>
        <w:t>2</w:t>
      </w:r>
      <w:r>
        <w:rPr>
          <w:rFonts w:hint="eastAsia"/>
        </w:rPr>
        <w:t>、H</w:t>
      </w:r>
      <w:r>
        <w:rPr>
          <w:rFonts w:hint="eastAsia"/>
          <w:vertAlign w:val="subscript"/>
        </w:rPr>
        <w:t>2</w:t>
      </w:r>
      <w:r>
        <w:rPr>
          <w:rFonts w:hint="eastAsia"/>
        </w:rPr>
        <w:t>S、氮及其他一些成分。沼气的组成中，可燃成分包括CH</w:t>
      </w:r>
      <w:r>
        <w:rPr>
          <w:rFonts w:hint="eastAsia"/>
          <w:vertAlign w:val="subscript"/>
        </w:rPr>
        <w:t>4</w:t>
      </w:r>
      <w:r>
        <w:rPr>
          <w:rFonts w:hint="eastAsia"/>
        </w:rPr>
        <w:t>、H</w:t>
      </w:r>
      <w:r>
        <w:rPr>
          <w:rFonts w:hint="eastAsia"/>
          <w:vertAlign w:val="subscript"/>
        </w:rPr>
        <w:t>2</w:t>
      </w:r>
      <w:r>
        <w:rPr>
          <w:rFonts w:hint="eastAsia"/>
        </w:rPr>
        <w:t>S、CO等气体；不可燃成分包括CO</w:t>
      </w:r>
      <w:r>
        <w:rPr>
          <w:rFonts w:hint="eastAsia"/>
          <w:vertAlign w:val="subscript"/>
        </w:rPr>
        <w:t>2</w:t>
      </w:r>
      <w:r>
        <w:rPr>
          <w:rFonts w:hint="eastAsia"/>
        </w:rPr>
        <w:t>、氮等气体，在沼气成分中CH</w:t>
      </w:r>
      <w:r>
        <w:rPr>
          <w:rFonts w:hint="eastAsia"/>
          <w:vertAlign w:val="subscript"/>
        </w:rPr>
        <w:t>4</w:t>
      </w:r>
      <w:r>
        <w:rPr>
          <w:rFonts w:hint="eastAsia"/>
        </w:rPr>
        <w:t>含量为55%-70%、CO</w:t>
      </w:r>
      <w:r>
        <w:rPr>
          <w:rFonts w:hint="eastAsia"/>
          <w:vertAlign w:val="subscript"/>
        </w:rPr>
        <w:t>2</w:t>
      </w:r>
      <w:r>
        <w:rPr>
          <w:rFonts w:hint="eastAsia"/>
        </w:rPr>
        <w:t>含量为28%-44%、H</w:t>
      </w:r>
      <w:r>
        <w:rPr>
          <w:rFonts w:hint="eastAsia"/>
          <w:vertAlign w:val="subscript"/>
        </w:rPr>
        <w:t>2</w:t>
      </w:r>
      <w:r>
        <w:rPr>
          <w:rFonts w:hint="eastAsia"/>
        </w:rPr>
        <w:t>S平均0.034%</w:t>
      </w:r>
      <w:r>
        <w:t>。</w:t>
      </w:r>
    </w:p>
    <w:p>
      <w:pPr>
        <w:ind w:firstLine="480"/>
      </w:pPr>
      <w:r>
        <w:rPr>
          <w:rFonts w:hint="eastAsia"/>
        </w:rPr>
        <w:t>沼气的主要特性参数见表</w:t>
      </w:r>
      <w:r>
        <w:t>6.3-1</w:t>
      </w:r>
      <w:r>
        <w:rPr>
          <w:rFonts w:hint="eastAsia"/>
        </w:rPr>
        <w:t>。其危险特性主要表现在甲烷上，其理化性质见表6.3-2。</w:t>
      </w:r>
    </w:p>
    <w:p>
      <w:pPr>
        <w:pStyle w:val="85"/>
      </w:pPr>
      <w:r>
        <w:rPr>
          <w:rFonts w:hint="eastAsia"/>
        </w:rPr>
        <w:t>表</w:t>
      </w:r>
      <w:r>
        <w:fldChar w:fldCharType="begin"/>
      </w:r>
      <w:r>
        <w:rPr>
          <w:rFonts w:hint="eastAsia"/>
        </w:rPr>
        <w:instrText xml:space="preserve">STYLEREF 2 \s</w:instrText>
      </w:r>
      <w:r>
        <w:fldChar w:fldCharType="separate"/>
      </w:r>
      <w:r>
        <w:t>6.3</w:t>
      </w:r>
      <w:r>
        <w:fldChar w:fldCharType="end"/>
      </w:r>
      <w:r>
        <w:noBreakHyphen/>
      </w:r>
      <w:r>
        <w:fldChar w:fldCharType="begin"/>
      </w:r>
      <w:r>
        <w:rPr>
          <w:rFonts w:hint="eastAsia"/>
        </w:rPr>
        <w:instrText xml:space="preserve">SEQ 表 \* ARABIC \s 2</w:instrText>
      </w:r>
      <w:r>
        <w:fldChar w:fldCharType="separate"/>
      </w:r>
      <w:r>
        <w:t>1</w:t>
      </w:r>
      <w:r>
        <w:fldChar w:fldCharType="end"/>
      </w:r>
      <w:r>
        <w:rPr>
          <w:rFonts w:hint="eastAsia"/>
        </w:rPr>
        <w:t>沼气主要特性参数一览表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851"/>
        <w:gridCol w:w="1248"/>
        <w:gridCol w:w="1511"/>
        <w:gridCol w:w="1379"/>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Merge w:val="restart"/>
            <w:vAlign w:val="center"/>
          </w:tcPr>
          <w:p>
            <w:pPr>
              <w:pStyle w:val="40"/>
            </w:pPr>
            <w:r>
              <w:t>序号</w:t>
            </w:r>
          </w:p>
        </w:tc>
        <w:tc>
          <w:tcPr>
            <w:tcW w:w="3099" w:type="dxa"/>
            <w:gridSpan w:val="2"/>
            <w:vMerge w:val="restart"/>
            <w:vAlign w:val="center"/>
          </w:tcPr>
          <w:p>
            <w:pPr>
              <w:pStyle w:val="40"/>
            </w:pPr>
            <w:r>
              <w:t>特性参数</w:t>
            </w:r>
          </w:p>
        </w:tc>
        <w:tc>
          <w:tcPr>
            <w:tcW w:w="1511" w:type="dxa"/>
            <w:vAlign w:val="center"/>
          </w:tcPr>
          <w:p>
            <w:pPr>
              <w:pStyle w:val="40"/>
            </w:pPr>
            <w:r>
              <w:t>CH</w:t>
            </w:r>
            <w:r>
              <w:rPr>
                <w:vertAlign w:val="subscript"/>
              </w:rPr>
              <w:t>4</w:t>
            </w:r>
            <w:r>
              <w:t>50%</w:t>
            </w:r>
          </w:p>
        </w:tc>
        <w:tc>
          <w:tcPr>
            <w:tcW w:w="1379" w:type="dxa"/>
            <w:vAlign w:val="center"/>
          </w:tcPr>
          <w:p>
            <w:pPr>
              <w:pStyle w:val="40"/>
            </w:pPr>
            <w:r>
              <w:t>CH</w:t>
            </w:r>
            <w:r>
              <w:rPr>
                <w:vertAlign w:val="subscript"/>
              </w:rPr>
              <w:t>4</w:t>
            </w:r>
            <w:r>
              <w:t>60%</w:t>
            </w:r>
          </w:p>
        </w:tc>
        <w:tc>
          <w:tcPr>
            <w:tcW w:w="1380" w:type="dxa"/>
            <w:vAlign w:val="center"/>
          </w:tcPr>
          <w:p>
            <w:pPr>
              <w:pStyle w:val="40"/>
            </w:pPr>
            <w:r>
              <w:t>CH</w:t>
            </w:r>
            <w:r>
              <w:rPr>
                <w:vertAlign w:val="subscript"/>
              </w:rPr>
              <w:t>4</w:t>
            </w:r>
            <w: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Merge w:val="continue"/>
            <w:vAlign w:val="center"/>
          </w:tcPr>
          <w:p>
            <w:pPr>
              <w:pStyle w:val="40"/>
            </w:pPr>
          </w:p>
        </w:tc>
        <w:tc>
          <w:tcPr>
            <w:tcW w:w="3099" w:type="dxa"/>
            <w:gridSpan w:val="2"/>
            <w:vMerge w:val="continue"/>
            <w:vAlign w:val="center"/>
          </w:tcPr>
          <w:p>
            <w:pPr>
              <w:pStyle w:val="40"/>
            </w:pPr>
          </w:p>
        </w:tc>
        <w:tc>
          <w:tcPr>
            <w:tcW w:w="1511" w:type="dxa"/>
            <w:vAlign w:val="center"/>
          </w:tcPr>
          <w:p>
            <w:pPr>
              <w:pStyle w:val="40"/>
            </w:pPr>
            <w:r>
              <w:t>CO</w:t>
            </w:r>
            <w:r>
              <w:rPr>
                <w:vertAlign w:val="subscript"/>
              </w:rPr>
              <w:t>2</w:t>
            </w:r>
            <w:r>
              <w:t>50%</w:t>
            </w:r>
          </w:p>
        </w:tc>
        <w:tc>
          <w:tcPr>
            <w:tcW w:w="1379" w:type="dxa"/>
            <w:vAlign w:val="center"/>
          </w:tcPr>
          <w:p>
            <w:pPr>
              <w:pStyle w:val="40"/>
            </w:pPr>
            <w:r>
              <w:t>CO</w:t>
            </w:r>
            <w:r>
              <w:rPr>
                <w:vertAlign w:val="subscript"/>
              </w:rPr>
              <w:t>2</w:t>
            </w:r>
            <w:r>
              <w:t>40%</w:t>
            </w:r>
          </w:p>
        </w:tc>
        <w:tc>
          <w:tcPr>
            <w:tcW w:w="1380" w:type="dxa"/>
            <w:vAlign w:val="center"/>
          </w:tcPr>
          <w:p>
            <w:pPr>
              <w:pStyle w:val="40"/>
            </w:pPr>
            <w:r>
              <w:t>CO</w:t>
            </w:r>
            <w:r>
              <w:rPr>
                <w:vertAlign w:val="subscript"/>
              </w:rPr>
              <w:t>2</w:t>
            </w:r>
            <w: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Align w:val="center"/>
          </w:tcPr>
          <w:p>
            <w:pPr>
              <w:pStyle w:val="40"/>
            </w:pPr>
            <w:r>
              <w:t>1</w:t>
            </w:r>
          </w:p>
        </w:tc>
        <w:tc>
          <w:tcPr>
            <w:tcW w:w="3099" w:type="dxa"/>
            <w:gridSpan w:val="2"/>
            <w:vAlign w:val="center"/>
          </w:tcPr>
          <w:p>
            <w:pPr>
              <w:pStyle w:val="40"/>
            </w:pPr>
            <w:r>
              <w:t>密度（kg/m</w:t>
            </w:r>
            <w:r>
              <w:rPr>
                <w:vertAlign w:val="superscript"/>
              </w:rPr>
              <w:t>3</w:t>
            </w:r>
            <w:r>
              <w:t>）</w:t>
            </w:r>
          </w:p>
        </w:tc>
        <w:tc>
          <w:tcPr>
            <w:tcW w:w="1511" w:type="dxa"/>
            <w:vAlign w:val="center"/>
          </w:tcPr>
          <w:p>
            <w:pPr>
              <w:pStyle w:val="40"/>
            </w:pPr>
            <w:r>
              <w:t>1.347</w:t>
            </w:r>
          </w:p>
        </w:tc>
        <w:tc>
          <w:tcPr>
            <w:tcW w:w="1379" w:type="dxa"/>
            <w:vAlign w:val="center"/>
          </w:tcPr>
          <w:p>
            <w:pPr>
              <w:pStyle w:val="40"/>
            </w:pPr>
            <w:r>
              <w:t>1.221</w:t>
            </w:r>
          </w:p>
        </w:tc>
        <w:tc>
          <w:tcPr>
            <w:tcW w:w="1380" w:type="dxa"/>
            <w:vAlign w:val="center"/>
          </w:tcPr>
          <w:p>
            <w:pPr>
              <w:pStyle w:val="40"/>
            </w:pPr>
            <w:r>
              <w:t>1.095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Align w:val="center"/>
          </w:tcPr>
          <w:p>
            <w:pPr>
              <w:pStyle w:val="40"/>
            </w:pPr>
            <w:r>
              <w:t>2</w:t>
            </w:r>
          </w:p>
        </w:tc>
        <w:tc>
          <w:tcPr>
            <w:tcW w:w="3099" w:type="dxa"/>
            <w:gridSpan w:val="2"/>
            <w:vAlign w:val="center"/>
          </w:tcPr>
          <w:p>
            <w:pPr>
              <w:pStyle w:val="40"/>
            </w:pPr>
            <w:r>
              <w:t>比重</w:t>
            </w:r>
          </w:p>
        </w:tc>
        <w:tc>
          <w:tcPr>
            <w:tcW w:w="1511" w:type="dxa"/>
            <w:vAlign w:val="center"/>
          </w:tcPr>
          <w:p>
            <w:pPr>
              <w:pStyle w:val="40"/>
            </w:pPr>
            <w:r>
              <w:t>1.042</w:t>
            </w:r>
          </w:p>
        </w:tc>
        <w:tc>
          <w:tcPr>
            <w:tcW w:w="1379" w:type="dxa"/>
            <w:vAlign w:val="center"/>
          </w:tcPr>
          <w:p>
            <w:pPr>
              <w:pStyle w:val="40"/>
            </w:pPr>
            <w:r>
              <w:t>0.944</w:t>
            </w:r>
          </w:p>
        </w:tc>
        <w:tc>
          <w:tcPr>
            <w:tcW w:w="1380" w:type="dxa"/>
            <w:vAlign w:val="center"/>
          </w:tcPr>
          <w:p>
            <w:pPr>
              <w:pStyle w:val="40"/>
            </w:pPr>
            <w:r>
              <w:t>0.847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Align w:val="center"/>
          </w:tcPr>
          <w:p>
            <w:pPr>
              <w:pStyle w:val="40"/>
            </w:pPr>
            <w:r>
              <w:t>3</w:t>
            </w:r>
          </w:p>
        </w:tc>
        <w:tc>
          <w:tcPr>
            <w:tcW w:w="3099" w:type="dxa"/>
            <w:gridSpan w:val="2"/>
            <w:vAlign w:val="center"/>
          </w:tcPr>
          <w:p>
            <w:pPr>
              <w:pStyle w:val="40"/>
            </w:pPr>
            <w:r>
              <w:t>热值（kJ/m</w:t>
            </w:r>
            <w:r>
              <w:rPr>
                <w:vertAlign w:val="superscript"/>
              </w:rPr>
              <w:t>2</w:t>
            </w:r>
            <w:r>
              <w:t>）</w:t>
            </w:r>
          </w:p>
        </w:tc>
        <w:tc>
          <w:tcPr>
            <w:tcW w:w="1511" w:type="dxa"/>
            <w:vAlign w:val="center"/>
          </w:tcPr>
          <w:p>
            <w:pPr>
              <w:pStyle w:val="40"/>
            </w:pPr>
            <w:r>
              <w:t>17937</w:t>
            </w:r>
          </w:p>
        </w:tc>
        <w:tc>
          <w:tcPr>
            <w:tcW w:w="1379" w:type="dxa"/>
            <w:vAlign w:val="center"/>
          </w:tcPr>
          <w:p>
            <w:pPr>
              <w:pStyle w:val="40"/>
            </w:pPr>
            <w:r>
              <w:t>21524</w:t>
            </w:r>
          </w:p>
        </w:tc>
        <w:tc>
          <w:tcPr>
            <w:tcW w:w="1380" w:type="dxa"/>
            <w:vAlign w:val="center"/>
          </w:tcPr>
          <w:p>
            <w:pPr>
              <w:pStyle w:val="40"/>
            </w:pPr>
            <w:r>
              <w:t>25111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Align w:val="center"/>
          </w:tcPr>
          <w:p>
            <w:pPr>
              <w:pStyle w:val="40"/>
            </w:pPr>
            <w:r>
              <w:t>4</w:t>
            </w:r>
          </w:p>
        </w:tc>
        <w:tc>
          <w:tcPr>
            <w:tcW w:w="3099" w:type="dxa"/>
            <w:gridSpan w:val="2"/>
            <w:vAlign w:val="center"/>
          </w:tcPr>
          <w:p>
            <w:pPr>
              <w:pStyle w:val="40"/>
            </w:pPr>
            <w:r>
              <w:t>理论空气量（m</w:t>
            </w:r>
            <w:r>
              <w:rPr>
                <w:vertAlign w:val="superscript"/>
              </w:rPr>
              <w:t>3</w:t>
            </w:r>
            <w:r>
              <w:t>/m</w:t>
            </w:r>
            <w:r>
              <w:rPr>
                <w:vertAlign w:val="superscript"/>
              </w:rPr>
              <w:t>3</w:t>
            </w:r>
            <w:r>
              <w:t>）</w:t>
            </w:r>
          </w:p>
        </w:tc>
        <w:tc>
          <w:tcPr>
            <w:tcW w:w="1511" w:type="dxa"/>
            <w:vAlign w:val="center"/>
          </w:tcPr>
          <w:p>
            <w:pPr>
              <w:pStyle w:val="40"/>
            </w:pPr>
            <w:r>
              <w:t>4.76</w:t>
            </w:r>
          </w:p>
        </w:tc>
        <w:tc>
          <w:tcPr>
            <w:tcW w:w="1379" w:type="dxa"/>
            <w:vAlign w:val="center"/>
          </w:tcPr>
          <w:p>
            <w:pPr>
              <w:pStyle w:val="40"/>
            </w:pPr>
            <w:r>
              <w:t>5.71</w:t>
            </w:r>
          </w:p>
        </w:tc>
        <w:tc>
          <w:tcPr>
            <w:tcW w:w="1380" w:type="dxa"/>
            <w:vAlign w:val="center"/>
          </w:tcPr>
          <w:p>
            <w:pPr>
              <w:pStyle w:val="40"/>
            </w:pPr>
            <w:r>
              <w:t>6.67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Merge w:val="restart"/>
            <w:vAlign w:val="center"/>
          </w:tcPr>
          <w:p>
            <w:pPr>
              <w:pStyle w:val="40"/>
            </w:pPr>
            <w:r>
              <w:t>5</w:t>
            </w:r>
          </w:p>
        </w:tc>
        <w:tc>
          <w:tcPr>
            <w:tcW w:w="1851" w:type="dxa"/>
            <w:vMerge w:val="restart"/>
            <w:vAlign w:val="center"/>
          </w:tcPr>
          <w:p>
            <w:pPr>
              <w:pStyle w:val="40"/>
            </w:pPr>
            <w:r>
              <w:t>爆炸极限（%）</w:t>
            </w:r>
          </w:p>
        </w:tc>
        <w:tc>
          <w:tcPr>
            <w:tcW w:w="1248" w:type="dxa"/>
            <w:vAlign w:val="center"/>
          </w:tcPr>
          <w:p>
            <w:pPr>
              <w:pStyle w:val="40"/>
            </w:pPr>
            <w:r>
              <w:t>上限</w:t>
            </w:r>
          </w:p>
        </w:tc>
        <w:tc>
          <w:tcPr>
            <w:tcW w:w="1511" w:type="dxa"/>
            <w:vAlign w:val="center"/>
          </w:tcPr>
          <w:p>
            <w:pPr>
              <w:pStyle w:val="40"/>
            </w:pPr>
            <w:r>
              <w:t>26.1</w:t>
            </w:r>
          </w:p>
        </w:tc>
        <w:tc>
          <w:tcPr>
            <w:tcW w:w="1379" w:type="dxa"/>
            <w:vAlign w:val="center"/>
          </w:tcPr>
          <w:p>
            <w:pPr>
              <w:pStyle w:val="40"/>
            </w:pPr>
            <w:r>
              <w:t>24.44</w:t>
            </w:r>
          </w:p>
        </w:tc>
        <w:tc>
          <w:tcPr>
            <w:tcW w:w="1380" w:type="dxa"/>
            <w:vAlign w:val="center"/>
          </w:tcPr>
          <w:p>
            <w:pPr>
              <w:pStyle w:val="40"/>
            </w:pPr>
            <w:r>
              <w:t>20.13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Merge w:val="continue"/>
            <w:vAlign w:val="center"/>
          </w:tcPr>
          <w:p>
            <w:pPr>
              <w:pStyle w:val="40"/>
            </w:pPr>
          </w:p>
        </w:tc>
        <w:tc>
          <w:tcPr>
            <w:tcW w:w="1851" w:type="dxa"/>
            <w:vMerge w:val="continue"/>
            <w:vAlign w:val="center"/>
          </w:tcPr>
          <w:p>
            <w:pPr>
              <w:pStyle w:val="40"/>
            </w:pPr>
          </w:p>
        </w:tc>
        <w:tc>
          <w:tcPr>
            <w:tcW w:w="1248" w:type="dxa"/>
            <w:vAlign w:val="center"/>
          </w:tcPr>
          <w:p>
            <w:pPr>
              <w:pStyle w:val="40"/>
            </w:pPr>
            <w:r>
              <w:t>下限</w:t>
            </w:r>
          </w:p>
        </w:tc>
        <w:tc>
          <w:tcPr>
            <w:tcW w:w="1511" w:type="dxa"/>
            <w:vAlign w:val="center"/>
          </w:tcPr>
          <w:p>
            <w:pPr>
              <w:pStyle w:val="40"/>
            </w:pPr>
            <w:r>
              <w:t>9.52</w:t>
            </w:r>
          </w:p>
        </w:tc>
        <w:tc>
          <w:tcPr>
            <w:tcW w:w="1379" w:type="dxa"/>
            <w:vAlign w:val="center"/>
          </w:tcPr>
          <w:p>
            <w:pPr>
              <w:pStyle w:val="40"/>
            </w:pPr>
            <w:r>
              <w:t>8.8</w:t>
            </w:r>
          </w:p>
        </w:tc>
        <w:tc>
          <w:tcPr>
            <w:tcW w:w="1380" w:type="dxa"/>
            <w:vAlign w:val="center"/>
          </w:tcPr>
          <w:p>
            <w:pPr>
              <w:pStyle w:val="40"/>
            </w:pPr>
            <w: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Align w:val="center"/>
          </w:tcPr>
          <w:p>
            <w:pPr>
              <w:pStyle w:val="40"/>
            </w:pPr>
            <w:r>
              <w:t>6</w:t>
            </w:r>
          </w:p>
        </w:tc>
        <w:tc>
          <w:tcPr>
            <w:tcW w:w="3099" w:type="dxa"/>
            <w:gridSpan w:val="2"/>
            <w:vAlign w:val="center"/>
          </w:tcPr>
          <w:p>
            <w:pPr>
              <w:pStyle w:val="40"/>
            </w:pPr>
            <w:r>
              <w:t>理论烟气量（m</w:t>
            </w:r>
            <w:r>
              <w:rPr>
                <w:vertAlign w:val="superscript"/>
              </w:rPr>
              <w:t>3</w:t>
            </w:r>
            <w:r>
              <w:t>/m</w:t>
            </w:r>
            <w:r>
              <w:rPr>
                <w:vertAlign w:val="superscript"/>
              </w:rPr>
              <w:t>3</w:t>
            </w:r>
            <w:r>
              <w:t>）</w:t>
            </w:r>
          </w:p>
        </w:tc>
        <w:tc>
          <w:tcPr>
            <w:tcW w:w="1511" w:type="dxa"/>
            <w:vAlign w:val="center"/>
          </w:tcPr>
          <w:p>
            <w:pPr>
              <w:pStyle w:val="40"/>
            </w:pPr>
            <w:r>
              <w:t>6.763</w:t>
            </w:r>
          </w:p>
        </w:tc>
        <w:tc>
          <w:tcPr>
            <w:tcW w:w="1379" w:type="dxa"/>
            <w:vAlign w:val="center"/>
          </w:tcPr>
          <w:p>
            <w:pPr>
              <w:pStyle w:val="40"/>
            </w:pPr>
            <w:r>
              <w:t>8.194</w:t>
            </w:r>
          </w:p>
        </w:tc>
        <w:tc>
          <w:tcPr>
            <w:tcW w:w="1380" w:type="dxa"/>
            <w:vAlign w:val="center"/>
          </w:tcPr>
          <w:p>
            <w:pPr>
              <w:pStyle w:val="40"/>
            </w:pPr>
            <w:r>
              <w:t>9.067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07" w:type="dxa"/>
            <w:vAlign w:val="center"/>
          </w:tcPr>
          <w:p>
            <w:pPr>
              <w:pStyle w:val="40"/>
            </w:pPr>
            <w:r>
              <w:t>7</w:t>
            </w:r>
          </w:p>
        </w:tc>
        <w:tc>
          <w:tcPr>
            <w:tcW w:w="3099" w:type="dxa"/>
            <w:gridSpan w:val="2"/>
            <w:vAlign w:val="center"/>
          </w:tcPr>
          <w:p>
            <w:pPr>
              <w:pStyle w:val="40"/>
            </w:pPr>
            <w:r>
              <w:t>火焰传播速度（m</w:t>
            </w:r>
            <w:r>
              <w:rPr>
                <w:vertAlign w:val="superscript"/>
              </w:rPr>
              <w:t>3</w:t>
            </w:r>
            <w:r>
              <w:t>/s）</w:t>
            </w:r>
          </w:p>
        </w:tc>
        <w:tc>
          <w:tcPr>
            <w:tcW w:w="1511" w:type="dxa"/>
            <w:vAlign w:val="center"/>
          </w:tcPr>
          <w:p>
            <w:pPr>
              <w:pStyle w:val="40"/>
            </w:pPr>
            <w:r>
              <w:t>0.152</w:t>
            </w:r>
          </w:p>
        </w:tc>
        <w:tc>
          <w:tcPr>
            <w:tcW w:w="1379" w:type="dxa"/>
            <w:vAlign w:val="center"/>
          </w:tcPr>
          <w:p>
            <w:pPr>
              <w:pStyle w:val="40"/>
            </w:pPr>
            <w:r>
              <w:t>0.198</w:t>
            </w:r>
          </w:p>
        </w:tc>
        <w:tc>
          <w:tcPr>
            <w:tcW w:w="1380" w:type="dxa"/>
            <w:vAlign w:val="center"/>
          </w:tcPr>
          <w:p>
            <w:pPr>
              <w:pStyle w:val="40"/>
            </w:pPr>
            <w:r>
              <w:t>0.243</w:t>
            </w:r>
          </w:p>
        </w:tc>
      </w:tr>
    </w:tbl>
    <w:p>
      <w:pPr>
        <w:pStyle w:val="85"/>
      </w:pPr>
      <w:r>
        <w:rPr>
          <w:rFonts w:hint="eastAsia"/>
        </w:rPr>
        <w:t>表</w:t>
      </w:r>
      <w:r>
        <w:fldChar w:fldCharType="begin"/>
      </w:r>
      <w:r>
        <w:rPr>
          <w:rFonts w:hint="eastAsia"/>
        </w:rPr>
        <w:instrText xml:space="preserve">STYLEREF 2 \s</w:instrText>
      </w:r>
      <w:r>
        <w:fldChar w:fldCharType="separate"/>
      </w:r>
      <w:r>
        <w:t>6.3</w:t>
      </w:r>
      <w:r>
        <w:fldChar w:fldCharType="end"/>
      </w:r>
      <w:r>
        <w:noBreakHyphen/>
      </w:r>
      <w:r>
        <w:fldChar w:fldCharType="begin"/>
      </w:r>
      <w:r>
        <w:rPr>
          <w:rFonts w:hint="eastAsia"/>
        </w:rPr>
        <w:instrText xml:space="preserve">SEQ 表 \* ARABIC \s 2</w:instrText>
      </w:r>
      <w:r>
        <w:fldChar w:fldCharType="separate"/>
      </w:r>
      <w:r>
        <w:t>2</w:t>
      </w:r>
      <w:r>
        <w:fldChar w:fldCharType="end"/>
      </w:r>
      <w:r>
        <w:rPr>
          <w:rFonts w:hint="eastAsia"/>
        </w:rPr>
        <w:t>甲烷理化</w:t>
      </w:r>
      <w:r>
        <w:t>性质及危险特征表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268"/>
        <w:gridCol w:w="1559"/>
        <w:gridCol w:w="3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671" w:type="dxa"/>
            <w:gridSpan w:val="2"/>
            <w:vAlign w:val="center"/>
          </w:tcPr>
          <w:p>
            <w:pPr>
              <w:pStyle w:val="84"/>
              <w:ind w:left="115" w:right="170"/>
            </w:pPr>
            <w:r>
              <w:rPr>
                <w:rFonts w:hint="eastAsia"/>
              </w:rPr>
              <w:t>国际</w:t>
            </w:r>
            <w:r>
              <w:t>标号</w:t>
            </w:r>
          </w:p>
        </w:tc>
        <w:tc>
          <w:tcPr>
            <w:tcW w:w="4605" w:type="dxa"/>
            <w:gridSpan w:val="2"/>
            <w:vAlign w:val="center"/>
          </w:tcPr>
          <w:p>
            <w:pPr>
              <w:pStyle w:val="84"/>
              <w:ind w:left="115" w:right="170"/>
            </w:pPr>
            <w:r>
              <w:rPr>
                <w:rFonts w:hint="eastAsia"/>
              </w:rPr>
              <w:t>21007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671" w:type="dxa"/>
            <w:gridSpan w:val="2"/>
            <w:vAlign w:val="center"/>
          </w:tcPr>
          <w:p>
            <w:pPr>
              <w:pStyle w:val="84"/>
              <w:ind w:left="115" w:right="170"/>
            </w:pPr>
            <w:r>
              <w:rPr>
                <w:rFonts w:hint="eastAsia"/>
              </w:rPr>
              <w:t>CAS号</w:t>
            </w:r>
          </w:p>
        </w:tc>
        <w:tc>
          <w:tcPr>
            <w:tcW w:w="4605" w:type="dxa"/>
            <w:gridSpan w:val="2"/>
            <w:vAlign w:val="center"/>
          </w:tcPr>
          <w:p>
            <w:pPr>
              <w:pStyle w:val="84"/>
              <w:ind w:left="115" w:right="170"/>
            </w:pPr>
            <w:r>
              <w:rPr>
                <w:rFonts w:hint="eastAsia"/>
              </w:rPr>
              <w:t>74-82-8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671" w:type="dxa"/>
            <w:gridSpan w:val="2"/>
            <w:vAlign w:val="center"/>
          </w:tcPr>
          <w:p>
            <w:pPr>
              <w:pStyle w:val="84"/>
              <w:ind w:left="115" w:right="170"/>
            </w:pPr>
            <w:r>
              <w:rPr>
                <w:rFonts w:hint="eastAsia"/>
              </w:rPr>
              <w:t>英文</w:t>
            </w:r>
            <w:r>
              <w:t>名称</w:t>
            </w:r>
          </w:p>
        </w:tc>
        <w:tc>
          <w:tcPr>
            <w:tcW w:w="4605" w:type="dxa"/>
            <w:gridSpan w:val="2"/>
            <w:vAlign w:val="center"/>
          </w:tcPr>
          <w:p>
            <w:pPr>
              <w:pStyle w:val="84"/>
              <w:ind w:left="115" w:right="170"/>
            </w:pPr>
            <w:r>
              <w:rPr>
                <w:rFonts w:hint="eastAsia"/>
              </w:rPr>
              <w:t>Methane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671" w:type="dxa"/>
            <w:gridSpan w:val="2"/>
            <w:vAlign w:val="center"/>
          </w:tcPr>
          <w:p>
            <w:pPr>
              <w:pStyle w:val="84"/>
              <w:ind w:left="115" w:right="170"/>
            </w:pPr>
            <w:r>
              <w:rPr>
                <w:rFonts w:hint="eastAsia"/>
              </w:rPr>
              <w:t>别名</w:t>
            </w:r>
          </w:p>
        </w:tc>
        <w:tc>
          <w:tcPr>
            <w:tcW w:w="4605" w:type="dxa"/>
            <w:gridSpan w:val="2"/>
            <w:vAlign w:val="center"/>
          </w:tcPr>
          <w:p>
            <w:pPr>
              <w:pStyle w:val="84"/>
              <w:ind w:left="115" w:right="170"/>
            </w:pPr>
            <w:r>
              <w:rPr>
                <w:rFonts w:hint="eastAsia"/>
              </w:rPr>
              <w:t>沼气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03" w:type="dxa"/>
            <w:vAlign w:val="center"/>
          </w:tcPr>
          <w:p>
            <w:pPr>
              <w:pStyle w:val="84"/>
              <w:ind w:left="115" w:right="170"/>
            </w:pPr>
            <w:r>
              <w:rPr>
                <w:rFonts w:hint="eastAsia"/>
              </w:rPr>
              <w:t>分子</w:t>
            </w:r>
            <w:r>
              <w:t>式</w:t>
            </w:r>
          </w:p>
        </w:tc>
        <w:tc>
          <w:tcPr>
            <w:tcW w:w="2268" w:type="dxa"/>
            <w:vAlign w:val="center"/>
          </w:tcPr>
          <w:p>
            <w:pPr>
              <w:pStyle w:val="84"/>
              <w:ind w:left="115" w:right="170"/>
            </w:pPr>
            <w:r>
              <w:rPr>
                <w:rFonts w:hint="eastAsia"/>
              </w:rPr>
              <w:t>C</w:t>
            </w:r>
            <w:r>
              <w:t>H</w:t>
            </w:r>
            <w:r>
              <w:rPr>
                <w:vertAlign w:val="subscript"/>
              </w:rPr>
              <w:t>4</w:t>
            </w:r>
          </w:p>
        </w:tc>
        <w:tc>
          <w:tcPr>
            <w:tcW w:w="1559" w:type="dxa"/>
            <w:vAlign w:val="center"/>
          </w:tcPr>
          <w:p>
            <w:pPr>
              <w:pStyle w:val="84"/>
            </w:pPr>
            <w:r>
              <w:rPr>
                <w:rFonts w:hint="eastAsia"/>
              </w:rPr>
              <w:t>外观</w:t>
            </w:r>
            <w:r>
              <w:t>及性质</w:t>
            </w:r>
          </w:p>
        </w:tc>
        <w:tc>
          <w:tcPr>
            <w:tcW w:w="3046" w:type="dxa"/>
            <w:vAlign w:val="center"/>
          </w:tcPr>
          <w:p>
            <w:pPr>
              <w:pStyle w:val="84"/>
              <w:ind w:left="115" w:right="170"/>
            </w:pPr>
            <w:r>
              <w:rPr>
                <w:rFonts w:hint="eastAsia" w:ascii="宋体" w:hAnsi="Calibri" w:cs="宋体"/>
                <w:szCs w:val="21"/>
              </w:rPr>
              <w:t>无色、无臭、气体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03" w:type="dxa"/>
            <w:vAlign w:val="center"/>
          </w:tcPr>
          <w:p>
            <w:pPr>
              <w:pStyle w:val="84"/>
              <w:ind w:left="115" w:right="170"/>
            </w:pPr>
            <w:r>
              <w:rPr>
                <w:rFonts w:hint="eastAsia"/>
              </w:rPr>
              <w:t>分子量</w:t>
            </w:r>
          </w:p>
        </w:tc>
        <w:tc>
          <w:tcPr>
            <w:tcW w:w="2268" w:type="dxa"/>
            <w:vAlign w:val="center"/>
          </w:tcPr>
          <w:p>
            <w:pPr>
              <w:pStyle w:val="84"/>
              <w:ind w:left="115" w:right="170"/>
            </w:pPr>
            <w:r>
              <w:rPr>
                <w:rFonts w:hint="eastAsia"/>
              </w:rPr>
              <w:t>16.04</w:t>
            </w:r>
          </w:p>
        </w:tc>
        <w:tc>
          <w:tcPr>
            <w:tcW w:w="1559" w:type="dxa"/>
            <w:vAlign w:val="center"/>
          </w:tcPr>
          <w:p>
            <w:pPr>
              <w:pStyle w:val="84"/>
            </w:pPr>
            <w:r>
              <w:rPr>
                <w:rFonts w:hint="eastAsia"/>
              </w:rPr>
              <w:t>蒸气压</w:t>
            </w:r>
          </w:p>
        </w:tc>
        <w:tc>
          <w:tcPr>
            <w:tcW w:w="3046" w:type="dxa"/>
            <w:vAlign w:val="center"/>
          </w:tcPr>
          <w:p>
            <w:pPr>
              <w:pStyle w:val="84"/>
              <w:ind w:left="115" w:right="170"/>
              <w:rPr>
                <w:rFonts w:hAnsi="Times New Roman"/>
              </w:rPr>
            </w:pPr>
            <w:r>
              <w:rPr>
                <w:rFonts w:hAnsi="Times New Roman" w:eastAsia="TimesNewRomanPSMT"/>
                <w:szCs w:val="21"/>
              </w:rPr>
              <w:t>53.32kp/-168.8</w:t>
            </w:r>
            <w:r>
              <w:rPr>
                <w:rFonts w:hAnsi="Times New Roman"/>
                <w:szCs w:val="21"/>
              </w:rPr>
              <w:t>℃闪电</w:t>
            </w:r>
            <w:r>
              <w:rPr>
                <w:rFonts w:hAnsi="Times New Roman" w:eastAsia="TimesNewRomanPSMT"/>
                <w:szCs w:val="21"/>
              </w:rPr>
              <w:t>-188</w:t>
            </w:r>
            <w:r>
              <w:rPr>
                <w:rFonts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03" w:type="dxa"/>
            <w:vAlign w:val="center"/>
          </w:tcPr>
          <w:p>
            <w:pPr>
              <w:pStyle w:val="84"/>
              <w:ind w:left="115" w:right="170"/>
            </w:pPr>
            <w:r>
              <w:rPr>
                <w:rFonts w:hint="eastAsia"/>
              </w:rPr>
              <w:t>熔点</w:t>
            </w:r>
          </w:p>
        </w:tc>
        <w:tc>
          <w:tcPr>
            <w:tcW w:w="2268" w:type="dxa"/>
            <w:vAlign w:val="center"/>
          </w:tcPr>
          <w:p>
            <w:pPr>
              <w:pStyle w:val="84"/>
              <w:ind w:left="115" w:right="170"/>
            </w:pPr>
            <w:r>
              <w:t>-182.5</w:t>
            </w:r>
            <w:r>
              <w:rPr>
                <w:rFonts w:hint="eastAsia" w:ascii="宋体" w:cs="宋体"/>
                <w:lang w:eastAsia="ja-JP"/>
              </w:rPr>
              <w:t>℃</w:t>
            </w:r>
          </w:p>
        </w:tc>
        <w:tc>
          <w:tcPr>
            <w:tcW w:w="1559" w:type="dxa"/>
            <w:vAlign w:val="center"/>
          </w:tcPr>
          <w:p>
            <w:pPr>
              <w:pStyle w:val="84"/>
            </w:pPr>
            <w:r>
              <w:rPr>
                <w:rFonts w:hint="eastAsia"/>
              </w:rPr>
              <w:t>溶解性</w:t>
            </w:r>
          </w:p>
        </w:tc>
        <w:tc>
          <w:tcPr>
            <w:tcW w:w="3046" w:type="dxa"/>
            <w:vAlign w:val="center"/>
          </w:tcPr>
          <w:p>
            <w:pPr>
              <w:pStyle w:val="84"/>
              <w:ind w:left="115" w:right="170"/>
            </w:pPr>
            <w:r>
              <w:rPr>
                <w:rFonts w:hint="eastAsia" w:ascii="宋体" w:hAnsi="Calibri" w:cs="宋体"/>
                <w:szCs w:val="21"/>
              </w:rPr>
              <w:t>微溶于水，易溶于乙醇、乙醚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03" w:type="dxa"/>
            <w:vAlign w:val="center"/>
          </w:tcPr>
          <w:p>
            <w:pPr>
              <w:pStyle w:val="84"/>
              <w:ind w:left="115" w:right="170"/>
            </w:pPr>
            <w:r>
              <w:rPr>
                <w:rFonts w:hint="eastAsia"/>
              </w:rPr>
              <w:t>密度</w:t>
            </w:r>
          </w:p>
        </w:tc>
        <w:tc>
          <w:tcPr>
            <w:tcW w:w="2268" w:type="dxa"/>
            <w:vAlign w:val="center"/>
          </w:tcPr>
          <w:p>
            <w:pPr>
              <w:pStyle w:val="84"/>
              <w:ind w:left="115" w:right="170"/>
            </w:pPr>
            <w:r>
              <w:rPr>
                <w:rFonts w:hint="eastAsia"/>
              </w:rPr>
              <w:t>0.42（-164℃）</w:t>
            </w:r>
          </w:p>
        </w:tc>
        <w:tc>
          <w:tcPr>
            <w:tcW w:w="1559" w:type="dxa"/>
            <w:vAlign w:val="center"/>
          </w:tcPr>
          <w:p>
            <w:pPr>
              <w:pStyle w:val="84"/>
            </w:pPr>
            <w:r>
              <w:rPr>
                <w:rFonts w:hint="eastAsia"/>
              </w:rPr>
              <w:t>稳定性</w:t>
            </w:r>
          </w:p>
        </w:tc>
        <w:tc>
          <w:tcPr>
            <w:tcW w:w="3046" w:type="dxa"/>
            <w:vAlign w:val="center"/>
          </w:tcPr>
          <w:p>
            <w:pPr>
              <w:pStyle w:val="84"/>
              <w:ind w:left="115" w:right="170"/>
            </w:pPr>
            <w:r>
              <w:rPr>
                <w:rFonts w:hint="eastAsia" w:ascii="宋体" w:hAnsi="Calibri" w:cs="宋体"/>
                <w:szCs w:val="21"/>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03" w:type="dxa"/>
            <w:vAlign w:val="center"/>
          </w:tcPr>
          <w:p>
            <w:pPr>
              <w:pStyle w:val="84"/>
              <w:ind w:left="115" w:right="170"/>
            </w:pPr>
            <w:r>
              <w:rPr>
                <w:rFonts w:hint="eastAsia"/>
              </w:rPr>
              <w:t>危险</w:t>
            </w:r>
            <w:r>
              <w:t>标记</w:t>
            </w:r>
          </w:p>
        </w:tc>
        <w:tc>
          <w:tcPr>
            <w:tcW w:w="2268" w:type="dxa"/>
            <w:vAlign w:val="center"/>
          </w:tcPr>
          <w:p>
            <w:pPr>
              <w:pStyle w:val="84"/>
              <w:ind w:left="115" w:right="170"/>
            </w:pPr>
            <w:r>
              <w:rPr>
                <w:rFonts w:hint="eastAsia"/>
              </w:rPr>
              <w:t>2.1（易燃气体）</w:t>
            </w:r>
          </w:p>
        </w:tc>
        <w:tc>
          <w:tcPr>
            <w:tcW w:w="1559" w:type="dxa"/>
            <w:vAlign w:val="center"/>
          </w:tcPr>
          <w:p>
            <w:pPr>
              <w:pStyle w:val="84"/>
            </w:pPr>
            <w:r>
              <w:rPr>
                <w:rFonts w:hint="eastAsia"/>
              </w:rPr>
              <w:t>主要</w:t>
            </w:r>
            <w:r>
              <w:t>用途</w:t>
            </w:r>
          </w:p>
        </w:tc>
        <w:tc>
          <w:tcPr>
            <w:tcW w:w="3046" w:type="dxa"/>
            <w:vAlign w:val="center"/>
          </w:tcPr>
          <w:p>
            <w:pPr>
              <w:pStyle w:val="84"/>
              <w:ind w:left="115" w:right="170"/>
              <w:rPr>
                <w:rFonts w:ascii="宋体" w:hAnsi="Calibri" w:cs="宋体"/>
                <w:szCs w:val="21"/>
              </w:rPr>
            </w:pPr>
            <w:r>
              <w:rPr>
                <w:rFonts w:hint="eastAsia" w:ascii="宋体" w:hAnsi="Calibri" w:cs="宋体"/>
                <w:szCs w:val="21"/>
              </w:rPr>
              <w:t>可作为燃料及制作氢，一氧化碳、炭黑、乙炔等</w:t>
            </w:r>
          </w:p>
        </w:tc>
      </w:tr>
    </w:tbl>
    <w:p>
      <w:pPr>
        <w:ind w:firstLine="480"/>
      </w:pPr>
      <w:r>
        <w:rPr>
          <w:rFonts w:hint="eastAsia"/>
        </w:rPr>
        <w:t>（1）甲烷</w:t>
      </w:r>
      <w:r>
        <w:t>的危险性</w:t>
      </w:r>
    </w:p>
    <w:p>
      <w:pPr>
        <w:ind w:firstLine="480"/>
      </w:pPr>
      <w:r>
        <w:rPr>
          <w:rFonts w:hint="eastAsia"/>
        </w:rPr>
        <w:t>①健康危害</w:t>
      </w:r>
    </w:p>
    <w:p>
      <w:pPr>
        <w:ind w:firstLine="480"/>
      </w:pPr>
      <w:r>
        <w:rPr>
          <w:rFonts w:hint="eastAsia"/>
        </w:rPr>
        <w:t>侵入途径：吸入。</w:t>
      </w:r>
    </w:p>
    <w:p>
      <w:pPr>
        <w:ind w:firstLine="480"/>
      </w:pPr>
      <w:r>
        <w:rPr>
          <w:rFonts w:hint="eastAsia"/>
        </w:rPr>
        <w:t>健康危害：甲烷对人基本无毒，但浓度过高时，使空气中氧含量明显降低，使人窒息。当空气中甲烷达</w:t>
      </w:r>
      <w:r>
        <w:t>25%-30%</w:t>
      </w:r>
      <w:r>
        <w:rPr>
          <w:rFonts w:hint="eastAsia"/>
        </w:rPr>
        <w:t>时，可引起头痛、头晕、乏力、注意力不集中、呼吸和心跳加速、共济失调。若不及时远离，可致窒息死亡。皮肤接触液化的甲烷，可致冻伤。</w:t>
      </w:r>
    </w:p>
    <w:p>
      <w:pPr>
        <w:ind w:firstLine="480"/>
      </w:pPr>
      <w:r>
        <w:rPr>
          <w:rFonts w:hint="eastAsia"/>
        </w:rPr>
        <w:t>②毒理学资料及环境行为</w:t>
      </w:r>
    </w:p>
    <w:p>
      <w:pPr>
        <w:ind w:firstLine="480"/>
      </w:pPr>
      <w:r>
        <w:rPr>
          <w:rFonts w:hint="eastAsia"/>
        </w:rPr>
        <w:t>毒性：属微毒类。允许气体安全地扩散到大气中或当作燃料使用。有单纯性窒息作用，在高浓度时因缺氧窒息而引起中毒。空气中达到</w:t>
      </w:r>
      <w:r>
        <w:t>25</w:t>
      </w:r>
      <w:r>
        <w:rPr>
          <w:rFonts w:hint="eastAsia"/>
        </w:rPr>
        <w:t>～</w:t>
      </w:r>
      <w:r>
        <w:t>30%</w:t>
      </w:r>
      <w:r>
        <w:rPr>
          <w:rFonts w:hint="eastAsia"/>
        </w:rPr>
        <w:t>出现头昏、呼吸加速、运动失调。急性毒性：小鼠吸入</w:t>
      </w:r>
      <w:r>
        <w:t>42%</w:t>
      </w:r>
      <w:r>
        <w:rPr>
          <w:rFonts w:hint="eastAsia"/>
        </w:rPr>
        <w:t>浓度×</w:t>
      </w:r>
      <w:r>
        <w:t xml:space="preserve">60 </w:t>
      </w:r>
      <w:r>
        <w:rPr>
          <w:rFonts w:hint="eastAsia"/>
        </w:rPr>
        <w:t>分钟，麻醉作用；兔吸入</w:t>
      </w:r>
      <w:r>
        <w:t>42%</w:t>
      </w:r>
      <w:r>
        <w:rPr>
          <w:rFonts w:hint="eastAsia"/>
        </w:rPr>
        <w:t>浓度×</w:t>
      </w:r>
      <w:r>
        <w:t xml:space="preserve">60 </w:t>
      </w:r>
      <w:r>
        <w:rPr>
          <w:rFonts w:hint="eastAsia"/>
        </w:rPr>
        <w:t>分钟，麻醉作用。</w:t>
      </w:r>
    </w:p>
    <w:p>
      <w:pPr>
        <w:ind w:firstLine="480"/>
      </w:pPr>
      <w:r>
        <w:rPr>
          <w:rFonts w:hint="eastAsia"/>
        </w:rPr>
        <w:t>危险特性：易燃，与空气混合能形成爆炸性混合物，遇热源和明火有燃烧爆炸的危险，其与五氧化溴、氯气、次氯酸、三氟化氮、液氧、二氟化氧及其它强氧化剂接触反应剧烈。燃烧（分解）产物：碳（极不完全燃烧）、一氧化碳（不完全燃烧）、二氧化碳和水。</w:t>
      </w:r>
    </w:p>
    <w:p>
      <w:pPr>
        <w:pStyle w:val="4"/>
      </w:pPr>
      <w:r>
        <w:rPr>
          <w:rFonts w:hint="eastAsia"/>
        </w:rPr>
        <w:t>环境</w:t>
      </w:r>
      <w:r>
        <w:t>敏感目标调查</w:t>
      </w:r>
    </w:p>
    <w:p>
      <w:pPr>
        <w:ind w:firstLine="480"/>
      </w:pPr>
      <w:r>
        <w:t>根据现状调查，项目风险环境敏感目标见</w:t>
      </w:r>
      <w:r>
        <w:rPr>
          <w:rFonts w:hint="eastAsia"/>
        </w:rPr>
        <w:t>表6.3-4</w:t>
      </w:r>
      <w:r>
        <w:t>和图2.7-1。</w:t>
      </w:r>
    </w:p>
    <w:p>
      <w:pPr>
        <w:spacing w:line="240" w:lineRule="auto"/>
        <w:ind w:firstLine="0" w:firstLineChars="0"/>
        <w:jc w:val="center"/>
        <w:rPr>
          <w:b/>
          <w:sz w:val="21"/>
          <w:szCs w:val="24"/>
        </w:rPr>
      </w:pPr>
      <w:bookmarkStart w:id="166" w:name="_Ref26779559"/>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6.3</w:t>
      </w:r>
      <w:r>
        <w:rPr>
          <w:b/>
          <w:sz w:val="21"/>
          <w:szCs w:val="24"/>
        </w:rPr>
        <w:fldChar w:fldCharType="end"/>
      </w:r>
      <w:r>
        <w:rPr>
          <w:b/>
          <w:sz w:val="21"/>
          <w:szCs w:val="24"/>
        </w:rPr>
        <w:noBreakHyphen/>
      </w:r>
      <w:bookmarkEnd w:id="166"/>
      <w:r>
        <w:rPr>
          <w:rFonts w:hint="eastAsia"/>
          <w:b/>
          <w:sz w:val="21"/>
          <w:szCs w:val="24"/>
        </w:rPr>
        <w:t>4</w:t>
      </w:r>
      <w:r>
        <w:rPr>
          <w:b/>
          <w:sz w:val="21"/>
          <w:szCs w:val="24"/>
        </w:rPr>
        <w:t>项目环境风险保护目标</w:t>
      </w:r>
    </w:p>
    <w:tbl>
      <w:tblPr>
        <w:tblStyle w:val="9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650"/>
        <w:gridCol w:w="2201"/>
        <w:gridCol w:w="1652"/>
        <w:gridCol w:w="740"/>
        <w:gridCol w:w="1160"/>
        <w:gridCol w:w="11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65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环境要素</w:t>
            </w:r>
          </w:p>
        </w:tc>
        <w:tc>
          <w:tcPr>
            <w:tcW w:w="22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保护对象</w:t>
            </w:r>
          </w:p>
        </w:tc>
        <w:tc>
          <w:tcPr>
            <w:tcW w:w="165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户数/人口</w:t>
            </w:r>
          </w:p>
        </w:tc>
        <w:tc>
          <w:tcPr>
            <w:tcW w:w="74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相对</w:t>
            </w:r>
          </w:p>
          <w:p>
            <w:pPr>
              <w:autoSpaceDE w:val="0"/>
              <w:autoSpaceDN w:val="0"/>
              <w:snapToGrid/>
              <w:spacing w:line="240" w:lineRule="auto"/>
              <w:ind w:firstLine="0" w:firstLineChars="0"/>
              <w:jc w:val="center"/>
              <w:textAlignment w:val="bottom"/>
              <w:rPr>
                <w:kern w:val="0"/>
                <w:sz w:val="21"/>
                <w:szCs w:val="20"/>
              </w:rPr>
            </w:pPr>
            <w:r>
              <w:rPr>
                <w:kern w:val="0"/>
                <w:sz w:val="21"/>
                <w:szCs w:val="20"/>
              </w:rPr>
              <w:t>方位</w:t>
            </w:r>
          </w:p>
        </w:tc>
        <w:tc>
          <w:tcPr>
            <w:tcW w:w="116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距厂界最近距离（m）</w:t>
            </w:r>
          </w:p>
        </w:tc>
        <w:tc>
          <w:tcPr>
            <w:tcW w:w="117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保护内容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环境空气</w:t>
            </w:r>
          </w:p>
        </w:tc>
        <w:tc>
          <w:tcPr>
            <w:tcW w:w="2201" w:type="dxa"/>
            <w:vAlign w:val="center"/>
          </w:tcPr>
          <w:p>
            <w:pPr>
              <w:adjustRightInd/>
              <w:snapToGrid/>
              <w:spacing w:line="240" w:lineRule="auto"/>
              <w:ind w:firstLine="0" w:firstLineChars="0"/>
              <w:jc w:val="center"/>
              <w:rPr>
                <w:sz w:val="21"/>
                <w:szCs w:val="21"/>
              </w:rPr>
            </w:pPr>
            <w:r>
              <w:rPr>
                <w:sz w:val="21"/>
                <w:szCs w:val="21"/>
              </w:rPr>
              <w:t>王家岭</w:t>
            </w:r>
          </w:p>
        </w:tc>
        <w:tc>
          <w:tcPr>
            <w:tcW w:w="1652" w:type="dxa"/>
            <w:vAlign w:val="center"/>
          </w:tcPr>
          <w:p>
            <w:pPr>
              <w:adjustRightInd/>
              <w:snapToGrid/>
              <w:spacing w:line="240" w:lineRule="auto"/>
              <w:ind w:firstLine="0" w:firstLineChars="0"/>
              <w:jc w:val="center"/>
              <w:rPr>
                <w:sz w:val="21"/>
                <w:szCs w:val="21"/>
              </w:rPr>
            </w:pPr>
            <w:r>
              <w:rPr>
                <w:rFonts w:hint="eastAsia"/>
                <w:sz w:val="21"/>
                <w:szCs w:val="21"/>
              </w:rPr>
              <w:t>16</w:t>
            </w:r>
            <w:r>
              <w:rPr>
                <w:sz w:val="21"/>
                <w:szCs w:val="21"/>
              </w:rPr>
              <w:t>户/约</w:t>
            </w:r>
            <w:r>
              <w:rPr>
                <w:rFonts w:hint="eastAsia"/>
                <w:sz w:val="21"/>
                <w:szCs w:val="21"/>
              </w:rPr>
              <w:t>64</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SE</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2200</w:t>
            </w:r>
          </w:p>
        </w:tc>
        <w:tc>
          <w:tcPr>
            <w:tcW w:w="117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人群健康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关坪村</w:t>
            </w:r>
          </w:p>
        </w:tc>
        <w:tc>
          <w:tcPr>
            <w:tcW w:w="1652" w:type="dxa"/>
            <w:vAlign w:val="center"/>
          </w:tcPr>
          <w:p>
            <w:pPr>
              <w:adjustRightInd/>
              <w:snapToGrid/>
              <w:spacing w:line="240" w:lineRule="auto"/>
              <w:ind w:firstLine="0" w:firstLineChars="0"/>
              <w:jc w:val="center"/>
              <w:rPr>
                <w:sz w:val="21"/>
                <w:szCs w:val="21"/>
              </w:rPr>
            </w:pPr>
            <w:r>
              <w:rPr>
                <w:sz w:val="21"/>
                <w:szCs w:val="21"/>
              </w:rPr>
              <w:t>8户/约</w:t>
            </w:r>
            <w:r>
              <w:rPr>
                <w:rFonts w:hint="eastAsia"/>
                <w:sz w:val="21"/>
                <w:szCs w:val="21"/>
              </w:rPr>
              <w:t>32</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SE</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1600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田家后岭</w:t>
            </w:r>
          </w:p>
        </w:tc>
        <w:tc>
          <w:tcPr>
            <w:tcW w:w="1652" w:type="dxa"/>
            <w:vAlign w:val="center"/>
          </w:tcPr>
          <w:p>
            <w:pPr>
              <w:adjustRightInd/>
              <w:snapToGrid/>
              <w:spacing w:line="240" w:lineRule="auto"/>
              <w:ind w:firstLine="0" w:firstLineChars="0"/>
              <w:jc w:val="center"/>
              <w:rPr>
                <w:sz w:val="21"/>
                <w:szCs w:val="21"/>
              </w:rPr>
            </w:pPr>
            <w:r>
              <w:rPr>
                <w:rFonts w:hint="eastAsia"/>
                <w:sz w:val="21"/>
                <w:szCs w:val="21"/>
              </w:rPr>
              <w:t>40</w:t>
            </w:r>
            <w:r>
              <w:rPr>
                <w:sz w:val="21"/>
                <w:szCs w:val="21"/>
              </w:rPr>
              <w:t>户/约</w:t>
            </w:r>
            <w:r>
              <w:rPr>
                <w:rFonts w:hint="eastAsia"/>
                <w:sz w:val="21"/>
                <w:szCs w:val="21"/>
              </w:rPr>
              <w:t>160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SE</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1480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油坊河</w:t>
            </w:r>
          </w:p>
        </w:tc>
        <w:tc>
          <w:tcPr>
            <w:tcW w:w="1652" w:type="dxa"/>
            <w:vAlign w:val="center"/>
          </w:tcPr>
          <w:p>
            <w:pPr>
              <w:adjustRightInd/>
              <w:snapToGrid/>
              <w:spacing w:line="240" w:lineRule="auto"/>
              <w:ind w:firstLine="0" w:firstLineChars="0"/>
              <w:jc w:val="center"/>
              <w:rPr>
                <w:sz w:val="21"/>
                <w:szCs w:val="21"/>
              </w:rPr>
            </w:pPr>
            <w:r>
              <w:rPr>
                <w:rFonts w:hint="eastAsia"/>
                <w:sz w:val="21"/>
                <w:szCs w:val="21"/>
              </w:rPr>
              <w:t>20</w:t>
            </w:r>
            <w:r>
              <w:rPr>
                <w:sz w:val="21"/>
                <w:szCs w:val="21"/>
              </w:rPr>
              <w:t>户/约</w:t>
            </w:r>
            <w:r>
              <w:rPr>
                <w:rFonts w:hint="eastAsia"/>
                <w:sz w:val="21"/>
                <w:szCs w:val="21"/>
              </w:rPr>
              <w:t>80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E</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1930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椿树岭</w:t>
            </w:r>
          </w:p>
        </w:tc>
        <w:tc>
          <w:tcPr>
            <w:tcW w:w="1652" w:type="dxa"/>
          </w:tcPr>
          <w:p>
            <w:pPr>
              <w:adjustRightInd/>
              <w:snapToGrid/>
              <w:spacing w:line="240" w:lineRule="auto"/>
              <w:ind w:firstLine="0" w:firstLineChars="0"/>
              <w:jc w:val="center"/>
              <w:rPr>
                <w:sz w:val="21"/>
                <w:szCs w:val="21"/>
              </w:rPr>
            </w:pPr>
            <w:r>
              <w:rPr>
                <w:rFonts w:hint="eastAsia"/>
                <w:sz w:val="21"/>
                <w:szCs w:val="21"/>
              </w:rPr>
              <w:t>10</w:t>
            </w:r>
            <w:r>
              <w:rPr>
                <w:sz w:val="21"/>
                <w:szCs w:val="21"/>
              </w:rPr>
              <w:t>户/约</w:t>
            </w:r>
            <w:r>
              <w:rPr>
                <w:rFonts w:hint="eastAsia"/>
                <w:sz w:val="21"/>
                <w:szCs w:val="21"/>
              </w:rPr>
              <w:t>40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NE</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2670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潘家坡</w:t>
            </w:r>
          </w:p>
        </w:tc>
        <w:tc>
          <w:tcPr>
            <w:tcW w:w="1652" w:type="dxa"/>
          </w:tcPr>
          <w:p>
            <w:pPr>
              <w:adjustRightInd/>
              <w:snapToGrid/>
              <w:spacing w:line="240" w:lineRule="auto"/>
              <w:ind w:firstLine="0" w:firstLineChars="0"/>
              <w:jc w:val="center"/>
              <w:rPr>
                <w:sz w:val="21"/>
                <w:szCs w:val="21"/>
              </w:rPr>
            </w:pPr>
            <w:r>
              <w:rPr>
                <w:rFonts w:hint="eastAsia"/>
                <w:sz w:val="21"/>
                <w:szCs w:val="21"/>
              </w:rPr>
              <w:t>50</w:t>
            </w:r>
            <w:r>
              <w:rPr>
                <w:sz w:val="21"/>
                <w:szCs w:val="21"/>
              </w:rPr>
              <w:t>户/约</w:t>
            </w:r>
            <w:r>
              <w:rPr>
                <w:rFonts w:hint="eastAsia"/>
                <w:sz w:val="21"/>
                <w:szCs w:val="21"/>
              </w:rPr>
              <w:t>200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E</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550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田家前岭</w:t>
            </w:r>
          </w:p>
        </w:tc>
        <w:tc>
          <w:tcPr>
            <w:tcW w:w="1652" w:type="dxa"/>
          </w:tcPr>
          <w:p>
            <w:pPr>
              <w:adjustRightInd/>
              <w:snapToGrid/>
              <w:spacing w:line="240" w:lineRule="auto"/>
              <w:ind w:firstLine="0" w:firstLineChars="0"/>
              <w:jc w:val="center"/>
              <w:rPr>
                <w:sz w:val="21"/>
                <w:szCs w:val="21"/>
              </w:rPr>
            </w:pPr>
            <w:r>
              <w:rPr>
                <w:rFonts w:hint="eastAsia"/>
                <w:sz w:val="21"/>
                <w:szCs w:val="21"/>
              </w:rPr>
              <w:t>80</w:t>
            </w:r>
            <w:r>
              <w:rPr>
                <w:sz w:val="21"/>
                <w:szCs w:val="21"/>
              </w:rPr>
              <w:t>户/约</w:t>
            </w:r>
            <w:r>
              <w:rPr>
                <w:rFonts w:hint="eastAsia"/>
                <w:sz w:val="21"/>
                <w:szCs w:val="21"/>
              </w:rPr>
              <w:t>320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S</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570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关口镇中心学校</w:t>
            </w:r>
          </w:p>
        </w:tc>
        <w:tc>
          <w:tcPr>
            <w:tcW w:w="1652" w:type="dxa"/>
            <w:vAlign w:val="center"/>
          </w:tcPr>
          <w:p>
            <w:pPr>
              <w:adjustRightInd/>
              <w:snapToGrid/>
              <w:spacing w:line="240" w:lineRule="auto"/>
              <w:ind w:firstLine="0" w:firstLineChars="0"/>
              <w:jc w:val="center"/>
              <w:rPr>
                <w:sz w:val="21"/>
                <w:szCs w:val="21"/>
              </w:rPr>
            </w:pPr>
            <w:r>
              <w:rPr>
                <w:rFonts w:hint="eastAsia"/>
                <w:sz w:val="21"/>
                <w:szCs w:val="21"/>
              </w:rPr>
              <w:t>师生共150人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S</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720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胡家庄</w:t>
            </w:r>
          </w:p>
        </w:tc>
        <w:tc>
          <w:tcPr>
            <w:tcW w:w="1652" w:type="dxa"/>
          </w:tcPr>
          <w:p>
            <w:pPr>
              <w:adjustRightInd/>
              <w:snapToGrid/>
              <w:spacing w:line="240" w:lineRule="auto"/>
              <w:ind w:firstLine="0" w:firstLineChars="0"/>
              <w:jc w:val="center"/>
              <w:rPr>
                <w:sz w:val="21"/>
                <w:szCs w:val="21"/>
              </w:rPr>
            </w:pPr>
            <w:r>
              <w:rPr>
                <w:rFonts w:hint="eastAsia"/>
                <w:sz w:val="21"/>
                <w:szCs w:val="21"/>
              </w:rPr>
              <w:t>20</w:t>
            </w:r>
            <w:r>
              <w:rPr>
                <w:sz w:val="21"/>
                <w:szCs w:val="21"/>
              </w:rPr>
              <w:t>户/约</w:t>
            </w:r>
            <w:r>
              <w:rPr>
                <w:rFonts w:hint="eastAsia"/>
                <w:sz w:val="21"/>
                <w:szCs w:val="21"/>
              </w:rPr>
              <w:t>80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NW</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1400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沈家槽</w:t>
            </w:r>
          </w:p>
        </w:tc>
        <w:tc>
          <w:tcPr>
            <w:tcW w:w="1652" w:type="dxa"/>
          </w:tcPr>
          <w:p>
            <w:pPr>
              <w:adjustRightInd/>
              <w:snapToGrid/>
              <w:spacing w:line="240" w:lineRule="auto"/>
              <w:ind w:firstLine="0" w:firstLineChars="0"/>
              <w:jc w:val="center"/>
              <w:rPr>
                <w:sz w:val="21"/>
                <w:szCs w:val="21"/>
              </w:rPr>
            </w:pPr>
            <w:r>
              <w:rPr>
                <w:rFonts w:hint="eastAsia"/>
                <w:sz w:val="21"/>
                <w:szCs w:val="21"/>
              </w:rPr>
              <w:t>15</w:t>
            </w:r>
            <w:r>
              <w:rPr>
                <w:sz w:val="21"/>
                <w:szCs w:val="21"/>
              </w:rPr>
              <w:t>户/约</w:t>
            </w:r>
            <w:r>
              <w:rPr>
                <w:rFonts w:hint="eastAsia"/>
                <w:sz w:val="21"/>
                <w:szCs w:val="21"/>
              </w:rPr>
              <w:t>60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2190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sz w:val="21"/>
                <w:szCs w:val="21"/>
              </w:rPr>
              <w:t>薛家庄村</w:t>
            </w:r>
          </w:p>
        </w:tc>
        <w:tc>
          <w:tcPr>
            <w:tcW w:w="1652" w:type="dxa"/>
          </w:tcPr>
          <w:p>
            <w:pPr>
              <w:adjustRightInd/>
              <w:snapToGrid/>
              <w:spacing w:line="240" w:lineRule="auto"/>
              <w:ind w:firstLine="0" w:firstLineChars="0"/>
              <w:jc w:val="center"/>
              <w:rPr>
                <w:sz w:val="21"/>
                <w:szCs w:val="21"/>
              </w:rPr>
            </w:pPr>
            <w:r>
              <w:rPr>
                <w:rFonts w:hint="eastAsia"/>
                <w:sz w:val="21"/>
                <w:szCs w:val="21"/>
              </w:rPr>
              <w:t>10</w:t>
            </w:r>
            <w:r>
              <w:rPr>
                <w:sz w:val="21"/>
                <w:szCs w:val="21"/>
              </w:rPr>
              <w:t>户/约</w:t>
            </w:r>
            <w:r>
              <w:rPr>
                <w:rFonts w:hint="eastAsia"/>
                <w:sz w:val="21"/>
                <w:szCs w:val="21"/>
              </w:rPr>
              <w:t>40</w:t>
            </w:r>
            <w:r>
              <w:rPr>
                <w:sz w:val="21"/>
                <w:szCs w:val="21"/>
              </w:rPr>
              <w:t>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2200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numPr>
                <w:ilvl w:val="0"/>
                <w:numId w:val="18"/>
              </w:numPr>
              <w:autoSpaceDE w:val="0"/>
              <w:autoSpaceDN w:val="0"/>
              <w:adjustRightInd/>
              <w:snapToGrid/>
              <w:spacing w:line="240" w:lineRule="auto"/>
              <w:ind w:firstLineChars="0"/>
              <w:jc w:val="center"/>
              <w:textAlignment w:val="bottom"/>
              <w:rPr>
                <w:kern w:val="0"/>
                <w:sz w:val="21"/>
                <w:szCs w:val="20"/>
              </w:rPr>
            </w:pPr>
          </w:p>
        </w:tc>
        <w:tc>
          <w:tcPr>
            <w:tcW w:w="65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01" w:type="dxa"/>
            <w:vAlign w:val="center"/>
          </w:tcPr>
          <w:p>
            <w:pPr>
              <w:adjustRightInd/>
              <w:snapToGrid/>
              <w:spacing w:line="240" w:lineRule="auto"/>
              <w:ind w:firstLine="0" w:firstLineChars="0"/>
              <w:jc w:val="center"/>
              <w:rPr>
                <w:sz w:val="21"/>
                <w:szCs w:val="21"/>
              </w:rPr>
            </w:pPr>
            <w:r>
              <w:rPr>
                <w:rFonts w:hint="eastAsia"/>
                <w:sz w:val="21"/>
                <w:szCs w:val="21"/>
              </w:rPr>
              <w:t>项目西北方向的住户</w:t>
            </w:r>
          </w:p>
        </w:tc>
        <w:tc>
          <w:tcPr>
            <w:tcW w:w="1652" w:type="dxa"/>
          </w:tcPr>
          <w:p>
            <w:pPr>
              <w:adjustRightInd/>
              <w:snapToGrid/>
              <w:spacing w:line="240" w:lineRule="auto"/>
              <w:ind w:firstLine="0" w:firstLineChars="0"/>
              <w:jc w:val="center"/>
              <w:rPr>
                <w:sz w:val="21"/>
                <w:szCs w:val="21"/>
              </w:rPr>
            </w:pPr>
            <w:r>
              <w:rPr>
                <w:rFonts w:hint="eastAsia"/>
                <w:sz w:val="21"/>
                <w:szCs w:val="21"/>
              </w:rPr>
              <w:t>1户/月5人</w:t>
            </w:r>
          </w:p>
        </w:tc>
        <w:tc>
          <w:tcPr>
            <w:tcW w:w="740" w:type="dxa"/>
            <w:vAlign w:val="center"/>
          </w:tcPr>
          <w:p>
            <w:pPr>
              <w:adjustRightInd/>
              <w:snapToGrid/>
              <w:spacing w:line="240" w:lineRule="auto"/>
              <w:ind w:firstLine="0" w:firstLineChars="0"/>
              <w:jc w:val="center"/>
              <w:rPr>
                <w:sz w:val="21"/>
                <w:szCs w:val="21"/>
              </w:rPr>
            </w:pPr>
            <w:r>
              <w:rPr>
                <w:rFonts w:hint="eastAsia"/>
                <w:sz w:val="21"/>
                <w:szCs w:val="21"/>
              </w:rPr>
              <w:t>NW</w:t>
            </w:r>
          </w:p>
        </w:tc>
        <w:tc>
          <w:tcPr>
            <w:tcW w:w="1160" w:type="dxa"/>
            <w:vAlign w:val="center"/>
          </w:tcPr>
          <w:p>
            <w:pPr>
              <w:adjustRightInd/>
              <w:snapToGrid/>
              <w:spacing w:line="240" w:lineRule="auto"/>
              <w:ind w:firstLine="0" w:firstLineChars="0"/>
              <w:jc w:val="center"/>
              <w:rPr>
                <w:sz w:val="21"/>
                <w:szCs w:val="21"/>
              </w:rPr>
            </w:pPr>
            <w:r>
              <w:rPr>
                <w:rFonts w:hint="eastAsia"/>
                <w:sz w:val="21"/>
                <w:szCs w:val="21"/>
              </w:rPr>
              <w:t>350</w:t>
            </w:r>
          </w:p>
        </w:tc>
        <w:tc>
          <w:tcPr>
            <w:tcW w:w="117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bl>
    <w:p>
      <w:pPr>
        <w:ind w:firstLine="0" w:firstLineChars="0"/>
        <w:rPr>
          <w:sz w:val="21"/>
          <w:szCs w:val="24"/>
        </w:rPr>
      </w:pPr>
      <w:r>
        <w:rPr>
          <w:sz w:val="21"/>
          <w:szCs w:val="24"/>
        </w:rPr>
        <w:t>注：上表中环境保护目标与厂界距离为保护目标与厂界的最近距离，在项目厂界500m范围内</w:t>
      </w:r>
      <w:r>
        <w:rPr>
          <w:rFonts w:hint="eastAsia"/>
          <w:sz w:val="21"/>
          <w:szCs w:val="24"/>
        </w:rPr>
        <w:t>有1家住户</w:t>
      </w:r>
      <w:r>
        <w:rPr>
          <w:sz w:val="21"/>
          <w:szCs w:val="24"/>
        </w:rPr>
        <w:t>，人口总数约4人</w:t>
      </w:r>
      <w:r>
        <w:rPr>
          <w:rFonts w:hint="eastAsia"/>
          <w:sz w:val="21"/>
          <w:szCs w:val="24"/>
        </w:rPr>
        <w:t>，该住户除节假日外全年几乎不在家居住</w:t>
      </w:r>
      <w:r>
        <w:rPr>
          <w:sz w:val="21"/>
          <w:szCs w:val="24"/>
        </w:rPr>
        <w:t>。</w:t>
      </w:r>
    </w:p>
    <w:p>
      <w:pPr>
        <w:pStyle w:val="3"/>
      </w:pPr>
      <w:bookmarkStart w:id="167" w:name="_Toc108422242"/>
      <w:r>
        <w:rPr>
          <w:rFonts w:hint="eastAsia"/>
        </w:rPr>
        <w:t>风险</w:t>
      </w:r>
      <w:r>
        <w:t>潜势</w:t>
      </w:r>
      <w:r>
        <w:rPr>
          <w:rFonts w:hint="eastAsia"/>
        </w:rPr>
        <w:t>初</w:t>
      </w:r>
      <w:r>
        <w:t>判</w:t>
      </w:r>
      <w:bookmarkEnd w:id="167"/>
    </w:p>
    <w:p>
      <w:pPr>
        <w:pStyle w:val="79"/>
        <w:ind w:firstLine="480"/>
        <w:rPr>
          <w:rFonts w:cs="Times New Roman"/>
        </w:rPr>
      </w:pPr>
      <w:r>
        <w:rPr>
          <w:rFonts w:cs="Times New Roman"/>
        </w:rPr>
        <w:t>根据《建设项目环境风险评价技术导则》（HJ 169-2018）附录B 突发环境事件风险物质及临界量表，</w:t>
      </w:r>
      <w:r>
        <w:rPr>
          <w:rFonts w:hint="eastAsia" w:cs="Times New Roman"/>
        </w:rPr>
        <w:t>甲烷</w:t>
      </w:r>
      <w:r>
        <w:rPr>
          <w:rFonts w:cs="Times New Roman"/>
        </w:rPr>
        <w:t>CAS号74-82-8，临界量为10t。</w:t>
      </w:r>
    </w:p>
    <w:p>
      <w:pPr>
        <w:pStyle w:val="79"/>
        <w:ind w:firstLine="480"/>
        <w:rPr>
          <w:rFonts w:cs="Times New Roman"/>
        </w:rPr>
      </w:pPr>
      <w:r>
        <w:rPr>
          <w:rFonts w:cs="Times New Roman"/>
        </w:rPr>
        <w:t>根据HJ169-2018附录C 计算物质总量与其临界量比值（Q）：</w:t>
      </w:r>
    </w:p>
    <w:p>
      <w:pPr>
        <w:ind w:firstLine="480"/>
        <w:jc w:val="center"/>
      </w:pPr>
      <m:oMathPara>
        <m:oMath>
          <m:r>
            <m:rPr>
              <m:sty m:val="p"/>
            </m:rPr>
            <w:rPr>
              <w:rFonts w:ascii="Cambria Math" w:hAnsi="Cambria Math"/>
            </w:rPr>
            <m:t>Q=</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1</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1</m:t>
                  </m:r>
                  <m:ctrlPr>
                    <w:rPr>
                      <w:rFonts w:ascii="Cambria Math" w:hAnsi="Cambria Math"/>
                      <w:i/>
                    </w:rPr>
                  </m:ctrlPr>
                </m:sub>
              </m:sSub>
              <m:ctrlPr>
                <w:rPr>
                  <w:rFonts w:ascii="Cambria Math" w:hAnsi="Cambria Math"/>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n</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n</m:t>
                  </m:r>
                  <m:ctrlPr>
                    <w:rPr>
                      <w:rFonts w:ascii="Cambria Math" w:hAnsi="Cambria Math"/>
                      <w:i/>
                    </w:rPr>
                  </m:ctrlPr>
                </m:sub>
              </m:sSub>
              <m:ctrlPr>
                <w:rPr>
                  <w:rFonts w:ascii="Cambria Math" w:hAnsi="Cambria Math"/>
                </w:rPr>
              </m:ctrlPr>
            </m:den>
          </m:f>
        </m:oMath>
      </m:oMathPara>
    </w:p>
    <w:p>
      <w:pPr>
        <w:pStyle w:val="79"/>
        <w:ind w:firstLine="480"/>
        <w:rPr>
          <w:rFonts w:cs="Times New Roman"/>
        </w:rPr>
      </w:pPr>
      <w:r>
        <w:rPr>
          <w:rFonts w:cs="Times New Roman"/>
        </w:rPr>
        <w:t>式中：</w:t>
      </w:r>
    </w:p>
    <w:p>
      <w:pPr>
        <w:pStyle w:val="79"/>
        <w:ind w:firstLine="48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 xml:space="preserve"> — 每种危险物质实际存在量，t；</w:t>
      </w:r>
    </w:p>
    <w:p>
      <w:pPr>
        <w:pStyle w:val="79"/>
        <w:ind w:firstLine="48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 xml:space="preserve"> — 与各危险物质相对应的临界量，t。</w:t>
      </w:r>
    </w:p>
    <w:p>
      <w:pPr>
        <w:pStyle w:val="79"/>
        <w:ind w:firstLine="480"/>
        <w:rPr>
          <w:rFonts w:cs="Times New Roman"/>
        </w:rPr>
      </w:pPr>
      <w:r>
        <w:rPr>
          <w:rFonts w:cs="Times New Roman"/>
        </w:rPr>
        <w:t>当Q＜1，该项目环境风险潜势为</w:t>
      </w:r>
      <w:r>
        <w:rPr>
          <w:rFonts w:hint="eastAsia" w:ascii="宋体" w:hAnsi="宋体" w:cs="宋体"/>
        </w:rPr>
        <w:t>Ⅰ</w:t>
      </w:r>
      <w:r>
        <w:rPr>
          <w:rFonts w:cs="Times New Roman"/>
        </w:rPr>
        <w:t>。</w:t>
      </w:r>
    </w:p>
    <w:p>
      <w:pPr>
        <w:pStyle w:val="79"/>
        <w:ind w:firstLine="480"/>
        <w:rPr>
          <w:rFonts w:cs="Times New Roman"/>
        </w:rPr>
      </w:pPr>
      <w:r>
        <w:rPr>
          <w:rFonts w:cs="Times New Roman"/>
        </w:rPr>
        <w:t>本项目危险物质数量与临界量比值（Q）计算结果见</w:t>
      </w:r>
      <w:r>
        <w:rPr>
          <w:rFonts w:hint="eastAsia" w:cs="Times New Roman"/>
        </w:rPr>
        <w:t>表6.4-1。</w:t>
      </w:r>
    </w:p>
    <w:p>
      <w:pPr>
        <w:spacing w:line="240" w:lineRule="auto"/>
        <w:ind w:firstLine="0" w:firstLineChars="0"/>
        <w:jc w:val="center"/>
        <w:rPr>
          <w:b/>
          <w:sz w:val="21"/>
          <w:szCs w:val="24"/>
        </w:rPr>
      </w:pPr>
      <w:bookmarkStart w:id="168" w:name="_Ref25758322"/>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6.4</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168"/>
      <w:r>
        <w:rPr>
          <w:b/>
          <w:sz w:val="21"/>
          <w:szCs w:val="24"/>
        </w:rPr>
        <w:t>项目Q值确定表</w:t>
      </w:r>
    </w:p>
    <w:tbl>
      <w:tblPr>
        <w:tblStyle w:val="98"/>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556"/>
        <w:gridCol w:w="1556"/>
        <w:gridCol w:w="1554"/>
        <w:gridCol w:w="1275"/>
        <w:gridCol w:w="16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15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危险物质名称</w:t>
            </w:r>
          </w:p>
        </w:tc>
        <w:tc>
          <w:tcPr>
            <w:tcW w:w="15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CAS号</w:t>
            </w:r>
          </w:p>
        </w:tc>
        <w:tc>
          <w:tcPr>
            <w:tcW w:w="15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最大存在总量（t）</w:t>
            </w:r>
          </w:p>
        </w:tc>
        <w:tc>
          <w:tcPr>
            <w:tcW w:w="127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临界量（t）</w:t>
            </w:r>
          </w:p>
        </w:tc>
        <w:tc>
          <w:tcPr>
            <w:tcW w:w="163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该种物质Q值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p>
        </w:tc>
        <w:tc>
          <w:tcPr>
            <w:tcW w:w="155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甲烷</w:t>
            </w:r>
          </w:p>
        </w:tc>
        <w:tc>
          <w:tcPr>
            <w:tcW w:w="15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74-82-08</w:t>
            </w:r>
          </w:p>
        </w:tc>
        <w:tc>
          <w:tcPr>
            <w:tcW w:w="155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0.</w:t>
            </w:r>
            <w:r>
              <w:rPr>
                <w:kern w:val="0"/>
                <w:sz w:val="21"/>
                <w:szCs w:val="20"/>
              </w:rPr>
              <w:t>01</w:t>
            </w:r>
          </w:p>
        </w:tc>
        <w:tc>
          <w:tcPr>
            <w:tcW w:w="127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63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0.0</w:t>
            </w:r>
            <w:r>
              <w:rPr>
                <w:kern w:val="0"/>
                <w:sz w:val="21"/>
                <w:szCs w:val="20"/>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642" w:type="dxa"/>
            <w:gridSpan w:val="5"/>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项目Q值∑</w:t>
            </w:r>
          </w:p>
        </w:tc>
        <w:tc>
          <w:tcPr>
            <w:tcW w:w="163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0.0</w:t>
            </w:r>
            <w:r>
              <w:rPr>
                <w:kern w:val="0"/>
                <w:sz w:val="21"/>
                <w:szCs w:val="20"/>
              </w:rPr>
              <w:t>01</w:t>
            </w:r>
          </w:p>
        </w:tc>
      </w:tr>
    </w:tbl>
    <w:p>
      <w:pPr>
        <w:ind w:firstLine="480"/>
      </w:pPr>
      <w:r>
        <w:t>由</w:t>
      </w:r>
      <w:r>
        <w:rPr>
          <w:rFonts w:hint="eastAsia"/>
        </w:rPr>
        <w:t>表6.4-1可知</w:t>
      </w:r>
      <w:r>
        <w:t>项目Q值=</w:t>
      </w:r>
      <w:r>
        <w:rPr>
          <w:rFonts w:hint="eastAsia"/>
        </w:rPr>
        <w:t>0.0</w:t>
      </w:r>
      <w:r>
        <w:t>01＜1，该项目环境风险潜势为</w:t>
      </w:r>
      <w:r>
        <w:rPr>
          <w:rFonts w:hint="eastAsia" w:ascii="宋体" w:hAnsi="宋体" w:cs="宋体"/>
        </w:rPr>
        <w:t>Ⅰ。</w:t>
      </w:r>
    </w:p>
    <w:p>
      <w:pPr>
        <w:pStyle w:val="3"/>
      </w:pPr>
      <w:bookmarkStart w:id="169" w:name="_Toc108422243"/>
      <w:bookmarkStart w:id="170" w:name="_Toc38629843"/>
      <w:r>
        <w:t>环境风险评价等级</w:t>
      </w:r>
      <w:bookmarkEnd w:id="169"/>
      <w:bookmarkEnd w:id="170"/>
    </w:p>
    <w:p>
      <w:pPr>
        <w:pStyle w:val="4"/>
      </w:pPr>
      <w:r>
        <w:t>评价等级判定</w:t>
      </w:r>
    </w:p>
    <w:p>
      <w:pPr>
        <w:ind w:firstLine="480"/>
      </w:pPr>
      <w:r>
        <w:t>按照《建设项目环境风险评价技术导则》（HJ 169-2018）中评价工作等级划分（</w:t>
      </w:r>
      <w:r>
        <w:fldChar w:fldCharType="begin"/>
      </w:r>
      <w:r>
        <w:instrText xml:space="preserve"> REF _Ref25759117 \h  \* MERGEFORMAT </w:instrText>
      </w:r>
      <w:r>
        <w:fldChar w:fldCharType="separate"/>
      </w:r>
      <w:r>
        <w:t>表6.5</w:t>
      </w:r>
      <w:r>
        <w:noBreakHyphen/>
      </w:r>
      <w:r>
        <w:t>1</w:t>
      </w:r>
      <w:r>
        <w:fldChar w:fldCharType="end"/>
      </w:r>
      <w:r>
        <w:t>），确定本项目环境风险评价等级。</w:t>
      </w:r>
    </w:p>
    <w:p>
      <w:pPr>
        <w:pStyle w:val="85"/>
        <w:ind w:firstLine="480"/>
        <w:rPr>
          <w:rFonts w:hAnsi="Times New Roman"/>
          <w:sz w:val="20"/>
          <w:szCs w:val="20"/>
        </w:rPr>
      </w:pPr>
      <w:bookmarkStart w:id="171" w:name="_Ref25759117"/>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6.5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171"/>
      <w:r>
        <w:rPr>
          <w:rFonts w:hAnsi="Times New Roman"/>
          <w:sz w:val="24"/>
        </w:rPr>
        <w:t>评价工作等级划分</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22"/>
        <w:gridCol w:w="1602"/>
        <w:gridCol w:w="1538"/>
        <w:gridCol w:w="1473"/>
        <w:gridCol w:w="15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22" w:type="dxa"/>
            <w:shd w:val="clear" w:color="auto" w:fill="auto"/>
            <w:vAlign w:val="center"/>
          </w:tcPr>
          <w:p>
            <w:pPr>
              <w:pStyle w:val="84"/>
              <w:snapToGrid/>
              <w:ind w:firstLine="480"/>
              <w:rPr>
                <w:rFonts w:hAnsi="Times New Roman"/>
              </w:rPr>
            </w:pPr>
            <w:r>
              <w:rPr>
                <w:rFonts w:hAnsi="Times New Roman"/>
              </w:rPr>
              <w:t>环境风险潜势</w:t>
            </w:r>
          </w:p>
        </w:tc>
        <w:tc>
          <w:tcPr>
            <w:tcW w:w="1602" w:type="dxa"/>
            <w:shd w:val="clear" w:color="auto" w:fill="auto"/>
            <w:vAlign w:val="center"/>
          </w:tcPr>
          <w:p>
            <w:pPr>
              <w:pStyle w:val="84"/>
              <w:snapToGrid/>
              <w:ind w:firstLine="480"/>
              <w:rPr>
                <w:rFonts w:hAnsi="Times New Roman"/>
              </w:rPr>
            </w:pPr>
            <w:r>
              <w:rPr>
                <w:rFonts w:hint="eastAsia" w:ascii="宋体" w:cs="宋体"/>
              </w:rPr>
              <w:t>Ⅳ</w:t>
            </w:r>
            <w:r>
              <w:rPr>
                <w:rFonts w:hAnsi="Times New Roman"/>
              </w:rPr>
              <w:t>、</w:t>
            </w:r>
            <w:r>
              <w:rPr>
                <w:rFonts w:hint="eastAsia" w:ascii="宋体" w:cs="宋体"/>
              </w:rPr>
              <w:t>Ⅳ</w:t>
            </w:r>
            <w:r>
              <w:rPr>
                <w:rFonts w:hAnsi="Times New Roman"/>
                <w:vertAlign w:val="superscript"/>
              </w:rPr>
              <w:t>+</w:t>
            </w:r>
          </w:p>
        </w:tc>
        <w:tc>
          <w:tcPr>
            <w:tcW w:w="1538" w:type="dxa"/>
            <w:shd w:val="clear" w:color="auto" w:fill="auto"/>
            <w:vAlign w:val="center"/>
          </w:tcPr>
          <w:p>
            <w:pPr>
              <w:pStyle w:val="84"/>
              <w:snapToGrid/>
              <w:ind w:firstLine="480"/>
              <w:rPr>
                <w:rFonts w:hAnsi="Times New Roman"/>
              </w:rPr>
            </w:pPr>
            <w:r>
              <w:rPr>
                <w:rFonts w:hint="eastAsia" w:ascii="宋体" w:cs="宋体"/>
              </w:rPr>
              <w:t>Ⅲ</w:t>
            </w:r>
          </w:p>
        </w:tc>
        <w:tc>
          <w:tcPr>
            <w:tcW w:w="1473" w:type="dxa"/>
            <w:shd w:val="clear" w:color="auto" w:fill="auto"/>
            <w:vAlign w:val="center"/>
          </w:tcPr>
          <w:p>
            <w:pPr>
              <w:pStyle w:val="84"/>
              <w:snapToGrid/>
              <w:ind w:firstLine="480"/>
              <w:rPr>
                <w:rFonts w:hAnsi="Times New Roman"/>
              </w:rPr>
            </w:pPr>
            <w:r>
              <w:rPr>
                <w:rFonts w:hint="eastAsia" w:ascii="宋体" w:cs="宋体"/>
              </w:rPr>
              <w:t>Ⅱ</w:t>
            </w:r>
          </w:p>
        </w:tc>
        <w:tc>
          <w:tcPr>
            <w:tcW w:w="1541" w:type="dxa"/>
            <w:shd w:val="clear" w:color="auto" w:fill="auto"/>
            <w:vAlign w:val="center"/>
          </w:tcPr>
          <w:p>
            <w:pPr>
              <w:pStyle w:val="84"/>
              <w:snapToGrid/>
              <w:ind w:firstLine="480"/>
              <w:rPr>
                <w:rFonts w:hAnsi="Times New Roman"/>
              </w:rPr>
            </w:pPr>
            <w:r>
              <w:rPr>
                <w:rFonts w:hint="eastAsia" w:ascii="宋体" w:cs="宋体"/>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22" w:type="dxa"/>
            <w:shd w:val="clear" w:color="auto" w:fill="auto"/>
            <w:vAlign w:val="center"/>
          </w:tcPr>
          <w:p>
            <w:pPr>
              <w:pStyle w:val="84"/>
              <w:snapToGrid/>
              <w:ind w:firstLine="480"/>
              <w:rPr>
                <w:rFonts w:hAnsi="Times New Roman"/>
              </w:rPr>
            </w:pPr>
            <w:r>
              <w:rPr>
                <w:rFonts w:hAnsi="Times New Roman"/>
              </w:rPr>
              <w:t>评价工作等级</w:t>
            </w:r>
          </w:p>
        </w:tc>
        <w:tc>
          <w:tcPr>
            <w:tcW w:w="1602" w:type="dxa"/>
            <w:shd w:val="clear" w:color="auto" w:fill="auto"/>
            <w:vAlign w:val="center"/>
          </w:tcPr>
          <w:p>
            <w:pPr>
              <w:pStyle w:val="84"/>
              <w:snapToGrid/>
              <w:ind w:firstLine="480"/>
              <w:rPr>
                <w:rFonts w:hAnsi="Times New Roman"/>
              </w:rPr>
            </w:pPr>
            <w:r>
              <w:rPr>
                <w:rFonts w:hAnsi="Times New Roman"/>
              </w:rPr>
              <w:t>一级</w:t>
            </w:r>
          </w:p>
        </w:tc>
        <w:tc>
          <w:tcPr>
            <w:tcW w:w="1538" w:type="dxa"/>
            <w:shd w:val="clear" w:color="auto" w:fill="auto"/>
            <w:vAlign w:val="center"/>
          </w:tcPr>
          <w:p>
            <w:pPr>
              <w:pStyle w:val="84"/>
              <w:snapToGrid/>
              <w:ind w:firstLine="480"/>
              <w:rPr>
                <w:rFonts w:hAnsi="Times New Roman"/>
              </w:rPr>
            </w:pPr>
            <w:r>
              <w:rPr>
                <w:rFonts w:hAnsi="Times New Roman"/>
              </w:rPr>
              <w:t>二级</w:t>
            </w:r>
          </w:p>
        </w:tc>
        <w:tc>
          <w:tcPr>
            <w:tcW w:w="1473" w:type="dxa"/>
            <w:shd w:val="clear" w:color="auto" w:fill="auto"/>
            <w:vAlign w:val="center"/>
          </w:tcPr>
          <w:p>
            <w:pPr>
              <w:pStyle w:val="84"/>
              <w:snapToGrid/>
              <w:ind w:firstLine="480"/>
              <w:rPr>
                <w:rFonts w:hAnsi="Times New Roman"/>
              </w:rPr>
            </w:pPr>
            <w:r>
              <w:rPr>
                <w:rFonts w:hAnsi="Times New Roman"/>
              </w:rPr>
              <w:t>三级</w:t>
            </w:r>
          </w:p>
        </w:tc>
        <w:tc>
          <w:tcPr>
            <w:tcW w:w="1541" w:type="dxa"/>
            <w:shd w:val="clear" w:color="auto" w:fill="auto"/>
            <w:vAlign w:val="center"/>
          </w:tcPr>
          <w:p>
            <w:pPr>
              <w:pStyle w:val="84"/>
              <w:snapToGrid/>
              <w:ind w:firstLine="480"/>
              <w:rPr>
                <w:rFonts w:hAnsi="Times New Roman"/>
              </w:rPr>
            </w:pPr>
            <w:r>
              <w:rPr>
                <w:rFonts w:hAnsi="Times New Roman"/>
              </w:rPr>
              <w:t>简单分析</w:t>
            </w:r>
            <w:r>
              <w:rPr>
                <w:rFonts w:hAnsi="Times New Roman"/>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276" w:type="dxa"/>
            <w:gridSpan w:val="5"/>
            <w:shd w:val="clear" w:color="auto" w:fill="auto"/>
            <w:vAlign w:val="center"/>
          </w:tcPr>
          <w:p>
            <w:pPr>
              <w:pStyle w:val="84"/>
              <w:snapToGrid/>
              <w:ind w:left="210" w:hanging="210" w:hangingChars="100"/>
              <w:jc w:val="left"/>
              <w:rPr>
                <w:rFonts w:hAnsi="Times New Roman"/>
                <w:szCs w:val="21"/>
              </w:rPr>
            </w:pPr>
            <w:r>
              <w:rPr>
                <w:rFonts w:hAnsi="Times New Roman"/>
                <w:szCs w:val="21"/>
              </w:rPr>
              <w:t>a 是相对于详细评价工作内容而言，在描述危险物质、环境影响途径、环境危害后果、风险防范措施等方面给出定性的说明。见导则附录A。</w:t>
            </w:r>
          </w:p>
        </w:tc>
      </w:tr>
    </w:tbl>
    <w:p>
      <w:pPr>
        <w:pStyle w:val="93"/>
        <w:ind w:firstLine="480"/>
      </w:pPr>
      <w:r>
        <w:t>项目环境风险潜势为</w:t>
      </w:r>
      <w:r>
        <w:rPr>
          <w:rFonts w:hint="eastAsia" w:ascii="宋体" w:hAnsi="宋体"/>
        </w:rPr>
        <w:t>Ⅰ</w:t>
      </w:r>
      <w:r>
        <w:t>类，因此，本项目环境风险评价等级为简单分析。按照附录A要求进行环境风险识别、环境风险分析、</w:t>
      </w:r>
      <w:r>
        <w:rPr>
          <w:rFonts w:hint="eastAsia"/>
        </w:rPr>
        <w:t>制定</w:t>
      </w:r>
      <w:r>
        <w:t>环境风险防范措施及应急要求。</w:t>
      </w:r>
    </w:p>
    <w:p>
      <w:pPr>
        <w:pStyle w:val="3"/>
      </w:pPr>
      <w:bookmarkStart w:id="172" w:name="_Toc108422244"/>
      <w:r>
        <w:rPr>
          <w:rFonts w:hint="eastAsia"/>
        </w:rPr>
        <w:t>风险</w:t>
      </w:r>
      <w:r>
        <w:t>识别</w:t>
      </w:r>
      <w:bookmarkEnd w:id="172"/>
    </w:p>
    <w:p>
      <w:pPr>
        <w:pStyle w:val="4"/>
      </w:pPr>
      <w:r>
        <w:rPr>
          <w:rFonts w:hint="eastAsia"/>
        </w:rPr>
        <w:t>物质</w:t>
      </w:r>
      <w:r>
        <w:t>危险性识别</w:t>
      </w:r>
    </w:p>
    <w:p>
      <w:pPr>
        <w:ind w:firstLine="480"/>
      </w:pPr>
      <w:r>
        <w:rPr>
          <w:rFonts w:hint="eastAsia"/>
        </w:rPr>
        <w:t>通过对本项目工艺流程及原料、中间产物和产品分析，依据危险性物质的类别和物质量，分析本项目涉及的主要危险性物质是沼气，沼气是一种混合气体，其中可燃气体成分有</w:t>
      </w:r>
      <w:r>
        <w:t>CO</w:t>
      </w:r>
      <w:r>
        <w:rPr>
          <w:vertAlign w:val="subscript"/>
        </w:rPr>
        <w:t>2</w:t>
      </w:r>
      <w:r>
        <w:rPr>
          <w:rFonts w:hint="eastAsia"/>
        </w:rPr>
        <w:t>、</w:t>
      </w:r>
      <w:r>
        <w:t>CH</w:t>
      </w:r>
      <w:r>
        <w:rPr>
          <w:vertAlign w:val="subscript"/>
        </w:rPr>
        <w:t xml:space="preserve">4 </w:t>
      </w:r>
      <w:r>
        <w:rPr>
          <w:rFonts w:hint="eastAsia"/>
        </w:rPr>
        <w:t>等，因此，沼气有火灾和爆炸的危险。项目</w:t>
      </w:r>
      <w:r>
        <w:t>涉及的风险物质主要为甲烷</w:t>
      </w:r>
      <w:r>
        <w:rPr>
          <w:rFonts w:hint="eastAsia"/>
        </w:rPr>
        <w:t>。</w:t>
      </w:r>
    </w:p>
    <w:p>
      <w:pPr>
        <w:ind w:firstLine="480"/>
      </w:pPr>
      <w:r>
        <w:rPr>
          <w:rFonts w:hint="eastAsia"/>
        </w:rPr>
        <w:t>本项目位于旬阳市，秋冬季温度较低，无法保证连续产气，沼气</w:t>
      </w:r>
      <w:r>
        <w:t>未设沼气柜，</w:t>
      </w:r>
      <w:r>
        <w:rPr>
          <w:rFonts w:hint="eastAsia"/>
        </w:rPr>
        <w:t>沼气</w:t>
      </w:r>
      <w:r>
        <w:t>存在量即为</w:t>
      </w:r>
      <w:r>
        <w:rPr>
          <w:rFonts w:hint="eastAsia"/>
        </w:rPr>
        <w:t>每天</w:t>
      </w:r>
      <w:r>
        <w:t>的产生量，项目沼气产生量</w:t>
      </w:r>
      <w:r>
        <w:rPr>
          <w:rFonts w:hint="eastAsia"/>
        </w:rPr>
        <w:t>13.65</w:t>
      </w:r>
      <w:r>
        <w:t>m</w:t>
      </w:r>
      <w:r>
        <w:rPr>
          <w:vertAlign w:val="superscript"/>
        </w:rPr>
        <w:t>3</w:t>
      </w:r>
      <w:r>
        <w:t>/d，甲烷</w:t>
      </w:r>
      <w:r>
        <w:rPr>
          <w:rFonts w:hint="eastAsia"/>
        </w:rPr>
        <w:t>60%，</w:t>
      </w:r>
      <w:r>
        <w:t>密度为</w:t>
      </w:r>
      <w:r>
        <w:rPr>
          <w:rFonts w:hint="eastAsia"/>
        </w:rPr>
        <w:t>1.221</w:t>
      </w:r>
      <w:r>
        <w:t>kg/m</w:t>
      </w:r>
      <w:r>
        <w:rPr>
          <w:vertAlign w:val="superscript"/>
        </w:rPr>
        <w:t>3</w:t>
      </w:r>
      <w:r>
        <w:t>，则</w:t>
      </w:r>
      <w:r>
        <w:rPr>
          <w:rFonts w:hint="eastAsia"/>
        </w:rPr>
        <w:t>本项目</w:t>
      </w:r>
      <w:r>
        <w:t>甲烷</w:t>
      </w:r>
      <w:r>
        <w:rPr>
          <w:rFonts w:hint="eastAsia"/>
        </w:rPr>
        <w:t>最大储存量0.</w:t>
      </w:r>
      <w:r>
        <w:t>01</w:t>
      </w:r>
      <w:r>
        <w:rPr>
          <w:rFonts w:hint="eastAsia"/>
        </w:rPr>
        <w:t>t。</w:t>
      </w:r>
    </w:p>
    <w:p>
      <w:pPr>
        <w:pStyle w:val="4"/>
      </w:pPr>
      <w:r>
        <w:rPr>
          <w:rFonts w:hint="eastAsia"/>
        </w:rPr>
        <w:t>环境风险</w:t>
      </w:r>
      <w:r>
        <w:t>类别及危害性分析</w:t>
      </w:r>
    </w:p>
    <w:p>
      <w:pPr>
        <w:ind w:firstLine="480"/>
      </w:pPr>
      <w:r>
        <w:rPr>
          <w:rFonts w:hint="eastAsia"/>
        </w:rPr>
        <w:t>项目沼气具有易燃特性，因此，项目发生风险事故的可能性为沼气发生火灾爆炸事故及</w:t>
      </w:r>
      <w:r>
        <w:t>引发的</w:t>
      </w:r>
      <w:r>
        <w:rPr>
          <w:rFonts w:hint="eastAsia"/>
        </w:rPr>
        <w:t>伴生/次生</w:t>
      </w:r>
      <w:r>
        <w:t>环境污染问题</w:t>
      </w:r>
      <w:r>
        <w:rPr>
          <w:rFonts w:hint="eastAsia"/>
        </w:rPr>
        <w:t>。</w:t>
      </w:r>
    </w:p>
    <w:p>
      <w:pPr>
        <w:pStyle w:val="85"/>
      </w:pPr>
      <w:r>
        <w:t>表</w:t>
      </w:r>
      <w:r>
        <w:fldChar w:fldCharType="begin"/>
      </w:r>
      <w:r>
        <w:instrText xml:space="preserve"> STYLEREF 2 \s </w:instrText>
      </w:r>
      <w:r>
        <w:fldChar w:fldCharType="separate"/>
      </w:r>
      <w:r>
        <w:t>6.6</w:t>
      </w:r>
      <w:r>
        <w:fldChar w:fldCharType="end"/>
      </w:r>
      <w:r>
        <w:noBreakHyphen/>
      </w:r>
      <w:r>
        <w:fldChar w:fldCharType="begin"/>
      </w:r>
      <w:r>
        <w:instrText xml:space="preserve"> SEQ 表 \* ARABIC \s 2 </w:instrText>
      </w:r>
      <w:r>
        <w:fldChar w:fldCharType="separate"/>
      </w:r>
      <w:r>
        <w:t>1</w:t>
      </w:r>
      <w:r>
        <w:fldChar w:fldCharType="end"/>
      </w:r>
      <w:r>
        <w:rPr>
          <w:rFonts w:hint="eastAsia"/>
        </w:rPr>
        <w:t>风险</w:t>
      </w:r>
      <w:r>
        <w:t>类型及原因分析</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101"/>
        <w:gridCol w:w="930"/>
        <w:gridCol w:w="1827"/>
        <w:gridCol w:w="2132"/>
        <w:gridCol w:w="14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93" w:type="dxa"/>
            <w:vMerge w:val="restart"/>
            <w:vAlign w:val="center"/>
          </w:tcPr>
          <w:p>
            <w:pPr>
              <w:pStyle w:val="84"/>
            </w:pPr>
            <w:r>
              <w:t>重点部位</w:t>
            </w:r>
          </w:p>
        </w:tc>
        <w:tc>
          <w:tcPr>
            <w:tcW w:w="1101" w:type="dxa"/>
            <w:vMerge w:val="restart"/>
            <w:vAlign w:val="center"/>
          </w:tcPr>
          <w:p>
            <w:pPr>
              <w:pStyle w:val="84"/>
            </w:pPr>
            <w:r>
              <w:t>典型设备及特点</w:t>
            </w:r>
          </w:p>
        </w:tc>
        <w:tc>
          <w:tcPr>
            <w:tcW w:w="930" w:type="dxa"/>
            <w:vMerge w:val="restart"/>
            <w:vAlign w:val="center"/>
          </w:tcPr>
          <w:p>
            <w:pPr>
              <w:pStyle w:val="84"/>
            </w:pPr>
            <w:r>
              <w:t>薄弱环节</w:t>
            </w:r>
          </w:p>
        </w:tc>
        <w:tc>
          <w:tcPr>
            <w:tcW w:w="5452" w:type="dxa"/>
            <w:gridSpan w:val="3"/>
            <w:vAlign w:val="center"/>
          </w:tcPr>
          <w:p>
            <w:pPr>
              <w:pStyle w:val="84"/>
            </w:pPr>
            <w:r>
              <w:t>可能发生的事故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93" w:type="dxa"/>
            <w:vMerge w:val="continue"/>
            <w:vAlign w:val="center"/>
          </w:tcPr>
          <w:p>
            <w:pPr>
              <w:pStyle w:val="84"/>
            </w:pPr>
          </w:p>
        </w:tc>
        <w:tc>
          <w:tcPr>
            <w:tcW w:w="1101" w:type="dxa"/>
            <w:vMerge w:val="continue"/>
            <w:vAlign w:val="center"/>
          </w:tcPr>
          <w:p>
            <w:pPr>
              <w:pStyle w:val="84"/>
            </w:pPr>
          </w:p>
        </w:tc>
        <w:tc>
          <w:tcPr>
            <w:tcW w:w="930" w:type="dxa"/>
            <w:vMerge w:val="continue"/>
            <w:vAlign w:val="center"/>
          </w:tcPr>
          <w:p>
            <w:pPr>
              <w:pStyle w:val="84"/>
            </w:pPr>
          </w:p>
        </w:tc>
        <w:tc>
          <w:tcPr>
            <w:tcW w:w="1827" w:type="dxa"/>
            <w:vAlign w:val="center"/>
          </w:tcPr>
          <w:p>
            <w:pPr>
              <w:pStyle w:val="84"/>
            </w:pPr>
            <w:r>
              <w:t>原因</w:t>
            </w:r>
          </w:p>
        </w:tc>
        <w:tc>
          <w:tcPr>
            <w:tcW w:w="2132" w:type="dxa"/>
            <w:vAlign w:val="center"/>
          </w:tcPr>
          <w:p>
            <w:pPr>
              <w:pStyle w:val="84"/>
            </w:pPr>
            <w:r>
              <w:t>类型</w:t>
            </w:r>
          </w:p>
        </w:tc>
        <w:tc>
          <w:tcPr>
            <w:tcW w:w="1493" w:type="dxa"/>
            <w:vAlign w:val="center"/>
          </w:tcPr>
          <w:p>
            <w:pPr>
              <w:pStyle w:val="84"/>
            </w:pPr>
            <w:r>
              <w:t>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93" w:type="dxa"/>
            <w:vAlign w:val="center"/>
          </w:tcPr>
          <w:p>
            <w:pPr>
              <w:pStyle w:val="84"/>
            </w:pPr>
            <w:r>
              <w:t>储存</w:t>
            </w:r>
          </w:p>
        </w:tc>
        <w:tc>
          <w:tcPr>
            <w:tcW w:w="1101" w:type="dxa"/>
            <w:vAlign w:val="center"/>
          </w:tcPr>
          <w:p>
            <w:pPr>
              <w:pStyle w:val="84"/>
            </w:pPr>
            <w:r>
              <w:rPr>
                <w:rFonts w:hint="eastAsia"/>
              </w:rPr>
              <w:t>厌氧</w:t>
            </w:r>
            <w:r>
              <w:t>发酵池</w:t>
            </w:r>
          </w:p>
        </w:tc>
        <w:tc>
          <w:tcPr>
            <w:tcW w:w="930" w:type="dxa"/>
            <w:vAlign w:val="center"/>
          </w:tcPr>
          <w:p>
            <w:pPr>
              <w:pStyle w:val="84"/>
            </w:pPr>
            <w:r>
              <w:rPr>
                <w:rFonts w:hint="eastAsia"/>
              </w:rPr>
              <w:t>发酵池</w:t>
            </w:r>
            <w:r>
              <w:t>、管线</w:t>
            </w:r>
          </w:p>
        </w:tc>
        <w:tc>
          <w:tcPr>
            <w:tcW w:w="1827" w:type="dxa"/>
            <w:vAlign w:val="center"/>
          </w:tcPr>
          <w:p>
            <w:pPr>
              <w:pStyle w:val="84"/>
            </w:pPr>
            <w:r>
              <w:t>维护保养不当</w:t>
            </w:r>
          </w:p>
        </w:tc>
        <w:tc>
          <w:tcPr>
            <w:tcW w:w="2132" w:type="dxa"/>
            <w:vAlign w:val="center"/>
          </w:tcPr>
          <w:p>
            <w:pPr>
              <w:pStyle w:val="84"/>
            </w:pPr>
            <w:r>
              <w:t>储气装置破裂，管线损坏，接口不严</w:t>
            </w:r>
          </w:p>
        </w:tc>
        <w:tc>
          <w:tcPr>
            <w:tcW w:w="1493" w:type="dxa"/>
            <w:vAlign w:val="center"/>
          </w:tcPr>
          <w:p>
            <w:pPr>
              <w:pStyle w:val="84"/>
            </w:pPr>
            <w:r>
              <w:t>沼气泄漏，遇火源发生爆炸</w:t>
            </w:r>
            <w:r>
              <w:rPr>
                <w:rFonts w:hint="eastAsia"/>
              </w:rPr>
              <w:t>，</w:t>
            </w:r>
            <w:r>
              <w:t>污染环境</w:t>
            </w:r>
          </w:p>
        </w:tc>
      </w:tr>
    </w:tbl>
    <w:p>
      <w:pPr>
        <w:pStyle w:val="3"/>
      </w:pPr>
      <w:bookmarkStart w:id="173" w:name="_Toc108422245"/>
      <w:r>
        <w:rPr>
          <w:rFonts w:hint="eastAsia"/>
        </w:rPr>
        <w:t>环境</w:t>
      </w:r>
      <w:r>
        <w:t>风险分析</w:t>
      </w:r>
      <w:bookmarkEnd w:id="173"/>
    </w:p>
    <w:p>
      <w:pPr>
        <w:ind w:firstLine="480"/>
      </w:pPr>
      <w:r>
        <w:rPr>
          <w:rFonts w:hint="eastAsia"/>
        </w:rPr>
        <w:t>（</w:t>
      </w:r>
      <w:r>
        <w:t>1</w:t>
      </w:r>
      <w:r>
        <w:rPr>
          <w:rFonts w:hint="eastAsia"/>
        </w:rPr>
        <w:t>）沼气泄漏、火灾、爆炸事故</w:t>
      </w:r>
    </w:p>
    <w:p>
      <w:pPr>
        <w:ind w:firstLine="480"/>
      </w:pPr>
      <w:r>
        <w:rPr>
          <w:rFonts w:hint="eastAsia"/>
        </w:rPr>
        <w:t>①沼气爆炸发生的条件影响分析</w:t>
      </w:r>
    </w:p>
    <w:p>
      <w:pPr>
        <w:ind w:firstLine="480"/>
      </w:pPr>
      <w:r>
        <w:rPr>
          <w:rFonts w:hint="eastAsia"/>
        </w:rPr>
        <w:t>沼气爆炸必须具备三个条件：一定的甲烷浓度，一定的引火温度和足够的氧浓度，三者缺一即不可能发生爆炸。</w:t>
      </w:r>
    </w:p>
    <w:p>
      <w:pPr>
        <w:ind w:firstLine="480"/>
      </w:pPr>
      <w:r>
        <w:rPr>
          <w:rFonts w:hint="eastAsia"/>
        </w:rPr>
        <w:t>②事故影响</w:t>
      </w:r>
    </w:p>
    <w:p>
      <w:pPr>
        <w:ind w:firstLine="480"/>
      </w:pPr>
      <w:r>
        <w:rPr>
          <w:rFonts w:hint="eastAsia"/>
        </w:rPr>
        <w:t>火灾、爆炸事故对环境的危害主要是热辐射、冲击波和抛射物造成的后果。此外，火灾燃烧过程产生的烟雾及有害气体可造成较大范围环境污染。发生火灾爆炸类事故主要原因为阀门、管线、储罐等发生泄漏，根据国内外统计资料显示，因防爆装置不起作用而造成焊缝爆裂或大裂纹泄漏的重大事故概率为</w:t>
      </w:r>
      <w:r>
        <w:t>6.9</w:t>
      </w:r>
      <w:r>
        <w:rPr>
          <w:rFonts w:hint="eastAsia"/>
        </w:rPr>
        <w:t>×</w:t>
      </w:r>
      <w:r>
        <w:t>10</w:t>
      </w:r>
      <w:r>
        <w:rPr>
          <w:vertAlign w:val="superscript"/>
        </w:rPr>
        <w:t>-7</w:t>
      </w:r>
      <w:r>
        <w:t>~6.9</w:t>
      </w:r>
      <w:r>
        <w:rPr>
          <w:rFonts w:hint="eastAsia"/>
        </w:rPr>
        <w:t>×</w:t>
      </w:r>
      <w:r>
        <w:t>10</w:t>
      </w:r>
      <w:r>
        <w:rPr>
          <w:vertAlign w:val="superscript"/>
        </w:rPr>
        <w:t>-8</w:t>
      </w:r>
      <w:r>
        <w:t>/</w:t>
      </w:r>
      <w:r>
        <w:rPr>
          <w:rFonts w:hint="eastAsia"/>
        </w:rPr>
        <w:t>年左右，一般发生的泄漏事故多为进出料管道连接处的泄漏，设备容器一般破裂泄漏事故概率在</w:t>
      </w:r>
      <w:r>
        <w:t>1</w:t>
      </w:r>
      <w:r>
        <w:rPr>
          <w:rFonts w:hint="eastAsia"/>
        </w:rPr>
        <w:t>×</w:t>
      </w:r>
      <w:r>
        <w:t>10</w:t>
      </w:r>
      <w:r>
        <w:rPr>
          <w:vertAlign w:val="superscript"/>
        </w:rPr>
        <w:t>-5</w:t>
      </w:r>
      <w:r>
        <w:t>/</w:t>
      </w:r>
      <w:r>
        <w:rPr>
          <w:rFonts w:hint="eastAsia"/>
        </w:rPr>
        <w:t>年左右，储存系统发生火灾爆炸等重大事故概率小于</w:t>
      </w:r>
      <w:r>
        <w:t>1</w:t>
      </w:r>
      <w:r>
        <w:rPr>
          <w:rFonts w:hint="eastAsia"/>
        </w:rPr>
        <w:t>×</w:t>
      </w:r>
      <w:r>
        <w:t>10</w:t>
      </w:r>
      <w:r>
        <w:rPr>
          <w:vertAlign w:val="superscript"/>
        </w:rPr>
        <w:t>-6</w:t>
      </w:r>
      <w:r>
        <w:t>/</w:t>
      </w:r>
      <w:r>
        <w:rPr>
          <w:rFonts w:hint="eastAsia"/>
        </w:rPr>
        <w:t>年，随着现在防灾技术水平的提高，呈下降趋势。综合项目特点，确定本项目沼气泄漏最大可信事故概率为</w:t>
      </w:r>
      <w:r>
        <w:t>1</w:t>
      </w:r>
      <w:r>
        <w:rPr>
          <w:rFonts w:hint="eastAsia"/>
        </w:rPr>
        <w:t>×</w:t>
      </w:r>
      <w:r>
        <w:t>10</w:t>
      </w:r>
      <w:r>
        <w:rPr>
          <w:vertAlign w:val="superscript"/>
        </w:rPr>
        <w:t>-5</w:t>
      </w:r>
      <w:r>
        <w:rPr>
          <w:rFonts w:hint="eastAsia"/>
        </w:rPr>
        <w:t>，火灾爆炸最大可信事故概率为</w:t>
      </w:r>
      <w:r>
        <w:t>1</w:t>
      </w:r>
      <w:r>
        <w:rPr>
          <w:rFonts w:hint="eastAsia"/>
        </w:rPr>
        <w:t>×</w:t>
      </w:r>
      <w:r>
        <w:t>10</w:t>
      </w:r>
      <w:r>
        <w:rPr>
          <w:vertAlign w:val="superscript"/>
        </w:rPr>
        <w:t>-6</w:t>
      </w:r>
      <w:r>
        <w:rPr>
          <w:rFonts w:hint="eastAsia"/>
        </w:rPr>
        <w:t>，处于可接受水平。</w:t>
      </w:r>
    </w:p>
    <w:p>
      <w:pPr>
        <w:ind w:firstLine="480"/>
      </w:pPr>
      <w:r>
        <w:rPr>
          <w:rFonts w:hint="eastAsia"/>
        </w:rPr>
        <w:t>（2）养殖场疫情环境风险分析</w:t>
      </w:r>
    </w:p>
    <w:p>
      <w:pPr>
        <w:ind w:firstLine="480"/>
      </w:pPr>
      <w:r>
        <w:rPr>
          <w:rFonts w:hint="eastAsia"/>
        </w:rPr>
        <w:t>目前生猪疫病种类较多，除传统的猪瘟、猪肺疫、猪丹毒外，还有“猪五号病”、链球菌病、兰耳病、圆环病毒病、附红细胞体、细小病毒、伪狂犬、乙型脑炎等新的传染病。例如猪链球菌病属国家规定的二类动物疫病，是一种人畜共患传染病。链球菌分布广泛，常存在于健康的哺乳动物和人体内。在动物机体抵抗力降低和外部环境变化诱导下，会引起动物和人发病。猪链球菌病可以通过伤口、消化道等途径传染给人。</w:t>
      </w:r>
    </w:p>
    <w:p>
      <w:pPr>
        <w:ind w:firstLine="480"/>
      </w:pPr>
      <w:r>
        <w:rPr>
          <w:rFonts w:hint="eastAsia"/>
        </w:rPr>
        <w:t>养殖场内一旦发生疫情，将造成肉产品销售价格大幅下跌，影响消费市场。建设单位应加强家畜饲养管理，保证家畜产品质量，防止家畜疫病传播，保障人民身体健康。</w:t>
      </w:r>
    </w:p>
    <w:p>
      <w:pPr>
        <w:ind w:firstLine="480"/>
      </w:pPr>
      <w:r>
        <w:rPr>
          <w:rFonts w:hint="eastAsia"/>
        </w:rPr>
        <w:t>养殖场内引进的种猪可能会有病猪或出现疫情，若不加以控制，病菌可在养殖场内传播，以致疫情扩散，危害周围人群。</w:t>
      </w:r>
    </w:p>
    <w:p>
      <w:pPr>
        <w:ind w:firstLine="480"/>
      </w:pPr>
      <w:r>
        <w:rPr>
          <w:rFonts w:hint="eastAsia"/>
        </w:rPr>
        <w:t>（3）废水事故性排放环境风险分析</w:t>
      </w:r>
    </w:p>
    <w:p>
      <w:pPr>
        <w:ind w:firstLine="480"/>
      </w:pPr>
      <w:r>
        <w:rPr>
          <w:rFonts w:hint="eastAsia"/>
        </w:rPr>
        <w:t>本项目产生的废水的污染物浓度很高，事故排放会造成水体污染。畜禽养殖场废水排放进入地表水体极易造成水体的富营养化，使水质恶化。污水渗入地下还可造成地下水中的硝酸盐含量过高。</w:t>
      </w:r>
    </w:p>
    <w:p>
      <w:pPr>
        <w:ind w:firstLine="480"/>
      </w:pPr>
      <w:r>
        <w:rPr>
          <w:rFonts w:hint="eastAsia"/>
        </w:rPr>
        <w:t>①事故性排放会造成水体污染</w:t>
      </w:r>
    </w:p>
    <w:p>
      <w:pPr>
        <w:ind w:firstLine="480"/>
      </w:pPr>
      <w:r>
        <w:rPr>
          <w:rFonts w:hint="eastAsia"/>
        </w:rPr>
        <w:t>本项目废水若事故排放，废水进入附近地表水体，将严重影响其水质。</w:t>
      </w:r>
    </w:p>
    <w:p>
      <w:pPr>
        <w:ind w:firstLine="480"/>
      </w:pPr>
      <w:r>
        <w:rPr>
          <w:rFonts w:hint="eastAsia"/>
        </w:rPr>
        <w:t>②污水渗入地下水造成的污染</w:t>
      </w:r>
    </w:p>
    <w:p>
      <w:pPr>
        <w:ind w:firstLine="480"/>
      </w:pPr>
      <w:r>
        <w:rPr>
          <w:rFonts w:hint="eastAsia"/>
        </w:rPr>
        <w:t>污水若渗入地下将对地下水造成污染，导致地下水中的硝酸盐含量过高。</w:t>
      </w:r>
    </w:p>
    <w:p>
      <w:pPr>
        <w:ind w:firstLine="480"/>
      </w:pPr>
      <w:r>
        <w:rPr>
          <w:rFonts w:hint="eastAsia"/>
        </w:rPr>
        <w:t>因此，废水处理工程必须设置事故应急池，收集事故排放废水，杜绝废水直接排放。评价认为，在降雨量较大的情况下出现废水事故性排放风险的可能性最大。</w:t>
      </w:r>
    </w:p>
    <w:p>
      <w:pPr>
        <w:pStyle w:val="3"/>
      </w:pPr>
      <w:bookmarkStart w:id="174" w:name="_Toc108422246"/>
      <w:r>
        <w:rPr>
          <w:rFonts w:hint="eastAsia"/>
        </w:rPr>
        <w:t>风险</w:t>
      </w:r>
      <w:r>
        <w:t>防范措施</w:t>
      </w:r>
      <w:bookmarkEnd w:id="174"/>
    </w:p>
    <w:p>
      <w:pPr>
        <w:pStyle w:val="4"/>
      </w:pPr>
      <w:r>
        <w:rPr>
          <w:rFonts w:hint="eastAsia"/>
        </w:rPr>
        <w:t>沼气</w:t>
      </w:r>
      <w:r>
        <w:t>泄露</w:t>
      </w:r>
      <w:r>
        <w:rPr>
          <w:rFonts w:hint="eastAsia"/>
        </w:rPr>
        <w:t>事故</w:t>
      </w:r>
      <w:r>
        <w:t>风险防范措施</w:t>
      </w:r>
    </w:p>
    <w:p>
      <w:pPr>
        <w:ind w:firstLine="480"/>
      </w:pPr>
      <w:r>
        <w:rPr>
          <w:rFonts w:hint="eastAsia"/>
        </w:rPr>
        <w:t>为了防止因沼气泄漏引发的环境风险事故，本评估报告提出以下措施：</w:t>
      </w:r>
    </w:p>
    <w:p>
      <w:pPr>
        <w:ind w:firstLine="480"/>
      </w:pPr>
      <w:r>
        <w:rPr>
          <w:rFonts w:hint="eastAsia"/>
        </w:rPr>
        <w:t>1、在沼气脱硫</w:t>
      </w:r>
      <w:r>
        <w:t>装置</w:t>
      </w:r>
      <w:r>
        <w:rPr>
          <w:rFonts w:hint="eastAsia"/>
        </w:rPr>
        <w:t>出口管线上设置消焰器（阻火器），此外，在所有沼气系统与外界连通部位（如：与真空压力安全阀、机械排气阀连接安装）都安装消焰器。消焰器内部填充了金属填料，当火焰通过消焰器填料间缝隙时，热量被吸收，气体温度降至燃点以下，达到消焰目的；</w:t>
      </w:r>
    </w:p>
    <w:p>
      <w:pPr>
        <w:ind w:firstLine="480"/>
      </w:pPr>
      <w:r>
        <w:rPr>
          <w:rFonts w:hint="eastAsia"/>
        </w:rPr>
        <w:t>2、制订详细的操作规程及岗位安全作业指导书，并严格监督落实；</w:t>
      </w:r>
    </w:p>
    <w:p>
      <w:pPr>
        <w:ind w:firstLine="480"/>
      </w:pPr>
      <w:r>
        <w:rPr>
          <w:rFonts w:hint="eastAsia"/>
        </w:rPr>
        <w:t>3、强化安全管理，强化职工风险意识。</w:t>
      </w:r>
    </w:p>
    <w:p>
      <w:pPr>
        <w:pStyle w:val="4"/>
      </w:pPr>
      <w:r>
        <w:rPr>
          <w:rFonts w:hint="eastAsia"/>
        </w:rPr>
        <w:t>废水</w:t>
      </w:r>
      <w:r>
        <w:t>事故性排污风险防范措施</w:t>
      </w:r>
    </w:p>
    <w:p>
      <w:pPr>
        <w:ind w:firstLine="480"/>
      </w:pPr>
      <w:r>
        <w:rPr>
          <w:rFonts w:hint="eastAsia"/>
        </w:rPr>
        <w:t>建设单位拟采取以下措施来避免事故性排污风险的发生：</w:t>
      </w:r>
    </w:p>
    <w:p>
      <w:pPr>
        <w:ind w:firstLine="480"/>
      </w:pPr>
      <w:r>
        <w:rPr>
          <w:rFonts w:hint="eastAsia"/>
        </w:rPr>
        <w:t>1、事故废水的处理措施</w:t>
      </w:r>
    </w:p>
    <w:p>
      <w:pPr>
        <w:ind w:firstLine="480"/>
      </w:pPr>
      <w:r>
        <w:rPr>
          <w:rFonts w:hint="eastAsia"/>
        </w:rPr>
        <w:t>本项目事故废水包括初期雨水和污水处理系统事故状态下的排水，环评</w:t>
      </w:r>
      <w:r>
        <w:t>要求</w:t>
      </w:r>
      <w:r>
        <w:rPr>
          <w:rFonts w:hint="eastAsia"/>
        </w:rPr>
        <w:t>要加强对废水处理设施的运行管理，一旦出现事故性排放，应立即停止处理出水排放，废水进沼液</w:t>
      </w:r>
      <w:r>
        <w:t>暂存池</w:t>
      </w:r>
      <w:r>
        <w:rPr>
          <w:rFonts w:hint="eastAsia"/>
        </w:rPr>
        <w:t>储存，排除故障后，再进行正常运行，坚决不允许废水不经处理直接排放。</w:t>
      </w:r>
    </w:p>
    <w:p>
      <w:pPr>
        <w:ind w:firstLine="480"/>
      </w:pPr>
      <w:r>
        <w:rPr>
          <w:rFonts w:hint="eastAsia"/>
        </w:rPr>
        <w:t>项目废水产生量约为</w:t>
      </w:r>
      <w:r>
        <w:t>21.00</w:t>
      </w:r>
      <w:r>
        <w:rPr>
          <w:rFonts w:hint="eastAsia"/>
        </w:rPr>
        <w:t>m</w:t>
      </w:r>
      <w:r>
        <w:rPr>
          <w:rFonts w:hint="eastAsia"/>
          <w:vertAlign w:val="superscript"/>
        </w:rPr>
        <w:t>3</w:t>
      </w:r>
      <w:r>
        <w:rPr>
          <w:rFonts w:hint="eastAsia"/>
        </w:rPr>
        <w:t>/d，</w:t>
      </w:r>
      <w:r>
        <w:t>沼液暂存池容积</w:t>
      </w:r>
      <w:r>
        <w:rPr>
          <w:rFonts w:hint="eastAsia"/>
        </w:rPr>
        <w:t>2</w:t>
      </w:r>
      <w:r>
        <w:t>800m</w:t>
      </w:r>
      <w:r>
        <w:rPr>
          <w:vertAlign w:val="superscript"/>
        </w:rPr>
        <w:t>3</w:t>
      </w:r>
      <w:r>
        <w:t>，</w:t>
      </w:r>
      <w:r>
        <w:rPr>
          <w:rFonts w:hint="eastAsia"/>
        </w:rPr>
        <w:t>暂存池</w:t>
      </w:r>
      <w:r>
        <w:t>容积能</w:t>
      </w:r>
      <w:r>
        <w:rPr>
          <w:rFonts w:hint="eastAsia"/>
        </w:rPr>
        <w:t>容纳</w:t>
      </w:r>
      <w:r>
        <w:t>足够数量的事故</w:t>
      </w:r>
      <w:r>
        <w:rPr>
          <w:rFonts w:hint="eastAsia"/>
        </w:rPr>
        <w:t>废水</w:t>
      </w:r>
      <w:r>
        <w:t>，满足应急储存要求。</w:t>
      </w:r>
    </w:p>
    <w:p>
      <w:pPr>
        <w:ind w:firstLine="480"/>
      </w:pPr>
      <w:r>
        <w:rPr>
          <w:rFonts w:hint="eastAsia"/>
        </w:rPr>
        <w:t>暂存池应采取防雨淋、防渗、防漏措施，高度应高于周围地平，并在四周设截水沟，防止径流雨水渗入。在采取相应措施后，该类风险是可以接受的。</w:t>
      </w:r>
    </w:p>
    <w:p>
      <w:pPr>
        <w:ind w:firstLine="480"/>
      </w:pPr>
      <w:r>
        <w:rPr>
          <w:rFonts w:hint="eastAsia"/>
        </w:rPr>
        <w:t>2、污水处理系统及废水输送管道风险防范措施</w:t>
      </w:r>
    </w:p>
    <w:p>
      <w:pPr>
        <w:ind w:firstLine="480"/>
      </w:pPr>
      <w:r>
        <w:rPr>
          <w:rFonts w:hint="eastAsia"/>
        </w:rPr>
        <w:t>污水处理系统底部首先进行清场夯实，要做到池底无特殊工艺孔设置且内表面积较大，施工所在地土质情况单一，碎砖块等尖锐性杂物较少，具备工程防渗施工的要求。同时各废水输送管道应做到防泄漏、跑冒等。本项目污水处理系统采用HDPE+混凝土防渗，渗透系数为1.00×10</w:t>
      </w:r>
      <w:r>
        <w:rPr>
          <w:rFonts w:hint="eastAsia"/>
          <w:vertAlign w:val="superscript"/>
        </w:rPr>
        <w:t>-10</w:t>
      </w:r>
      <w:r>
        <w:rPr>
          <w:rFonts w:hint="eastAsia"/>
        </w:rPr>
        <w:t>cm/s。经过上述处理后，不存在废水下渗污染地下水和土壤的风险。</w:t>
      </w:r>
    </w:p>
    <w:p>
      <w:pPr>
        <w:ind w:firstLine="480"/>
      </w:pPr>
      <w:r>
        <w:rPr>
          <w:rFonts w:hint="eastAsia"/>
        </w:rPr>
        <w:t>3、其他风险防范措施</w:t>
      </w:r>
    </w:p>
    <w:p>
      <w:pPr>
        <w:ind w:firstLine="480"/>
      </w:pPr>
      <w:r>
        <w:rPr>
          <w:rFonts w:hint="eastAsia"/>
        </w:rPr>
        <w:t>（1）养殖场的排水系统应实行雨水和污水收集输送系统分离，避免雨水进入废水处理系统。</w:t>
      </w:r>
    </w:p>
    <w:p>
      <w:pPr>
        <w:ind w:firstLine="480"/>
      </w:pPr>
      <w:r>
        <w:rPr>
          <w:rFonts w:hint="eastAsia"/>
        </w:rPr>
        <w:t>（2）加强管理，产生的粪便及时</w:t>
      </w:r>
      <w:r>
        <w:t>清运</w:t>
      </w:r>
      <w:r>
        <w:rPr>
          <w:rFonts w:hint="eastAsia"/>
        </w:rPr>
        <w:t>，特别是夏季雨天来临之前要及时清理干净。</w:t>
      </w:r>
    </w:p>
    <w:p>
      <w:pPr>
        <w:pStyle w:val="4"/>
      </w:pPr>
      <w:r>
        <w:rPr>
          <w:rFonts w:hint="eastAsia"/>
        </w:rPr>
        <w:t>疾病</w:t>
      </w:r>
      <w:r>
        <w:t>防疫措施</w:t>
      </w:r>
    </w:p>
    <w:p>
      <w:pPr>
        <w:ind w:firstLine="480"/>
      </w:pPr>
      <w:r>
        <w:rPr>
          <w:rFonts w:hint="eastAsia" w:ascii="宋体" w:hAnsi="Calibri" w:cs="宋体"/>
          <w:kern w:val="0"/>
          <w:szCs w:val="24"/>
        </w:rPr>
        <w:t>建设单位拟采取的疾病防疫措施如下：</w:t>
      </w:r>
    </w:p>
    <w:p>
      <w:pPr>
        <w:ind w:firstLine="480"/>
      </w:pPr>
      <w:r>
        <w:rPr>
          <w:rFonts w:hint="eastAsia"/>
        </w:rPr>
        <w:t>（1）在生产中应坚持“防病重于治病”的方针。引种时均应进行检疫、隔离、消毒；进行养猪场疾病的化验与预测；并按时对生猪进行疫苗的注射、药物预防等等；</w:t>
      </w:r>
    </w:p>
    <w:p>
      <w:pPr>
        <w:ind w:firstLine="480"/>
      </w:pPr>
      <w:r>
        <w:rPr>
          <w:rFonts w:hint="eastAsia"/>
        </w:rPr>
        <w:t>（2）养殖区与生活区分开。养殖区门口应设置消毒室，并配备自动喷雾消毒系统；</w:t>
      </w:r>
    </w:p>
    <w:p>
      <w:pPr>
        <w:ind w:firstLine="480"/>
      </w:pPr>
      <w:r>
        <w:rPr>
          <w:rFonts w:hint="eastAsia"/>
        </w:rPr>
        <w:t>（3）在进入养殖区之前，生产人员必须更换工作服及鞋帽，经消毒室消毒后才能进入。</w:t>
      </w:r>
    </w:p>
    <w:p>
      <w:pPr>
        <w:ind w:firstLine="480"/>
      </w:pPr>
      <w:r>
        <w:rPr>
          <w:rFonts w:hint="eastAsia"/>
        </w:rPr>
        <w:t>（4）使用漏粪地板、护仔栏、通风系统及温控设备等等，以达到减少、预防动物重大疾病发生和净化养殖环境的目的。</w:t>
      </w:r>
    </w:p>
    <w:p>
      <w:pPr>
        <w:ind w:firstLine="480"/>
      </w:pPr>
      <w:r>
        <w:rPr>
          <w:rFonts w:hint="eastAsia"/>
        </w:rPr>
        <w:t>（5）采用全价饲料。全价平衡的营养是保证生猪发挥生产性能的重要因素，科学程序化的管理使生猪生产性能获得最大经济效益。相反，营养不良、环境恶劣、管理不善，都能降低猪的抗感染能力或者引起猪的疾病加重。即便是很健康、免疫能力很强的猪在极其恶劣的环境下也很难避免疾病的发生。</w:t>
      </w:r>
    </w:p>
    <w:p>
      <w:pPr>
        <w:ind w:firstLine="480"/>
      </w:pPr>
      <w:r>
        <w:rPr>
          <w:rFonts w:hint="eastAsia"/>
        </w:rPr>
        <w:t>（6）对饲养人员每年进行一次体格检查，如发现患有危害人、猪的传染病者，应及时调离，以防传染。</w:t>
      </w:r>
    </w:p>
    <w:p>
      <w:pPr>
        <w:ind w:firstLine="480"/>
      </w:pPr>
      <w:r>
        <w:rPr>
          <w:rFonts w:hint="eastAsia"/>
        </w:rPr>
        <w:t>（7）保持猪舍、猪体的清洁，保持圈舍平整、干燥、无污物（如砖块、石头、废弃塑料袋等）</w:t>
      </w:r>
    </w:p>
    <w:p>
      <w:pPr>
        <w:pStyle w:val="3"/>
      </w:pPr>
      <w:bookmarkStart w:id="175" w:name="_Toc108422247"/>
      <w:r>
        <w:rPr>
          <w:rFonts w:hint="eastAsia"/>
        </w:rPr>
        <w:t>风险</w:t>
      </w:r>
      <w:r>
        <w:t>事故应急预案</w:t>
      </w:r>
      <w:bookmarkEnd w:id="175"/>
    </w:p>
    <w:p>
      <w:pPr>
        <w:pStyle w:val="4"/>
      </w:pPr>
      <w:r>
        <w:rPr>
          <w:rFonts w:hint="eastAsia"/>
        </w:rPr>
        <w:t>应急</w:t>
      </w:r>
      <w:r>
        <w:t>预案</w:t>
      </w:r>
    </w:p>
    <w:p>
      <w:pPr>
        <w:ind w:firstLine="480"/>
      </w:pPr>
      <w:r>
        <w:rPr>
          <w:rFonts w:hint="eastAsia"/>
        </w:rPr>
        <w:t>根据《关于进一步加强环境影响评价管理防范环境风险的通知》（环发[2012]77 号）的要求，通过对污染事故的风险评价，各有关企业单位应制定防止重大环境污染事故的工作计划，消除事故隐患及突发性事故应急处理办法等。</w:t>
      </w:r>
    </w:p>
    <w:p>
      <w:pPr>
        <w:ind w:firstLine="480"/>
      </w:pPr>
      <w:r>
        <w:rPr>
          <w:rFonts w:hint="eastAsia"/>
        </w:rPr>
        <w:t>1、总要求</w:t>
      </w:r>
    </w:p>
    <w:p>
      <w:pPr>
        <w:ind w:firstLine="480"/>
      </w:pPr>
      <w:r>
        <w:rPr>
          <w:rFonts w:hint="eastAsia"/>
        </w:rPr>
        <w:t>应急组织要坚持“主动预防、积极抢救”的原则，应能够处理疫情、火灾爆炸等突发事故，进行快速的反应和正确的处理处置。</w:t>
      </w:r>
    </w:p>
    <w:p>
      <w:pPr>
        <w:ind w:firstLine="480"/>
      </w:pPr>
      <w:r>
        <w:rPr>
          <w:rFonts w:hint="eastAsia"/>
        </w:rPr>
        <w:t>2、快速的反应</w:t>
      </w:r>
    </w:p>
    <w:p>
      <w:pPr>
        <w:ind w:firstLine="480"/>
      </w:pPr>
      <w:r>
        <w:rPr>
          <w:rFonts w:hint="eastAsia"/>
        </w:rPr>
        <w:t>迅速查清事故发生的位置、环境、规模及可能产生的危害；迅速沟通应急领导机构、应急队伍、辅助人员以及灾害区内部人员之间的联络；迅速启动各类应急设施、调动应急人员；迅速组织医疗、后勤、保卫等队伍各司其责；迅速通报灾情，通知相关方做好各项必要的准备。</w:t>
      </w:r>
    </w:p>
    <w:p>
      <w:pPr>
        <w:ind w:firstLine="480"/>
      </w:pPr>
      <w:r>
        <w:rPr>
          <w:rFonts w:hint="eastAsia"/>
        </w:rPr>
        <w:t>3、正确的措施</w:t>
      </w:r>
    </w:p>
    <w:p>
      <w:pPr>
        <w:ind w:firstLine="480"/>
      </w:pPr>
      <w:r>
        <w:rPr>
          <w:rFonts w:hint="eastAsia"/>
        </w:rPr>
        <w:t>保护或设置好避灾通道和安全联络设备，撤离受灾人员。采取必要的自救措施，力争迅速消灭疫情或灾害，并注意采取隔离措施。</w:t>
      </w:r>
    </w:p>
    <w:p>
      <w:pPr>
        <w:pStyle w:val="4"/>
      </w:pPr>
      <w:r>
        <w:rPr>
          <w:rFonts w:hint="eastAsia"/>
        </w:rPr>
        <w:t>应急预案</w:t>
      </w:r>
      <w:r>
        <w:t>内容</w:t>
      </w:r>
    </w:p>
    <w:p>
      <w:pPr>
        <w:ind w:firstLine="480"/>
      </w:pPr>
      <w:r>
        <w:rPr>
          <w:rFonts w:hint="eastAsia"/>
        </w:rPr>
        <w:t>应急预案计划应包括：</w:t>
      </w:r>
    </w:p>
    <w:p>
      <w:pPr>
        <w:ind w:firstLine="480"/>
      </w:pPr>
      <w:r>
        <w:rPr>
          <w:rFonts w:hint="eastAsia"/>
        </w:rPr>
        <w:t>1、进行应急反应和事故控制的组织、责任、授权人和程序，包括内部和外部通讯；</w:t>
      </w:r>
    </w:p>
    <w:p>
      <w:pPr>
        <w:ind w:firstLine="480"/>
      </w:pPr>
      <w:r>
        <w:rPr>
          <w:rFonts w:hint="eastAsia"/>
        </w:rPr>
        <w:t>2、提供人员避险、撤退、救援和医疗处理的系统和程序；</w:t>
      </w:r>
    </w:p>
    <w:p>
      <w:pPr>
        <w:ind w:firstLine="480"/>
      </w:pPr>
      <w:r>
        <w:rPr>
          <w:rFonts w:hint="eastAsia"/>
        </w:rPr>
        <w:t>3、防止、削减和监测应急行动产生的环境影响的系统和程序；</w:t>
      </w:r>
    </w:p>
    <w:p>
      <w:pPr>
        <w:ind w:firstLine="480"/>
      </w:pPr>
      <w:r>
        <w:rPr>
          <w:rFonts w:hint="eastAsia"/>
        </w:rPr>
        <w:t>4、与授权人、有关人员和相关方通讯联系的程序；</w:t>
      </w:r>
    </w:p>
    <w:p>
      <w:pPr>
        <w:ind w:firstLine="480"/>
      </w:pPr>
      <w:r>
        <w:rPr>
          <w:rFonts w:hint="eastAsia"/>
        </w:rPr>
        <w:t>5、调动地方资源进行应急支持的安排和程序；</w:t>
      </w:r>
    </w:p>
    <w:p>
      <w:pPr>
        <w:ind w:firstLine="480"/>
      </w:pPr>
      <w:r>
        <w:rPr>
          <w:rFonts w:hint="eastAsia"/>
        </w:rPr>
        <w:t>6、训练应急反应和试验应急系统和程序的安排。</w:t>
      </w:r>
    </w:p>
    <w:p>
      <w:pPr>
        <w:ind w:firstLine="480"/>
        <w:rPr>
          <w:b/>
          <w:sz w:val="21"/>
          <w:szCs w:val="24"/>
        </w:rPr>
      </w:pPr>
      <w:r>
        <w:t>应急预案的主要内容</w:t>
      </w:r>
      <w:r>
        <w:rPr>
          <w:rFonts w:hint="eastAsia"/>
        </w:rPr>
        <w:t>见</w:t>
      </w:r>
      <w:r>
        <w:t>表</w:t>
      </w:r>
      <w:r>
        <w:rPr>
          <w:rFonts w:hint="eastAsia"/>
        </w:rPr>
        <w:t>6.9-1。</w:t>
      </w:r>
      <w:bookmarkStart w:id="176" w:name="_Ref25768370"/>
    </w:p>
    <w:p>
      <w:pPr>
        <w:spacing w:line="240" w:lineRule="auto"/>
        <w:ind w:firstLine="0" w:firstLineChars="0"/>
        <w:jc w:val="center"/>
        <w:rPr>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6.9</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176"/>
      <w:r>
        <w:rPr>
          <w:b/>
          <w:sz w:val="21"/>
          <w:szCs w:val="24"/>
        </w:rPr>
        <w:t>风险事故应急预案的主要内容</w:t>
      </w:r>
    </w:p>
    <w:tbl>
      <w:tblPr>
        <w:tblStyle w:val="99"/>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835"/>
        <w:gridCol w:w="47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项目</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应急计划区</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危险目标：危险品库、生产车间、环境保护目标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应急组织机构、人员</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企业、地区应急组织机构、人员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应急分级响应条件</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规定预案的级别及分级响应程序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应急救援保障</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应急设施</w:t>
            </w:r>
            <w:r>
              <w:rPr>
                <w:rFonts w:hint="eastAsia"/>
                <w:kern w:val="0"/>
                <w:sz w:val="21"/>
                <w:szCs w:val="20"/>
              </w:rPr>
              <w:t>、</w:t>
            </w:r>
            <w:r>
              <w:rPr>
                <w:kern w:val="0"/>
                <w:sz w:val="21"/>
                <w:szCs w:val="20"/>
              </w:rPr>
              <w:t>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报警、通讯联络方式</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应急环境监测、抢险、救援及控制措施</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由专业队伍负责对事故现场进行</w:t>
            </w:r>
            <w:r>
              <w:rPr>
                <w:rFonts w:hint="eastAsia"/>
                <w:kern w:val="0"/>
                <w:sz w:val="21"/>
                <w:szCs w:val="20"/>
              </w:rPr>
              <w:t>检查</w:t>
            </w:r>
            <w:r>
              <w:rPr>
                <w:kern w:val="0"/>
                <w:sz w:val="21"/>
                <w:szCs w:val="20"/>
              </w:rPr>
              <w:t>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应急检测、防护措施、清除泄漏措施和器材</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人员紧急撤离、疏散，应急剂量控制、撤离组织计划</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事故现场、工厂邻近区、受事故影响的区域人员及公众对毒物应急剂量控制规定，撤离组织计划及救护，医疗救护与公众健康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事故应急救援关闭程序与恢复措施</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规定应急状态终止程序</w:t>
            </w:r>
          </w:p>
          <w:p>
            <w:pPr>
              <w:tabs>
                <w:tab w:val="left" w:pos="2340"/>
              </w:tabs>
              <w:adjustRightInd/>
              <w:spacing w:line="240" w:lineRule="auto"/>
              <w:ind w:firstLine="0" w:firstLineChars="0"/>
              <w:jc w:val="center"/>
              <w:rPr>
                <w:kern w:val="0"/>
                <w:sz w:val="21"/>
                <w:szCs w:val="20"/>
              </w:rPr>
            </w:pPr>
            <w:r>
              <w:rPr>
                <w:kern w:val="0"/>
                <w:sz w:val="21"/>
                <w:szCs w:val="20"/>
              </w:rPr>
              <w:t>事故现场善后处理，恢复措施</w:t>
            </w:r>
          </w:p>
          <w:p>
            <w:pPr>
              <w:tabs>
                <w:tab w:val="left" w:pos="2340"/>
              </w:tabs>
              <w:adjustRightInd/>
              <w:spacing w:line="240" w:lineRule="auto"/>
              <w:ind w:firstLine="0" w:firstLineChars="0"/>
              <w:jc w:val="center"/>
              <w:rPr>
                <w:kern w:val="0"/>
                <w:sz w:val="21"/>
                <w:szCs w:val="20"/>
              </w:rPr>
            </w:pPr>
            <w:r>
              <w:rPr>
                <w:kern w:val="0"/>
                <w:sz w:val="21"/>
                <w:szCs w:val="20"/>
              </w:rPr>
              <w:t>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应急培训计划</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numPr>
                <w:ilvl w:val="0"/>
                <w:numId w:val="19"/>
              </w:numPr>
              <w:autoSpaceDE w:val="0"/>
              <w:autoSpaceDN w:val="0"/>
              <w:adjustRightInd/>
              <w:snapToGrid/>
              <w:spacing w:line="240" w:lineRule="auto"/>
              <w:ind w:firstLineChars="0"/>
              <w:jc w:val="center"/>
              <w:textAlignment w:val="bottom"/>
              <w:rPr>
                <w:kern w:val="0"/>
                <w:sz w:val="21"/>
                <w:szCs w:val="20"/>
              </w:rPr>
            </w:pPr>
          </w:p>
        </w:tc>
        <w:tc>
          <w:tcPr>
            <w:tcW w:w="2835" w:type="dxa"/>
            <w:vAlign w:val="center"/>
          </w:tcPr>
          <w:p>
            <w:pPr>
              <w:tabs>
                <w:tab w:val="left" w:pos="2340"/>
              </w:tabs>
              <w:adjustRightInd/>
              <w:spacing w:line="240" w:lineRule="auto"/>
              <w:ind w:firstLine="0" w:firstLineChars="0"/>
              <w:jc w:val="center"/>
              <w:rPr>
                <w:kern w:val="0"/>
                <w:sz w:val="21"/>
                <w:szCs w:val="20"/>
              </w:rPr>
            </w:pPr>
            <w:r>
              <w:rPr>
                <w:kern w:val="0"/>
                <w:sz w:val="21"/>
                <w:szCs w:val="20"/>
              </w:rPr>
              <w:t>公众教育和信息</w:t>
            </w:r>
          </w:p>
        </w:tc>
        <w:tc>
          <w:tcPr>
            <w:tcW w:w="4747" w:type="dxa"/>
            <w:vAlign w:val="center"/>
          </w:tcPr>
          <w:p>
            <w:pPr>
              <w:tabs>
                <w:tab w:val="left" w:pos="2340"/>
              </w:tabs>
              <w:adjustRightInd/>
              <w:spacing w:line="240" w:lineRule="auto"/>
              <w:ind w:firstLine="0" w:firstLineChars="0"/>
              <w:jc w:val="center"/>
              <w:rPr>
                <w:kern w:val="0"/>
                <w:sz w:val="21"/>
                <w:szCs w:val="20"/>
              </w:rPr>
            </w:pPr>
            <w:r>
              <w:rPr>
                <w:kern w:val="0"/>
                <w:sz w:val="21"/>
                <w:szCs w:val="20"/>
              </w:rPr>
              <w:t>对工厂邻近地区开展公众教育、培训和发布有关信息</w:t>
            </w:r>
          </w:p>
        </w:tc>
      </w:tr>
    </w:tbl>
    <w:p>
      <w:pPr>
        <w:pStyle w:val="3"/>
      </w:pPr>
      <w:bookmarkStart w:id="177" w:name="_Toc108422248"/>
      <w:r>
        <w:rPr>
          <w:rFonts w:hint="eastAsia"/>
        </w:rPr>
        <w:t>风险</w:t>
      </w:r>
      <w:r>
        <w:t>评价小结</w:t>
      </w:r>
      <w:bookmarkEnd w:id="177"/>
    </w:p>
    <w:p>
      <w:pPr>
        <w:ind w:firstLine="480"/>
      </w:pPr>
      <w:r>
        <w:rPr>
          <w:rFonts w:hint="eastAsia"/>
        </w:rPr>
        <w:t>本项目存在的环境风险主要为沼气泄漏、发生火灾爆炸等风险。根据风险事故的特点，评价对项目存在的环境风险提出了相应的措施和应急预案。在采取有效的防范措施和应急预案后，本项目的风险水平是可防可控的。</w:t>
      </w:r>
    </w:p>
    <w:p>
      <w:pPr>
        <w:ind w:firstLine="480"/>
      </w:pPr>
      <w:r>
        <w:rPr>
          <w:rFonts w:hint="eastAsia"/>
        </w:rPr>
        <w:t>项目</w:t>
      </w:r>
      <w:r>
        <w:t>环境风险简单分析内容见表6.10</w:t>
      </w:r>
      <w:r>
        <w:rPr>
          <w:rFonts w:hint="eastAsia"/>
        </w:rPr>
        <w:t>-1。</w:t>
      </w:r>
    </w:p>
    <w:p>
      <w:pPr>
        <w:spacing w:line="240" w:lineRule="auto"/>
        <w:ind w:firstLine="0" w:firstLineChars="0"/>
        <w:jc w:val="center"/>
        <w:rPr>
          <w:b/>
          <w:bCs/>
          <w:szCs w:val="32"/>
          <w:lang w:bidi="ar"/>
        </w:rPr>
      </w:pPr>
      <w:r>
        <w:rPr>
          <w:rFonts w:hint="eastAsia"/>
          <w:b/>
          <w:bCs/>
          <w:szCs w:val="32"/>
          <w:lang w:bidi="ar"/>
        </w:rPr>
        <w:t>表</w:t>
      </w:r>
      <w:r>
        <w:rPr>
          <w:b/>
          <w:bCs/>
          <w:szCs w:val="32"/>
          <w:lang w:bidi="ar"/>
        </w:rPr>
        <w:t xml:space="preserve">6.10-1  </w:t>
      </w:r>
      <w:r>
        <w:rPr>
          <w:rFonts w:hint="eastAsia"/>
          <w:b/>
          <w:bCs/>
          <w:szCs w:val="32"/>
          <w:lang w:bidi="ar"/>
        </w:rPr>
        <w:t>建设项目环境风险简单分析内容表</w:t>
      </w:r>
    </w:p>
    <w:tbl>
      <w:tblPr>
        <w:tblStyle w:val="27"/>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457"/>
        <w:gridCol w:w="1821"/>
        <w:gridCol w:w="1805"/>
        <w:gridCol w:w="2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建设项目名称</w:t>
            </w:r>
          </w:p>
        </w:tc>
        <w:tc>
          <w:tcPr>
            <w:tcW w:w="7155" w:type="dxa"/>
            <w:gridSpan w:val="4"/>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陕西</w:t>
            </w:r>
            <w:r>
              <w:rPr>
                <w:kern w:val="0"/>
                <w:sz w:val="21"/>
                <w:szCs w:val="20"/>
              </w:rPr>
              <w:t>绿森园</w:t>
            </w:r>
            <w:r>
              <w:rPr>
                <w:rFonts w:hint="eastAsia"/>
                <w:kern w:val="0"/>
                <w:sz w:val="21"/>
                <w:szCs w:val="20"/>
              </w:rPr>
              <w:t>牧业</w:t>
            </w:r>
            <w:r>
              <w:rPr>
                <w:kern w:val="0"/>
                <w:sz w:val="21"/>
                <w:szCs w:val="20"/>
              </w:rPr>
              <w:t>有限公司种养殖项目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建设地点</w:t>
            </w:r>
          </w:p>
        </w:tc>
        <w:tc>
          <w:tcPr>
            <w:tcW w:w="1457"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（陕西）省</w:t>
            </w:r>
          </w:p>
        </w:tc>
        <w:tc>
          <w:tcPr>
            <w:tcW w:w="1821"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w:t>
            </w:r>
            <w:r>
              <w:rPr>
                <w:rFonts w:hint="eastAsia"/>
                <w:kern w:val="0"/>
                <w:sz w:val="21"/>
                <w:szCs w:val="20"/>
              </w:rPr>
              <w:t>安康</w:t>
            </w:r>
            <w:r>
              <w:rPr>
                <w:kern w:val="0"/>
                <w:sz w:val="21"/>
                <w:szCs w:val="20"/>
              </w:rPr>
              <w:t>）市</w:t>
            </w:r>
          </w:p>
        </w:tc>
        <w:tc>
          <w:tcPr>
            <w:tcW w:w="1805"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旬阳市</w:t>
            </w:r>
          </w:p>
        </w:tc>
        <w:tc>
          <w:tcPr>
            <w:tcW w:w="207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关口镇</w:t>
            </w:r>
            <w:r>
              <w:rPr>
                <w:kern w:val="0"/>
                <w:sz w:val="21"/>
                <w:szCs w:val="20"/>
              </w:rPr>
              <w:t>关坪村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地理坐标</w:t>
            </w:r>
          </w:p>
        </w:tc>
        <w:tc>
          <w:tcPr>
            <w:tcW w:w="1457"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经度</w:t>
            </w:r>
          </w:p>
        </w:tc>
        <w:tc>
          <w:tcPr>
            <w:tcW w:w="1821"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109°36'51.45"</w:t>
            </w:r>
          </w:p>
        </w:tc>
        <w:tc>
          <w:tcPr>
            <w:tcW w:w="1805"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纬度</w:t>
            </w:r>
          </w:p>
        </w:tc>
        <w:tc>
          <w:tcPr>
            <w:tcW w:w="207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32°56'18.8</w:t>
            </w:r>
            <w:r>
              <w:rPr>
                <w:rFonts w:hint="eastAsia"/>
                <w:kern w:val="0"/>
                <w:sz w:val="21"/>
                <w:szCs w:val="20"/>
              </w:rPr>
              <w:t>6</w:t>
            </w:r>
            <w:r>
              <w:rPr>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主要危险物质分布</w:t>
            </w:r>
          </w:p>
        </w:tc>
        <w:tc>
          <w:tcPr>
            <w:tcW w:w="7155" w:type="dxa"/>
            <w:gridSpan w:val="4"/>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本项目涉及的危险物质为</w:t>
            </w:r>
            <w:r>
              <w:rPr>
                <w:rFonts w:hint="eastAsia"/>
                <w:kern w:val="0"/>
                <w:sz w:val="21"/>
                <w:szCs w:val="20"/>
              </w:rPr>
              <w:t>沼气，主要风险源为厌氧</w:t>
            </w:r>
            <w:r>
              <w:rPr>
                <w:kern w:val="0"/>
                <w:sz w:val="21"/>
                <w:szCs w:val="20"/>
              </w:rPr>
              <w:t>发酵池</w:t>
            </w:r>
            <w:r>
              <w:rPr>
                <w:rFonts w:hint="eastAsia"/>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highlight w:val="yellow"/>
              </w:rPr>
            </w:pPr>
            <w:r>
              <w:rPr>
                <w:kern w:val="0"/>
                <w:sz w:val="21"/>
                <w:szCs w:val="20"/>
              </w:rPr>
              <w:t xml:space="preserve">环境影响途径及危险后果（大气、地表水、地下水等） </w:t>
            </w:r>
          </w:p>
        </w:tc>
        <w:tc>
          <w:tcPr>
            <w:tcW w:w="7155" w:type="dxa"/>
            <w:gridSpan w:val="4"/>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①污水处理系统事故排放；</w:t>
            </w:r>
          </w:p>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②沼气</w:t>
            </w:r>
            <w:r>
              <w:rPr>
                <w:kern w:val="0"/>
                <w:sz w:val="21"/>
                <w:szCs w:val="20"/>
              </w:rPr>
              <w:t>泄漏</w:t>
            </w:r>
            <w:r>
              <w:rPr>
                <w:rFonts w:hint="eastAsia"/>
                <w:kern w:val="0"/>
                <w:sz w:val="21"/>
                <w:szCs w:val="20"/>
              </w:rPr>
              <w:t>、</w:t>
            </w:r>
            <w:r>
              <w:rPr>
                <w:kern w:val="0"/>
                <w:sz w:val="21"/>
                <w:szCs w:val="20"/>
              </w:rPr>
              <w:t>以及</w:t>
            </w:r>
            <w:r>
              <w:rPr>
                <w:rFonts w:hint="eastAsia"/>
                <w:kern w:val="0"/>
                <w:sz w:val="21"/>
                <w:szCs w:val="20"/>
              </w:rPr>
              <w:t>火灾</w:t>
            </w:r>
            <w:r>
              <w:rPr>
                <w:kern w:val="0"/>
                <w:sz w:val="21"/>
                <w:szCs w:val="20"/>
              </w:rPr>
              <w:t>爆炸引起</w:t>
            </w:r>
            <w:r>
              <w:rPr>
                <w:rFonts w:hint="eastAsia"/>
                <w:kern w:val="0"/>
                <w:sz w:val="21"/>
                <w:szCs w:val="20"/>
              </w:rPr>
              <w:t>的</w:t>
            </w:r>
            <w:r>
              <w:rPr>
                <w:kern w:val="0"/>
                <w:sz w:val="21"/>
                <w:szCs w:val="20"/>
              </w:rPr>
              <w:t>伴生</w:t>
            </w:r>
            <w:r>
              <w:rPr>
                <w:rFonts w:hint="eastAsia"/>
                <w:kern w:val="0"/>
                <w:sz w:val="21"/>
                <w:szCs w:val="20"/>
              </w:rPr>
              <w:t>/次生</w:t>
            </w:r>
            <w:r>
              <w:rPr>
                <w:kern w:val="0"/>
                <w:sz w:val="21"/>
                <w:szCs w:val="20"/>
              </w:rPr>
              <w:t>环境问题</w:t>
            </w:r>
            <w:r>
              <w:rPr>
                <w:rFonts w:hint="eastAsia"/>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highlight w:val="yellow"/>
              </w:rPr>
            </w:pPr>
            <w:r>
              <w:rPr>
                <w:kern w:val="0"/>
                <w:sz w:val="21"/>
                <w:szCs w:val="20"/>
              </w:rPr>
              <w:t>风险防范措施要求</w:t>
            </w:r>
          </w:p>
        </w:tc>
        <w:tc>
          <w:tcPr>
            <w:tcW w:w="7155" w:type="dxa"/>
            <w:gridSpan w:val="4"/>
            <w:tcBorders>
              <w:tl2br w:val="nil"/>
              <w:tr2bl w:val="nil"/>
            </w:tcBorders>
            <w:vAlign w:val="center"/>
          </w:tcPr>
          <w:p>
            <w:pPr>
              <w:widowControl/>
              <w:autoSpaceDE w:val="0"/>
              <w:autoSpaceDN w:val="0"/>
              <w:spacing w:line="240" w:lineRule="auto"/>
              <w:ind w:firstLine="0" w:firstLineChars="0"/>
              <w:textAlignment w:val="bottom"/>
              <w:rPr>
                <w:kern w:val="0"/>
                <w:sz w:val="21"/>
                <w:szCs w:val="20"/>
              </w:rPr>
            </w:pPr>
            <w:r>
              <w:rPr>
                <w:rFonts w:hint="eastAsia" w:ascii="宋体" w:hAnsi="宋体" w:cs="宋体"/>
                <w:kern w:val="0"/>
                <w:sz w:val="21"/>
                <w:szCs w:val="20"/>
              </w:rPr>
              <w:t>①</w:t>
            </w:r>
            <w:r>
              <w:rPr>
                <w:rFonts w:hint="eastAsia"/>
                <w:kern w:val="0"/>
                <w:sz w:val="21"/>
                <w:szCs w:val="20"/>
              </w:rPr>
              <w:t>污水</w:t>
            </w:r>
            <w:r>
              <w:rPr>
                <w:kern w:val="0"/>
                <w:sz w:val="21"/>
                <w:szCs w:val="20"/>
              </w:rPr>
              <w:t>处理事故排放</w:t>
            </w:r>
            <w:r>
              <w:rPr>
                <w:rFonts w:hint="eastAsia"/>
                <w:kern w:val="0"/>
                <w:sz w:val="21"/>
                <w:szCs w:val="20"/>
              </w:rPr>
              <w:t>：一旦出现事故性排放，应立即停止处理出水排放，废水进沼液</w:t>
            </w:r>
            <w:r>
              <w:rPr>
                <w:kern w:val="0"/>
                <w:sz w:val="21"/>
                <w:szCs w:val="20"/>
              </w:rPr>
              <w:t>暂存池</w:t>
            </w:r>
            <w:r>
              <w:rPr>
                <w:rFonts w:hint="eastAsia"/>
                <w:kern w:val="0"/>
                <w:sz w:val="21"/>
                <w:szCs w:val="20"/>
              </w:rPr>
              <w:t>储存，排除故障后，再进行正常运行，坚决不允许废水不经处理直接排放，</w:t>
            </w:r>
            <w:r>
              <w:rPr>
                <w:kern w:val="0"/>
                <w:sz w:val="21"/>
                <w:szCs w:val="20"/>
              </w:rPr>
              <w:t>沼液暂存池容积</w:t>
            </w:r>
            <w:r>
              <w:rPr>
                <w:rFonts w:hint="eastAsia"/>
                <w:kern w:val="0"/>
                <w:sz w:val="21"/>
                <w:szCs w:val="20"/>
              </w:rPr>
              <w:t>2</w:t>
            </w:r>
            <w:r>
              <w:rPr>
                <w:kern w:val="0"/>
                <w:sz w:val="21"/>
                <w:szCs w:val="20"/>
              </w:rPr>
              <w:t>800m</w:t>
            </w:r>
            <w:r>
              <w:rPr>
                <w:kern w:val="0"/>
                <w:sz w:val="21"/>
                <w:szCs w:val="20"/>
                <w:vertAlign w:val="superscript"/>
              </w:rPr>
              <w:t>3</w:t>
            </w:r>
            <w:r>
              <w:rPr>
                <w:kern w:val="0"/>
                <w:sz w:val="21"/>
                <w:szCs w:val="20"/>
              </w:rPr>
              <w:t>，</w:t>
            </w:r>
            <w:r>
              <w:rPr>
                <w:rFonts w:hint="eastAsia"/>
                <w:kern w:val="0"/>
                <w:sz w:val="21"/>
                <w:szCs w:val="20"/>
              </w:rPr>
              <w:t>暂存池</w:t>
            </w:r>
            <w:r>
              <w:rPr>
                <w:kern w:val="0"/>
                <w:sz w:val="21"/>
                <w:szCs w:val="20"/>
              </w:rPr>
              <w:t>容积能</w:t>
            </w:r>
            <w:r>
              <w:rPr>
                <w:rFonts w:hint="eastAsia"/>
                <w:kern w:val="0"/>
                <w:sz w:val="21"/>
                <w:szCs w:val="20"/>
              </w:rPr>
              <w:t>容纳</w:t>
            </w:r>
            <w:r>
              <w:rPr>
                <w:kern w:val="0"/>
                <w:sz w:val="21"/>
                <w:szCs w:val="20"/>
              </w:rPr>
              <w:t>足够数量的事故</w:t>
            </w:r>
            <w:r>
              <w:rPr>
                <w:rFonts w:hint="eastAsia"/>
                <w:kern w:val="0"/>
                <w:sz w:val="21"/>
                <w:szCs w:val="20"/>
              </w:rPr>
              <w:t>废水</w:t>
            </w:r>
            <w:r>
              <w:rPr>
                <w:kern w:val="0"/>
                <w:sz w:val="21"/>
                <w:szCs w:val="20"/>
              </w:rPr>
              <w:t>，满足应急储存要求。</w:t>
            </w:r>
          </w:p>
          <w:p>
            <w:pPr>
              <w:widowControl/>
              <w:autoSpaceDE w:val="0"/>
              <w:autoSpaceDN w:val="0"/>
              <w:spacing w:line="240" w:lineRule="auto"/>
              <w:ind w:firstLine="0" w:firstLineChars="0"/>
              <w:jc w:val="left"/>
              <w:textAlignment w:val="bottom"/>
              <w:rPr>
                <w:kern w:val="0"/>
                <w:sz w:val="21"/>
                <w:szCs w:val="20"/>
              </w:rPr>
            </w:pPr>
            <w:r>
              <w:rPr>
                <w:rFonts w:hint="eastAsia"/>
                <w:kern w:val="0"/>
                <w:sz w:val="21"/>
                <w:szCs w:val="20"/>
              </w:rPr>
              <w:t>②沼气</w:t>
            </w:r>
            <w:r>
              <w:rPr>
                <w:kern w:val="0"/>
                <w:sz w:val="21"/>
                <w:szCs w:val="20"/>
              </w:rPr>
              <w:t>泄漏</w:t>
            </w:r>
            <w:r>
              <w:rPr>
                <w:rFonts w:hint="eastAsia"/>
                <w:kern w:val="0"/>
                <w:sz w:val="21"/>
                <w:szCs w:val="20"/>
              </w:rPr>
              <w:t>的风险：在沼气脱硫装置出口管线上设置消焰器，制订详细的操作规程及岗位安全作业指导书，并严格监督落实；强化安全管理，强化职工风险意识。</w:t>
            </w:r>
          </w:p>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本项目企业应针对上述环境风险事故，制定相应的环境风险防范措施和环境风险应急预案，同时应配备相应的应急物质和应急设备。应急预案应定期演练和修编，以使得应急措施不断完善和及时有效地处置发的环境风险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287" w:type="dxa"/>
            <w:gridSpan w:val="5"/>
            <w:tcBorders>
              <w:tl2br w:val="nil"/>
              <w:tr2bl w:val="nil"/>
            </w:tcBorders>
            <w:vAlign w:val="center"/>
          </w:tcPr>
          <w:p>
            <w:pPr>
              <w:widowControl/>
              <w:autoSpaceDE w:val="0"/>
              <w:autoSpaceDN w:val="0"/>
              <w:spacing w:line="240" w:lineRule="auto"/>
              <w:ind w:firstLine="0" w:firstLineChars="0"/>
              <w:jc w:val="center"/>
              <w:textAlignment w:val="bottom"/>
              <w:rPr>
                <w:kern w:val="0"/>
                <w:sz w:val="21"/>
                <w:szCs w:val="20"/>
              </w:rPr>
            </w:pPr>
            <w:r>
              <w:rPr>
                <w:b/>
                <w:kern w:val="0"/>
                <w:sz w:val="21"/>
                <w:szCs w:val="20"/>
              </w:rPr>
              <w:t>填表说明：</w:t>
            </w:r>
            <w:r>
              <w:rPr>
                <w:kern w:val="0"/>
                <w:sz w:val="21"/>
                <w:szCs w:val="20"/>
              </w:rPr>
              <w:t xml:space="preserve"> 本项目环境风险潜势为</w:t>
            </w:r>
            <w:r>
              <w:rPr>
                <w:rFonts w:hint="eastAsia" w:ascii="宋体" w:hAnsi="宋体" w:cs="宋体"/>
                <w:kern w:val="0"/>
                <w:sz w:val="21"/>
                <w:szCs w:val="20"/>
              </w:rPr>
              <w:t>Ⅰ</w:t>
            </w:r>
            <w:r>
              <w:rPr>
                <w:rFonts w:hint="eastAsia"/>
                <w:kern w:val="0"/>
                <w:sz w:val="21"/>
                <w:szCs w:val="20"/>
              </w:rPr>
              <w:t xml:space="preserve">级，环境风险评价工作等级为简单分析。在各环境风险防范措施落实到位的情况下，将可大大降低建设项目的环境风险。 </w:t>
            </w:r>
          </w:p>
        </w:tc>
      </w:tr>
    </w:tbl>
    <w:p>
      <w:pPr>
        <w:ind w:firstLine="480"/>
        <w:sectPr>
          <w:headerReference r:id="rId53" w:type="default"/>
          <w:headerReference r:id="rId54" w:type="even"/>
          <w:pgSz w:w="11906" w:h="16838"/>
          <w:pgMar w:top="1440" w:right="1800" w:bottom="1440" w:left="1800" w:header="992" w:footer="992" w:gutter="0"/>
          <w:pgNumType w:fmt="numberInDash"/>
          <w:cols w:space="425" w:num="1"/>
          <w:docGrid w:type="lines" w:linePitch="326" w:charSpace="0"/>
        </w:sectPr>
      </w:pPr>
    </w:p>
    <w:p>
      <w:pPr>
        <w:pStyle w:val="2"/>
      </w:pPr>
      <w:bookmarkStart w:id="178" w:name="_Toc108422249"/>
      <w:bookmarkStart w:id="179" w:name="_Toc488102180"/>
      <w:r>
        <w:rPr>
          <w:rFonts w:hint="eastAsia"/>
        </w:rPr>
        <w:t>环境保护措施及其可行性论证</w:t>
      </w:r>
      <w:bookmarkEnd w:id="178"/>
      <w:bookmarkEnd w:id="179"/>
    </w:p>
    <w:p>
      <w:pPr>
        <w:pStyle w:val="3"/>
      </w:pPr>
      <w:bookmarkStart w:id="180" w:name="_Toc108422250"/>
      <w:bookmarkStart w:id="181" w:name="_Toc29310"/>
      <w:bookmarkStart w:id="182" w:name="_Toc400975797"/>
      <w:bookmarkStart w:id="183" w:name="_Toc406942398"/>
      <w:bookmarkStart w:id="184" w:name="_Toc488102181"/>
      <w:bookmarkStart w:id="185" w:name="_Toc24232"/>
      <w:bookmarkStart w:id="186" w:name="_Toc382810920"/>
      <w:bookmarkStart w:id="187" w:name="_Toc30659"/>
      <w:bookmarkStart w:id="188" w:name="_Toc391912418"/>
      <w:r>
        <w:t>施工期污染防治措施及技术经济分析</w:t>
      </w:r>
      <w:bookmarkEnd w:id="180"/>
      <w:bookmarkEnd w:id="181"/>
      <w:bookmarkEnd w:id="182"/>
      <w:bookmarkEnd w:id="183"/>
      <w:bookmarkEnd w:id="184"/>
      <w:bookmarkEnd w:id="185"/>
      <w:bookmarkEnd w:id="186"/>
      <w:bookmarkEnd w:id="187"/>
      <w:bookmarkEnd w:id="188"/>
    </w:p>
    <w:p>
      <w:pPr>
        <w:ind w:firstLine="480"/>
      </w:pPr>
      <w:r>
        <w:rPr>
          <w:rFonts w:hint="eastAsia"/>
        </w:rPr>
        <w:t>项目属于“未批先建”项目，根据现场调查，项目施工阶段已经结束，无遗留施工期环境问题，本次评价不再对施工期进行评价。</w:t>
      </w:r>
    </w:p>
    <w:p>
      <w:pPr>
        <w:pStyle w:val="3"/>
      </w:pPr>
      <w:bookmarkStart w:id="189" w:name="_Toc447"/>
      <w:bookmarkEnd w:id="189"/>
      <w:bookmarkStart w:id="190" w:name="_Toc18600"/>
      <w:bookmarkEnd w:id="190"/>
      <w:bookmarkStart w:id="191" w:name="_Toc406942399"/>
      <w:bookmarkEnd w:id="191"/>
      <w:bookmarkStart w:id="192" w:name="_Toc391912419"/>
      <w:bookmarkEnd w:id="192"/>
      <w:bookmarkStart w:id="193" w:name="_Toc24687"/>
      <w:bookmarkEnd w:id="193"/>
      <w:bookmarkStart w:id="194" w:name="_Toc400975798"/>
      <w:bookmarkEnd w:id="194"/>
      <w:bookmarkStart w:id="195" w:name="_Toc382810921"/>
      <w:bookmarkEnd w:id="195"/>
      <w:bookmarkStart w:id="196" w:name="_Toc108422251"/>
      <w:bookmarkStart w:id="197" w:name="_Toc488102182"/>
      <w:bookmarkStart w:id="198" w:name="_Toc12923"/>
      <w:bookmarkStart w:id="199" w:name="_Toc400975803"/>
      <w:bookmarkStart w:id="200" w:name="_Toc391912424"/>
      <w:bookmarkStart w:id="201" w:name="_Toc754"/>
      <w:bookmarkStart w:id="202" w:name="_Toc29931"/>
      <w:bookmarkStart w:id="203" w:name="_Toc406942404"/>
      <w:r>
        <w:t>运营期污染防治措施及技术经济分析</w:t>
      </w:r>
      <w:bookmarkEnd w:id="196"/>
      <w:bookmarkEnd w:id="197"/>
      <w:bookmarkEnd w:id="198"/>
      <w:bookmarkEnd w:id="199"/>
      <w:bookmarkEnd w:id="200"/>
      <w:bookmarkEnd w:id="201"/>
      <w:bookmarkEnd w:id="202"/>
      <w:bookmarkEnd w:id="203"/>
    </w:p>
    <w:p>
      <w:pPr>
        <w:pStyle w:val="4"/>
      </w:pPr>
      <w:bookmarkStart w:id="204" w:name="_Toc4363"/>
      <w:bookmarkStart w:id="205" w:name="_Toc9151"/>
      <w:bookmarkStart w:id="206" w:name="_Toc19513"/>
      <w:r>
        <w:t>养殖场污染治理基本要求</w:t>
      </w:r>
      <w:bookmarkEnd w:id="204"/>
      <w:bookmarkEnd w:id="205"/>
      <w:bookmarkEnd w:id="206"/>
    </w:p>
    <w:p>
      <w:pPr>
        <w:ind w:firstLine="480"/>
        <w:rPr>
          <w:bCs/>
        </w:rPr>
      </w:pPr>
      <w:r>
        <w:rPr>
          <w:bCs/>
        </w:rPr>
        <w:t>《畜禽养殖业污染防治技术规范》（HJ/T81-2001）第四条规定：</w:t>
      </w:r>
    </w:p>
    <w:p>
      <w:pPr>
        <w:numPr>
          <w:ilvl w:val="0"/>
          <w:numId w:val="20"/>
        </w:numPr>
        <w:ind w:firstLine="480"/>
        <w:rPr>
          <w:bCs/>
        </w:rPr>
      </w:pPr>
      <w:r>
        <w:rPr>
          <w:bCs/>
        </w:rPr>
        <w:t>新建、改建、扩建的畜禽养殖场应实现生产区、生活管理区的隔离，粪便污水处理设施和畜禽尸体焚烧炉，应设在养殖场的生产区、生活管理区的常年主导风向的下风向或侧风向处。</w:t>
      </w:r>
    </w:p>
    <w:p>
      <w:pPr>
        <w:numPr>
          <w:ilvl w:val="0"/>
          <w:numId w:val="20"/>
        </w:numPr>
        <w:ind w:firstLine="480"/>
        <w:rPr>
          <w:bCs/>
        </w:rPr>
      </w:pPr>
      <w:r>
        <w:rPr>
          <w:bCs/>
        </w:rPr>
        <w:t>养殖场的排水系统应实行雨水和污水收集输送系统分离，在场区内外设置的污水收集输送系统，不得采取明沟布设。</w:t>
      </w:r>
    </w:p>
    <w:p>
      <w:pPr>
        <w:numPr>
          <w:ilvl w:val="0"/>
          <w:numId w:val="20"/>
        </w:numPr>
        <w:ind w:firstLine="480"/>
        <w:rPr>
          <w:bCs/>
        </w:rPr>
      </w:pPr>
      <w:r>
        <w:rPr>
          <w:bCs/>
        </w:rPr>
        <w:t>新建、改建、扩建的畜禽养殖场应采取干清粪工艺，采取有效措施将粪及时、单独清出，不可与尿、污水混合排出，并将产生的粪及时运至贮存或处理场所，实现</w:t>
      </w:r>
      <w:r>
        <w:rPr>
          <w:rFonts w:hint="eastAsia"/>
          <w:bCs/>
        </w:rPr>
        <w:t>及时</w:t>
      </w:r>
      <w:r>
        <w:rPr>
          <w:bCs/>
        </w:rPr>
        <w:t>清运。</w:t>
      </w:r>
    </w:p>
    <w:p>
      <w:pPr>
        <w:pStyle w:val="75"/>
        <w:ind w:firstLine="480"/>
        <w:rPr>
          <w:rFonts w:cs="Times New Roman"/>
          <w:bCs/>
        </w:rPr>
      </w:pPr>
      <w:r>
        <w:rPr>
          <w:rFonts w:hint="eastAsia" w:cs="Times New Roman"/>
          <w:bCs/>
        </w:rPr>
        <w:t>本项目</w:t>
      </w:r>
      <w:r>
        <w:rPr>
          <w:rFonts w:cs="Times New Roman"/>
          <w:bCs/>
        </w:rPr>
        <w:t>养殖场在场区布局上，实行养殖区、办公</w:t>
      </w:r>
      <w:r>
        <w:rPr>
          <w:rFonts w:hint="eastAsia" w:cs="Times New Roman"/>
          <w:bCs/>
        </w:rPr>
        <w:t>管理</w:t>
      </w:r>
      <w:r>
        <w:rPr>
          <w:rFonts w:cs="Times New Roman"/>
          <w:bCs/>
        </w:rPr>
        <w:t>区与</w:t>
      </w:r>
      <w:r>
        <w:rPr>
          <w:rFonts w:hint="eastAsia" w:cs="Times New Roman"/>
          <w:bCs/>
        </w:rPr>
        <w:t>污水</w:t>
      </w:r>
      <w:r>
        <w:rPr>
          <w:rFonts w:cs="Times New Roman"/>
          <w:bCs/>
        </w:rPr>
        <w:t>处理区的三区分离，</w:t>
      </w:r>
      <w:r>
        <w:rPr>
          <w:rFonts w:hint="eastAsia" w:cs="Times New Roman"/>
        </w:rPr>
        <w:t>污水处理区位于生活管理区常年主导风向的下风向</w:t>
      </w:r>
      <w:r>
        <w:rPr>
          <w:rFonts w:cs="Times New Roman"/>
          <w:bCs/>
        </w:rPr>
        <w:t>。场区的平面布置满足规定要求。</w:t>
      </w:r>
    </w:p>
    <w:p>
      <w:pPr>
        <w:ind w:firstLine="480"/>
        <w:rPr>
          <w:bCs/>
        </w:rPr>
      </w:pPr>
      <w:r>
        <w:rPr>
          <w:bCs/>
        </w:rPr>
        <w:t>场区排水系统实现雨、污分流，并采取暗沟布设。雨水经雨水管道排至场区外的田间地沟中。养殖废水则由废水管道收集后，由场区的废水处理设施</w:t>
      </w:r>
      <w:r>
        <w:rPr>
          <w:rFonts w:hint="eastAsia"/>
          <w:bCs/>
        </w:rPr>
        <w:t>处理，</w:t>
      </w:r>
      <w:r>
        <w:rPr>
          <w:bCs/>
        </w:rPr>
        <w:t>处理后的沼液用于农肥。</w:t>
      </w:r>
    </w:p>
    <w:p>
      <w:pPr>
        <w:ind w:firstLine="480"/>
        <w:rPr>
          <w:bCs/>
        </w:rPr>
      </w:pPr>
      <w:r>
        <w:rPr>
          <w:bCs/>
        </w:rPr>
        <w:t>项目采用干清粪工艺，</w:t>
      </w:r>
      <w:r>
        <w:rPr>
          <w:rFonts w:hint="eastAsia"/>
          <w:bCs/>
        </w:rPr>
        <w:t>集粪池</w:t>
      </w:r>
      <w:r>
        <w:rPr>
          <w:bCs/>
        </w:rPr>
        <w:t>中的粪污</w:t>
      </w:r>
      <w:r>
        <w:rPr>
          <w:rFonts w:hint="eastAsia"/>
          <w:bCs/>
        </w:rPr>
        <w:t>经</w:t>
      </w:r>
      <w:r>
        <w:rPr>
          <w:bCs/>
        </w:rPr>
        <w:t>固液分离后</w:t>
      </w:r>
      <w:r>
        <w:rPr>
          <w:rFonts w:hint="eastAsia"/>
          <w:bCs/>
        </w:rPr>
        <w:t>，猪粪</w:t>
      </w:r>
      <w:r>
        <w:rPr>
          <w:bCs/>
        </w:rPr>
        <w:t>外售有机肥厂作为原料</w:t>
      </w:r>
      <w:r>
        <w:rPr>
          <w:rFonts w:hint="eastAsia"/>
          <w:bCs/>
        </w:rPr>
        <w:t>，</w:t>
      </w:r>
      <w:r>
        <w:rPr>
          <w:bCs/>
        </w:rPr>
        <w:t>液体</w:t>
      </w:r>
      <w:r>
        <w:rPr>
          <w:rFonts w:hint="eastAsia"/>
          <w:bCs/>
        </w:rPr>
        <w:t>进入</w:t>
      </w:r>
      <w:r>
        <w:rPr>
          <w:bCs/>
        </w:rPr>
        <w:t>厌氧发酵池</w:t>
      </w:r>
      <w:r>
        <w:rPr>
          <w:rFonts w:hint="eastAsia"/>
          <w:bCs/>
        </w:rPr>
        <w:t>处理</w:t>
      </w:r>
      <w:r>
        <w:rPr>
          <w:bCs/>
        </w:rPr>
        <w:t>后作为种植区魔芋</w:t>
      </w:r>
      <w:r>
        <w:rPr>
          <w:rFonts w:hint="eastAsia"/>
          <w:bCs/>
        </w:rPr>
        <w:t>、</w:t>
      </w:r>
      <w:r>
        <w:rPr>
          <w:bCs/>
        </w:rPr>
        <w:t>特色林果</w:t>
      </w:r>
      <w:r>
        <w:rPr>
          <w:rFonts w:hint="eastAsia"/>
          <w:bCs/>
        </w:rPr>
        <w:t>农田</w:t>
      </w:r>
      <w:r>
        <w:rPr>
          <w:bCs/>
        </w:rPr>
        <w:t>施肥</w:t>
      </w:r>
      <w:r>
        <w:rPr>
          <w:rFonts w:hint="eastAsia"/>
          <w:bCs/>
        </w:rPr>
        <w:t>，</w:t>
      </w:r>
      <w:r>
        <w:rPr>
          <w:bCs/>
        </w:rPr>
        <w:t>满足规定要求。</w:t>
      </w:r>
    </w:p>
    <w:p>
      <w:pPr>
        <w:pStyle w:val="4"/>
      </w:pPr>
      <w:bookmarkStart w:id="207" w:name="_Toc32472"/>
      <w:r>
        <w:t>废气污染防治措施分析</w:t>
      </w:r>
      <w:bookmarkEnd w:id="207"/>
    </w:p>
    <w:p>
      <w:pPr>
        <w:pStyle w:val="5"/>
      </w:pPr>
      <w:r>
        <w:t>恶臭</w:t>
      </w:r>
    </w:p>
    <w:p>
      <w:pPr>
        <w:pStyle w:val="79"/>
        <w:ind w:firstLine="480"/>
      </w:pPr>
      <w:r>
        <w:rPr>
          <w:rFonts w:hint="eastAsia"/>
        </w:rPr>
        <w:t>本项目</w:t>
      </w:r>
      <w:r>
        <w:t>恶臭</w:t>
      </w:r>
      <w:r>
        <w:rPr>
          <w:rFonts w:hint="eastAsia"/>
        </w:rPr>
        <w:t>主要分布在养殖圈舍、污水处理系统、堆粪棚等，其产生情况与清粪方式、管理水平、粪污处理程度，以及场址选择、场地规划和布局、畜舍设计、畜舍通风等有关。为了使项目恶臭对周边环境影响降到最低，环评提出的恶臭污染防治措施如下：</w:t>
      </w:r>
    </w:p>
    <w:p>
      <w:pPr>
        <w:ind w:firstLine="482"/>
        <w:rPr>
          <w:b/>
        </w:rPr>
      </w:pPr>
      <w:r>
        <w:rPr>
          <w:rFonts w:hint="eastAsia"/>
          <w:b/>
        </w:rPr>
        <w:t>1、养殖区</w:t>
      </w:r>
      <w:r>
        <w:rPr>
          <w:b/>
        </w:rPr>
        <w:t>恶臭污染防治</w:t>
      </w:r>
    </w:p>
    <w:p>
      <w:pPr>
        <w:ind w:firstLine="480"/>
      </w:pPr>
      <w:r>
        <w:t>由于猪舍的恶臭污染源很分散，集中处理困难，</w:t>
      </w:r>
      <w:r>
        <w:rPr>
          <w:rFonts w:hint="eastAsia"/>
        </w:rPr>
        <w:t>属于无组织面源排放，</w:t>
      </w:r>
      <w:r>
        <w:t>最有效的控制方法是预防为主，在恶臭产生的源头处理。根据《畜禽养殖业污染治理工程技术规范》（HJ497-2009）及《畜禽养殖业污染防治技术规范》（HJ/T81-2001）相关要求，结合本项目生产实际，本评价主要提出如下措施减少恶臭污染物的产生：</w:t>
      </w:r>
    </w:p>
    <w:p>
      <w:pPr>
        <w:ind w:firstLine="480"/>
      </w:pPr>
      <w:r>
        <w:rPr>
          <w:rFonts w:hint="eastAsia"/>
        </w:rPr>
        <w:t>（1）源头</w:t>
      </w:r>
      <w:r>
        <w:t>控制</w:t>
      </w:r>
    </w:p>
    <w:p>
      <w:pPr>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合理设计圈舍</w:t>
      </w:r>
    </w:p>
    <w:p>
      <w:pPr>
        <w:ind w:firstLine="480"/>
      </w:pPr>
      <w:r>
        <w:rPr>
          <w:rFonts w:hint="eastAsia"/>
        </w:rPr>
        <w:t>按照《规模猪场建设》（</w:t>
      </w:r>
      <w:r>
        <w:t>GB/T17824.1-2008</w:t>
      </w:r>
      <w:r>
        <w:rPr>
          <w:rFonts w:hint="eastAsia"/>
        </w:rPr>
        <w:t>）的要求进行猪舍设计，确定合理的饲养密度。对猪舍的通风系统进行合理设计，尽量选择通风性能较好的设备和设施，确保猪舍内空气环境达到《畜禽场环境质量及卫生控制规范》（</w:t>
      </w:r>
      <w:r>
        <w:t>NY/T1167-2006</w:t>
      </w:r>
      <w:r>
        <w:rPr>
          <w:rFonts w:hint="eastAsia"/>
        </w:rPr>
        <w:t>）。注意保持舍内干燥，及时清除粪污，做到粪污分离。合理的圈舍设计，可从源头上降低恶臭气体的产生。</w:t>
      </w:r>
    </w:p>
    <w:p>
      <w:pPr>
        <w:ind w:firstLine="480"/>
      </w:pPr>
      <w:r>
        <w:rPr>
          <w:rFonts w:hint="eastAsia"/>
        </w:rPr>
        <w:t>②科学设计日粮，提高饲料利用率</w:t>
      </w:r>
    </w:p>
    <w:p>
      <w:pPr>
        <w:ind w:firstLine="480"/>
      </w:pPr>
      <w:r>
        <w:rPr>
          <w:rFonts w:hint="eastAsia"/>
        </w:rPr>
        <w:t>猪采食饲料后，饲料在消化道消化过程中，因微生物腐败分解而产生臭气；同时没有消化吸收部分在体外被微生物降解，也产生恶臭。产生的粪污越多，臭气就越多，提高日粮的消化率、减少干物质排出量，既减少肠道臭气的产生，又可减少粪污排出后臭气的产生，这是减少恶臭来源的有效措施。</w:t>
      </w:r>
    </w:p>
    <w:p>
      <w:pPr>
        <w:ind w:firstLine="480"/>
      </w:pPr>
      <w:r>
        <w:rPr>
          <w:rFonts w:hint="eastAsia"/>
        </w:rPr>
        <w:t>③合理使用饲料添加剂</w:t>
      </w:r>
    </w:p>
    <w:p>
      <w:pPr>
        <w:ind w:firstLine="480"/>
      </w:pPr>
      <w:r>
        <w:rPr>
          <w:rFonts w:hint="eastAsia"/>
        </w:rPr>
        <w:t>建议在饲料中添加EM，EM是有效生物菌群（Effective Microorganisms）的英文缩写，是新型复合微生物菌剂，EM菌剂中含有光合细菌群，光合细菌作为有益菌群，一方面抑制了腐败细菌的生长，改善有机物的分解途径，减少NH</w:t>
      </w:r>
      <w:r>
        <w:rPr>
          <w:rFonts w:hint="eastAsia"/>
          <w:vertAlign w:val="subscript"/>
        </w:rPr>
        <w:t>3</w:t>
      </w:r>
      <w:r>
        <w:rPr>
          <w:rFonts w:hint="eastAsia"/>
        </w:rPr>
        <w:t>和H</w:t>
      </w:r>
      <w:r>
        <w:rPr>
          <w:rFonts w:hint="eastAsia"/>
          <w:vertAlign w:val="subscript"/>
        </w:rPr>
        <w:t>2</w:t>
      </w:r>
      <w:r>
        <w:rPr>
          <w:rFonts w:hint="eastAsia"/>
        </w:rPr>
        <w:t>S的释放量和胺类物质的产生；另一方面它又可利用H</w:t>
      </w:r>
      <w:r>
        <w:rPr>
          <w:rFonts w:hint="eastAsia"/>
          <w:vertAlign w:val="subscript"/>
        </w:rPr>
        <w:t>2</w:t>
      </w:r>
      <w:r>
        <w:rPr>
          <w:rFonts w:hint="eastAsia"/>
        </w:rPr>
        <w:t>S作氢受体，消耗H</w:t>
      </w:r>
      <w:r>
        <w:rPr>
          <w:rFonts w:hint="eastAsia"/>
          <w:vertAlign w:val="subscript"/>
        </w:rPr>
        <w:t>2</w:t>
      </w:r>
      <w:r>
        <w:rPr>
          <w:rFonts w:hint="eastAsia"/>
        </w:rPr>
        <w:t>S，从而减轻环境中的恶臭，减少蚊蝇孳生。</w:t>
      </w:r>
    </w:p>
    <w:p>
      <w:pPr>
        <w:ind w:firstLine="480"/>
      </w:pPr>
      <w:r>
        <w:rPr>
          <w:rFonts w:hint="eastAsia"/>
        </w:rPr>
        <w:t>（2）过程</w:t>
      </w:r>
      <w:r>
        <w:t>防控</w:t>
      </w:r>
    </w:p>
    <w:p>
      <w:pPr>
        <w:ind w:firstLine="480"/>
      </w:pPr>
      <w:r>
        <w:rPr>
          <w:rFonts w:hint="eastAsia"/>
        </w:rPr>
        <w:t>①加强</w:t>
      </w:r>
      <w:r>
        <w:t>猪舍清粪及通风管理</w:t>
      </w:r>
    </w:p>
    <w:p>
      <w:pPr>
        <w:ind w:firstLine="480"/>
      </w:pPr>
      <w:r>
        <w:rPr>
          <w:rFonts w:hint="eastAsia"/>
        </w:rPr>
        <w:t>猪粪采用新型漏缝地板，为干清粪工艺，产生的猪粪及时清运至堆放区，以减少污染。猪舍内产生的粪尿依靠重力进入缝隙地板下的收集池，用机械刮粪板及时清除，不需用清水对圈舍粪尿日常清理，大大减少了粪污产生量并实现粪尿及时清理，保持猪舍的清洁和干燥；同时注意舍内防潮；加强猪舍消毒措施，全部猪舍必须配备地面消毒设备；猪舍设计为密闭结构，在猪舍设置风扇等换气设备，定期进行通风换气，加快排除有害气体。</w:t>
      </w:r>
    </w:p>
    <w:p>
      <w:pPr>
        <w:ind w:firstLine="480"/>
      </w:pPr>
      <w:r>
        <w:rPr>
          <w:rFonts w:hint="eastAsia"/>
        </w:rPr>
        <w:t>②合理</w:t>
      </w:r>
      <w:r>
        <w:t>喷洒除臭剂</w:t>
      </w:r>
    </w:p>
    <w:p>
      <w:pPr>
        <w:ind w:firstLine="480"/>
      </w:pPr>
      <w:r>
        <w:rPr>
          <w:rFonts w:hint="eastAsia"/>
        </w:rPr>
        <w:t>喷洒使用生物型除臭剂，每周对猪舍、污水处理系统及堆粪棚除臭一次，利用生物菌剂可以消耗氨气、硫化氢等臭气分子的特性，降低空气中的臭气浓度。</w:t>
      </w:r>
    </w:p>
    <w:p>
      <w:pPr>
        <w:ind w:firstLine="480"/>
      </w:pPr>
      <w:r>
        <w:rPr>
          <w:rFonts w:hint="eastAsia"/>
        </w:rPr>
        <w:t>生物除臭主要指活菌制剂，其作用是通过生化过程脱臭，有专家将分离出的放线菌接种于猪粪污中，</w:t>
      </w:r>
      <w:r>
        <w:t>NH</w:t>
      </w:r>
      <w:r>
        <w:rPr>
          <w:vertAlign w:val="subscript"/>
        </w:rPr>
        <w:t>3</w:t>
      </w:r>
      <w:r>
        <w:rPr>
          <w:rFonts w:hint="eastAsia"/>
        </w:rPr>
        <w:t>、</w:t>
      </w:r>
      <w:r>
        <w:t>H</w:t>
      </w:r>
      <w:r>
        <w:rPr>
          <w:vertAlign w:val="subscript"/>
        </w:rPr>
        <w:t>2</w:t>
      </w:r>
      <w:r>
        <w:t>S</w:t>
      </w:r>
      <w:r>
        <w:rPr>
          <w:rFonts w:hint="eastAsia"/>
        </w:rPr>
        <w:t>等恶臭物质很快消失，有试验证明：从泥炭腐植质或活性沉降液中分别挑出硝化菌和硫细菌，经驯化后，硝化菌可清除粪污中的氨，硫细菌可抑制二甲基硫化物等的产生。类比调查分析可知，猪场在采取喷洒除臭剂措施除臭后，无组织排放恶臭污染物均能满足《恶臭污染物排放标准》（</w:t>
      </w:r>
      <w:r>
        <w:t>GB14554-93</w:t>
      </w:r>
      <w:r>
        <w:rPr>
          <w:rFonts w:hint="eastAsia"/>
        </w:rPr>
        <w:t>）厂界浓度限值，对环境影响较小。</w:t>
      </w:r>
    </w:p>
    <w:p>
      <w:pPr>
        <w:ind w:firstLine="480"/>
      </w:pPr>
      <w:r>
        <w:rPr>
          <w:rFonts w:hint="eastAsia"/>
        </w:rPr>
        <w:t>养殖区等消毒采用环境友好的消毒剂和消毒措施，防止产生氯代有机物及其他二次污染物。</w:t>
      </w:r>
    </w:p>
    <w:p>
      <w:pPr>
        <w:ind w:firstLine="480"/>
      </w:pPr>
      <w:r>
        <w:rPr>
          <w:rFonts w:hint="eastAsia"/>
        </w:rPr>
        <w:t>（3）加强</w:t>
      </w:r>
      <w:r>
        <w:t>绿化</w:t>
      </w:r>
    </w:p>
    <w:p>
      <w:pPr>
        <w:ind w:firstLine="480"/>
      </w:pPr>
      <w:r>
        <w:rPr>
          <w:rFonts w:hint="eastAsia"/>
        </w:rPr>
        <w:t>绿化工程对改善场区的环境质量是十分重要的。本项目在场内进行充分的绿化，以完全消灭裸露地面为原则，广种花草树木。建议场区道路两边种植乔灌木等，场界边缘地带种植高大树种形成多层防护林带，强化绿化对恶臭的阻隔效果。在场内及其周围种植绿色植物是防止其扩散、降低猪场温度和噪声、提高环境质量最有效的手段。种植植物首先可以降低风速，减小恶臭传播距离。同时绿色植物还可以通过控制温度改善局部环境，夏天是气温降低，为动物提供舒适的生长环境，冬季则使阳光穿透畜舍以提供热量。树叶还可以直接吸收、过滤含有气味的气体和尘粒，从而减轻空气中的气味。</w:t>
      </w:r>
    </w:p>
    <w:p>
      <w:pPr>
        <w:ind w:firstLine="480"/>
      </w:pPr>
      <w:r>
        <w:rPr>
          <w:rFonts w:hint="eastAsia"/>
        </w:rPr>
        <w:t>绿化树种需要考虑树的种类、树木栽植的方法、位置、栽植密度、林带的大小与形状等因素。建设单位在树种选择上，不仅要考虑美化效果，还必须考虑在除臭、防火、吸尘、杀菌等方面的作用，可适当种植一些具有吸附恶臭气味的植物及具有芳香的木本植物，以净化空气。据调查，有害气体经过绿化地区后，至少有25%被吸收，恶臭可减少50%。在养殖场内及其周围种植高大树木及林带，还能净化、澄清大气中的粉尘，可减少35%~67%；与此同时，也减少了空气中的微生物，细菌总数可减少22%-79%，甚至某些树木的花、叶能分泌杀菌物质，可杀死细菌、真菌等。</w:t>
      </w:r>
    </w:p>
    <w:p>
      <w:pPr>
        <w:ind w:firstLine="480"/>
      </w:pPr>
      <w:r>
        <w:rPr>
          <w:rFonts w:hint="eastAsia"/>
        </w:rPr>
        <w:t>根据《合阳县惠通良种猪繁育有限公司合阳县现代化祖代种猪项目废气和废水污染防治设施竣工环境保护验收监测报告》（</w:t>
      </w:r>
      <w:r>
        <w:t xml:space="preserve">2019 </w:t>
      </w:r>
      <w:r>
        <w:rPr>
          <w:rFonts w:hint="eastAsia"/>
        </w:rPr>
        <w:t>年</w:t>
      </w:r>
      <w:r>
        <w:t xml:space="preserve">1 </w:t>
      </w:r>
      <w:r>
        <w:rPr>
          <w:rFonts w:hint="eastAsia"/>
        </w:rPr>
        <w:t>月），该项目采用干清粪工艺，猪饲料中添加活性菌群，猪舍喷洒除臭剂，在厂界无组织废气监控点，</w:t>
      </w:r>
      <w:r>
        <w:t>NH</w:t>
      </w:r>
      <w:r>
        <w:rPr>
          <w:vertAlign w:val="subscript"/>
        </w:rPr>
        <w:t>3</w:t>
      </w:r>
      <w:r>
        <w:rPr>
          <w:rFonts w:hint="eastAsia"/>
        </w:rPr>
        <w:t>的最高浓度值为</w:t>
      </w:r>
      <w:r>
        <w:t>0.24mg/m</w:t>
      </w:r>
      <w:r>
        <w:rPr>
          <w:vertAlign w:val="superscript"/>
        </w:rPr>
        <w:t>3</w:t>
      </w:r>
      <w:r>
        <w:rPr>
          <w:rFonts w:hint="eastAsia"/>
        </w:rPr>
        <w:t>，</w:t>
      </w:r>
      <w:r>
        <w:t>H</w:t>
      </w:r>
      <w:r>
        <w:rPr>
          <w:vertAlign w:val="subscript"/>
        </w:rPr>
        <w:t>2</w:t>
      </w:r>
      <w:r>
        <w:t xml:space="preserve">S </w:t>
      </w:r>
      <w:r>
        <w:rPr>
          <w:rFonts w:hint="eastAsia"/>
        </w:rPr>
        <w:t>的最高浓度值为</w:t>
      </w:r>
      <w:r>
        <w:t>0.025mg/m</w:t>
      </w:r>
      <w:r>
        <w:rPr>
          <w:vertAlign w:val="superscript"/>
        </w:rPr>
        <w:t>3</w:t>
      </w:r>
      <w:r>
        <w:rPr>
          <w:rFonts w:hint="eastAsia"/>
        </w:rPr>
        <w:t>，满足《恶臭污染物排放标准》（</w:t>
      </w:r>
      <w:r>
        <w:t>GB14554-93</w:t>
      </w:r>
      <w:r>
        <w:rPr>
          <w:rFonts w:hint="eastAsia"/>
        </w:rPr>
        <w:t>）表</w:t>
      </w:r>
      <w:r>
        <w:t xml:space="preserve">1 </w:t>
      </w:r>
      <w:r>
        <w:rPr>
          <w:rFonts w:hint="eastAsia"/>
        </w:rPr>
        <w:t>中的二级排放标准值；臭气浓度的最高值为</w:t>
      </w:r>
      <w:r>
        <w:t>19</w:t>
      </w:r>
      <w:r>
        <w:rPr>
          <w:rFonts w:hint="eastAsia"/>
        </w:rPr>
        <w:t>，满足《畜禽养殖业污染物排放标准》（</w:t>
      </w:r>
      <w:r>
        <w:t>GB18596-2001</w:t>
      </w:r>
      <w:r>
        <w:rPr>
          <w:rFonts w:hint="eastAsia"/>
        </w:rPr>
        <w:t>）表</w:t>
      </w:r>
      <w:r>
        <w:t>7</w:t>
      </w:r>
      <w:r>
        <w:rPr>
          <w:rFonts w:hint="eastAsia"/>
        </w:rPr>
        <w:t>中规定的标准值。本项目与其污染防治措施相同，故本项目养殖区污染防治措施可行。</w:t>
      </w:r>
    </w:p>
    <w:p>
      <w:pPr>
        <w:ind w:firstLine="482"/>
        <w:rPr>
          <w:b/>
        </w:rPr>
      </w:pPr>
      <w:r>
        <w:rPr>
          <w:rFonts w:hint="eastAsia"/>
          <w:b/>
        </w:rPr>
        <w:t>2、</w:t>
      </w:r>
      <w:r>
        <w:rPr>
          <w:b/>
        </w:rPr>
        <w:t>堆粪棚恶臭气体</w:t>
      </w:r>
      <w:r>
        <w:rPr>
          <w:rFonts w:hint="eastAsia"/>
          <w:b/>
        </w:rPr>
        <w:t>污染</w:t>
      </w:r>
      <w:r>
        <w:rPr>
          <w:b/>
        </w:rPr>
        <w:t>控制措施</w:t>
      </w:r>
    </w:p>
    <w:p>
      <w:pPr>
        <w:ind w:firstLine="480"/>
      </w:pPr>
      <w:r>
        <w:rPr>
          <w:rFonts w:hint="eastAsia"/>
        </w:rPr>
        <w:t>本项目干清的粪便及固液分离的粪渣集中清理至堆粪棚临时堆放，外售</w:t>
      </w:r>
      <w:r>
        <w:t>有机肥厂</w:t>
      </w:r>
      <w:r>
        <w:rPr>
          <w:rFonts w:hint="eastAsia"/>
        </w:rPr>
        <w:t>作为</w:t>
      </w:r>
      <w:r>
        <w:t>原料</w:t>
      </w:r>
      <w:r>
        <w:rPr>
          <w:rFonts w:hint="eastAsia"/>
        </w:rPr>
        <w:t>，综合利用。在粪便及粪渣堆存过程中，因粪便自身所含的氨气、硫化氢等臭气逸散，或堆存过程发酵产生的臭气逸散，对堆棚周边大气环境产生影响。为减轻粪便堆存对大气环境的影响，建议对堆粪棚喷洒植物性除臭剂进行除臭。植物型除臭剂是指以天然植物萃取液或者天然植物提取物为主要原料加工而成的除臭剂，具有抑菌、杀菌和除臭功效，对氨、硫化氢等无机物和低分子脂肪酸、胺类、醛类、酮类、醚类、卤代烃等有机物等恶臭有吸附、遮盖、良好的分解，或者与异味分子发生碰撞，进行反应，促使异味分子发生改变原有分子结构，使之失去臭味，达到去除臭味的效果。利用生物除臭剂对恶臭的掩蔽作用来降低恶臭，除臭效率可达85%以上，大大降低恶臭对环境的影响。</w:t>
      </w:r>
    </w:p>
    <w:p>
      <w:pPr>
        <w:ind w:firstLine="482"/>
        <w:rPr>
          <w:b/>
        </w:rPr>
      </w:pPr>
      <w:r>
        <w:rPr>
          <w:rFonts w:hint="eastAsia"/>
          <w:b/>
        </w:rPr>
        <w:t>3、污水</w:t>
      </w:r>
      <w:r>
        <w:rPr>
          <w:b/>
        </w:rPr>
        <w:t>处理</w:t>
      </w:r>
      <w:r>
        <w:rPr>
          <w:rFonts w:hint="eastAsia"/>
          <w:b/>
        </w:rPr>
        <w:t>系统</w:t>
      </w:r>
      <w:r>
        <w:rPr>
          <w:b/>
        </w:rPr>
        <w:t>恶臭</w:t>
      </w:r>
    </w:p>
    <w:p>
      <w:pPr>
        <w:ind w:firstLine="480"/>
      </w:pPr>
      <w:r>
        <w:rPr>
          <w:rFonts w:hint="eastAsia"/>
        </w:rPr>
        <w:t>项目污水</w:t>
      </w:r>
      <w:r>
        <w:t>处理系统</w:t>
      </w:r>
      <w:r>
        <w:rPr>
          <w:rFonts w:hint="eastAsia"/>
        </w:rPr>
        <w:t>设施</w:t>
      </w:r>
      <w:r>
        <w:t>主要为集粪池、固液分离机</w:t>
      </w:r>
      <w:r>
        <w:rPr>
          <w:rFonts w:hint="eastAsia"/>
        </w:rPr>
        <w:t>、</w:t>
      </w:r>
      <w:r>
        <w:t>厌氧</w:t>
      </w:r>
      <w:r>
        <w:rPr>
          <w:rFonts w:hint="eastAsia"/>
        </w:rPr>
        <w:t>发酵池，集粪池</w:t>
      </w:r>
      <w:r>
        <w:t>、厌氧发酵池密闭，恶臭气体主要来源于固液分离机，在固液分离机周围</w:t>
      </w:r>
      <w:r>
        <w:rPr>
          <w:rFonts w:hint="eastAsia"/>
        </w:rPr>
        <w:t>喷洒</w:t>
      </w:r>
      <w:r>
        <w:t>生物除臭剂、加强绿化</w:t>
      </w:r>
      <w:r>
        <w:rPr>
          <w:rFonts w:hint="eastAsia"/>
        </w:rPr>
        <w:t>，</w:t>
      </w:r>
      <w:r>
        <w:t>可有效降低</w:t>
      </w:r>
      <w:r>
        <w:rPr>
          <w:rFonts w:hint="eastAsia"/>
        </w:rPr>
        <w:t>污水</w:t>
      </w:r>
      <w:r>
        <w:t>处理系统的</w:t>
      </w:r>
      <w:r>
        <w:rPr>
          <w:rFonts w:hint="eastAsia"/>
        </w:rPr>
        <w:t>恶臭</w:t>
      </w:r>
      <w:r>
        <w:t>气体无组织排放。</w:t>
      </w:r>
      <w:r>
        <w:rPr>
          <w:rFonts w:hint="eastAsia"/>
        </w:rPr>
        <w:t>经预测，厂界处</w:t>
      </w:r>
      <w:r>
        <w:t>NH</w:t>
      </w:r>
      <w:r>
        <w:rPr>
          <w:vertAlign w:val="subscript"/>
        </w:rPr>
        <w:t>3</w:t>
      </w:r>
      <w:r>
        <w:rPr>
          <w:rFonts w:hint="eastAsia"/>
        </w:rPr>
        <w:t>和</w:t>
      </w:r>
      <w:r>
        <w:t>H</w:t>
      </w:r>
      <w:r>
        <w:rPr>
          <w:vertAlign w:val="subscript"/>
        </w:rPr>
        <w:t>2</w:t>
      </w:r>
      <w:r>
        <w:t>S</w:t>
      </w:r>
      <w:r>
        <w:rPr>
          <w:rFonts w:hint="eastAsia"/>
        </w:rPr>
        <w:t>的浓度均满足《恶臭污染物排放标准》（</w:t>
      </w:r>
      <w:r>
        <w:t>GB14554-93</w:t>
      </w:r>
      <w:r>
        <w:rPr>
          <w:rFonts w:hint="eastAsia"/>
        </w:rPr>
        <w:t>）中表</w:t>
      </w:r>
      <w:r>
        <w:t xml:space="preserve">1 </w:t>
      </w:r>
      <w:r>
        <w:rPr>
          <w:rFonts w:hint="eastAsia"/>
        </w:rPr>
        <w:t>的二级标准要求。</w:t>
      </w:r>
    </w:p>
    <w:p>
      <w:pPr>
        <w:ind w:firstLine="480"/>
      </w:pPr>
      <w:r>
        <w:rPr>
          <w:rFonts w:hint="eastAsia"/>
        </w:rPr>
        <w:t>项目</w:t>
      </w:r>
      <w:r>
        <w:t>恶臭处理措施均为</w:t>
      </w:r>
      <w:r>
        <w:rPr>
          <w:rFonts w:hint="eastAsia"/>
        </w:rPr>
        <w:t>《排污</w:t>
      </w:r>
      <w:r>
        <w:t>许可申请与核发技术规范</w:t>
      </w:r>
      <w:r>
        <w:rPr>
          <w:rFonts w:hint="eastAsia"/>
        </w:rPr>
        <w:t xml:space="preserve"> 畜禽</w:t>
      </w:r>
      <w:r>
        <w:t>养殖行业</w:t>
      </w:r>
      <w:r>
        <w:rPr>
          <w:rFonts w:hint="eastAsia"/>
        </w:rPr>
        <w:t>》（HJ</w:t>
      </w:r>
      <w:r>
        <w:t>102-2019</w:t>
      </w:r>
      <w:r>
        <w:rPr>
          <w:rFonts w:hint="eastAsia"/>
        </w:rPr>
        <w:t>）中</w:t>
      </w:r>
      <w:r>
        <w:t>可行措施，</w:t>
      </w:r>
      <w:r>
        <w:rPr>
          <w:rFonts w:hint="eastAsia"/>
        </w:rPr>
        <w:t>经过采取以上措施后，项目产生的恶臭能够进一步得到减轻，项目恶臭防治措施可行。</w:t>
      </w:r>
    </w:p>
    <w:p>
      <w:pPr>
        <w:pStyle w:val="5"/>
      </w:pPr>
      <w:r>
        <w:rPr>
          <w:rFonts w:hint="eastAsia"/>
        </w:rPr>
        <w:t>沼气</w:t>
      </w:r>
      <w:r>
        <w:t>燃烧废气污染防治措施</w:t>
      </w:r>
    </w:p>
    <w:p>
      <w:pPr>
        <w:widowControl/>
        <w:ind w:firstLine="480"/>
        <w:rPr>
          <w:rFonts w:eastAsiaTheme="minorEastAsia"/>
          <w:szCs w:val="24"/>
        </w:rPr>
      </w:pPr>
      <w:r>
        <w:rPr>
          <w:rFonts w:eastAsiaTheme="minorEastAsia"/>
          <w:szCs w:val="24"/>
        </w:rPr>
        <w:t>沼气是含饱和水蒸气的混合气体，除含有气体燃料CH</w:t>
      </w:r>
      <w:r>
        <w:rPr>
          <w:rFonts w:eastAsiaTheme="minorEastAsia"/>
          <w:szCs w:val="24"/>
          <w:vertAlign w:val="subscript"/>
        </w:rPr>
        <w:t>4</w:t>
      </w:r>
      <w:r>
        <w:rPr>
          <w:rFonts w:eastAsiaTheme="minorEastAsia"/>
          <w:szCs w:val="24"/>
        </w:rPr>
        <w:t xml:space="preserve"> 外，还含有CO</w:t>
      </w:r>
      <w:r>
        <w:rPr>
          <w:rFonts w:eastAsiaTheme="minorEastAsia"/>
          <w:szCs w:val="24"/>
          <w:vertAlign w:val="subscript"/>
        </w:rPr>
        <w:t>2</w:t>
      </w:r>
      <w:r>
        <w:rPr>
          <w:rFonts w:eastAsiaTheme="minorEastAsia"/>
          <w:szCs w:val="24"/>
        </w:rPr>
        <w:t>、H</w:t>
      </w:r>
      <w:r>
        <w:rPr>
          <w:rFonts w:eastAsiaTheme="minorEastAsia"/>
          <w:szCs w:val="24"/>
          <w:vertAlign w:val="subscript"/>
        </w:rPr>
        <w:t>2</w:t>
      </w:r>
      <w:r>
        <w:rPr>
          <w:rFonts w:eastAsiaTheme="minorEastAsia"/>
          <w:szCs w:val="24"/>
        </w:rPr>
        <w:t>S 和其它极少量的气体。其中CH</w:t>
      </w:r>
      <w:r>
        <w:rPr>
          <w:rFonts w:eastAsiaTheme="minorEastAsia"/>
          <w:szCs w:val="24"/>
          <w:vertAlign w:val="subscript"/>
        </w:rPr>
        <w:t>4</w:t>
      </w:r>
      <w:r>
        <w:rPr>
          <w:rFonts w:eastAsiaTheme="minorEastAsia"/>
          <w:szCs w:val="24"/>
        </w:rPr>
        <w:t>含量约为50%～70%，CO</w:t>
      </w:r>
      <w:r>
        <w:rPr>
          <w:rFonts w:eastAsiaTheme="minorEastAsia"/>
          <w:szCs w:val="24"/>
          <w:vertAlign w:val="subscript"/>
        </w:rPr>
        <w:t>2</w:t>
      </w:r>
      <w:r>
        <w:rPr>
          <w:rFonts w:eastAsiaTheme="minorEastAsia"/>
          <w:szCs w:val="24"/>
        </w:rPr>
        <w:t>含量约为30%～40%。H</w:t>
      </w:r>
      <w:r>
        <w:rPr>
          <w:rFonts w:eastAsiaTheme="minorEastAsia"/>
          <w:szCs w:val="24"/>
          <w:vertAlign w:val="subscript"/>
        </w:rPr>
        <w:t>2</w:t>
      </w:r>
      <w:r>
        <w:rPr>
          <w:rFonts w:eastAsiaTheme="minorEastAsia"/>
          <w:szCs w:val="24"/>
        </w:rPr>
        <w:t>S不仅有毒，而且有很强的腐蚀性。因此新生成的沼气不宜直接用作燃料，需先进行脱水和脱硫净化处理。项目沼气脱水采用沼气除水器，除水器内安装有水平和竖直滤网，当沼气以一定的压力从装置上部以切线方式进入后，沼气在离心力作用下进行旋转，然后依次经过水平滤网和竖直滤网，可使沼气和水蒸气分离。</w:t>
      </w:r>
    </w:p>
    <w:p>
      <w:pPr>
        <w:widowControl/>
        <w:ind w:firstLine="480"/>
        <w:rPr>
          <w:rFonts w:eastAsiaTheme="minorEastAsia"/>
          <w:szCs w:val="24"/>
        </w:rPr>
      </w:pPr>
      <w:r>
        <w:rPr>
          <w:rFonts w:eastAsiaTheme="minorEastAsia"/>
          <w:szCs w:val="24"/>
        </w:rPr>
        <w:t>根据《规模化畜禽养殖场沼气工程设计规范》（NY/T1222-2006）中对于经过净化处理后的沼气质量指标要求为：甲烷气含量：55%以上；H</w:t>
      </w:r>
      <w:r>
        <w:rPr>
          <w:rFonts w:eastAsiaTheme="minorEastAsia"/>
          <w:szCs w:val="24"/>
          <w:vertAlign w:val="subscript"/>
        </w:rPr>
        <w:t>2</w:t>
      </w:r>
      <w:r>
        <w:rPr>
          <w:rFonts w:eastAsiaTheme="minorEastAsia"/>
          <w:szCs w:val="24"/>
        </w:rPr>
        <w:t>S 含量≤20mg/m</w:t>
      </w:r>
      <w:r>
        <w:rPr>
          <w:rFonts w:eastAsiaTheme="minorEastAsia"/>
          <w:szCs w:val="24"/>
          <w:vertAlign w:val="superscript"/>
        </w:rPr>
        <w:t>3</w:t>
      </w:r>
      <w:r>
        <w:rPr>
          <w:rFonts w:eastAsiaTheme="minorEastAsia"/>
          <w:szCs w:val="24"/>
        </w:rPr>
        <w:t>。常用的沼气脱硫主要有生物脱硫和化学脱硫两种方法。</w:t>
      </w:r>
    </w:p>
    <w:p>
      <w:pPr>
        <w:widowControl/>
        <w:ind w:firstLine="480"/>
        <w:rPr>
          <w:rFonts w:eastAsiaTheme="minorEastAsia"/>
          <w:szCs w:val="24"/>
        </w:rPr>
      </w:pPr>
      <w:r>
        <w:rPr>
          <w:rFonts w:eastAsiaTheme="minorEastAsia"/>
          <w:szCs w:val="24"/>
        </w:rPr>
        <w:t>根据《规模畜禽养殖场污染防治最佳可行技术指南（试行）》（HJ-BAT-10）沼气中甲烷含量为 50%～70%，二氧化碳含量为30%~50%，硫化氢含量为0.1%～0.6%。</w:t>
      </w:r>
    </w:p>
    <w:p>
      <w:pPr>
        <w:widowControl/>
        <w:tabs>
          <w:tab w:val="left" w:pos="1418"/>
        </w:tabs>
        <w:ind w:firstLine="482"/>
        <w:rPr>
          <w:rFonts w:eastAsiaTheme="minorEastAsia"/>
          <w:b/>
          <w:bCs/>
          <w:szCs w:val="24"/>
        </w:rPr>
      </w:pPr>
      <w:r>
        <w:rPr>
          <w:rFonts w:eastAsiaTheme="minorEastAsia"/>
          <w:b/>
          <w:bCs/>
          <w:szCs w:val="24"/>
        </w:rPr>
        <w:t>1、生物脱硫方法</w:t>
      </w:r>
    </w:p>
    <w:p>
      <w:pPr>
        <w:widowControl/>
        <w:ind w:firstLine="480"/>
        <w:rPr>
          <w:rFonts w:eastAsiaTheme="minorEastAsia"/>
          <w:szCs w:val="24"/>
        </w:rPr>
      </w:pPr>
      <w:r>
        <w:rPr>
          <w:rFonts w:eastAsiaTheme="minorEastAsia"/>
          <w:szCs w:val="24"/>
        </w:rPr>
        <w:t>生物脱硫法即是在厌氧反应器中通过化能自养型微生物的作用来去除H</w:t>
      </w:r>
      <w:r>
        <w:rPr>
          <w:rFonts w:eastAsiaTheme="minorEastAsia"/>
          <w:szCs w:val="24"/>
          <w:vertAlign w:val="subscript"/>
        </w:rPr>
        <w:t>2</w:t>
      </w:r>
      <w:r>
        <w:rPr>
          <w:rFonts w:eastAsiaTheme="minorEastAsia"/>
          <w:szCs w:val="24"/>
        </w:rPr>
        <w:t>S， 化能自养型微生物以CO为碳源，同时在氧化硫的过程中获得能量。在有机碳源存在的情况下，部分种类的自养微生物可以利用有机体碳源进行异养代谢。化能自养型微生物将硫化物转化为单质硫，在无氧的条件下，利用硝化物作为电子受体，单质硫为主要产物。</w:t>
      </w:r>
    </w:p>
    <w:p>
      <w:pPr>
        <w:widowControl/>
        <w:ind w:firstLine="480"/>
        <w:rPr>
          <w:rFonts w:eastAsiaTheme="minorEastAsia"/>
          <w:szCs w:val="24"/>
        </w:rPr>
      </w:pPr>
      <w:r>
        <w:rPr>
          <w:rFonts w:eastAsiaTheme="minorEastAsia"/>
          <w:szCs w:val="24"/>
        </w:rPr>
        <w:t>其优点是：不需要催化剂、不需处理化学污泥，产生很少生物污泥、耗能低、可回收单质硫、去除效率高。同时，该工艺也存在运行不稳定，对运行要求较高等缺点。这种脱硫的技术关键是如何根据H</w:t>
      </w:r>
      <w:r>
        <w:rPr>
          <w:rFonts w:eastAsiaTheme="minorEastAsia"/>
          <w:szCs w:val="24"/>
          <w:vertAlign w:val="subscript"/>
        </w:rPr>
        <w:t>2</w:t>
      </w:r>
      <w:r>
        <w:rPr>
          <w:rFonts w:eastAsiaTheme="minorEastAsia"/>
          <w:szCs w:val="24"/>
        </w:rPr>
        <w:t>S的浓度来控制脱硫塔中氧化还原反应过程。因此适用于工程规模较大，气体中含硫较高的工程中。</w:t>
      </w:r>
    </w:p>
    <w:p>
      <w:pPr>
        <w:widowControl/>
        <w:ind w:firstLine="482"/>
        <w:rPr>
          <w:rFonts w:eastAsiaTheme="minorEastAsia"/>
          <w:b/>
          <w:bCs/>
          <w:szCs w:val="24"/>
        </w:rPr>
      </w:pPr>
      <w:r>
        <w:rPr>
          <w:rFonts w:eastAsiaTheme="minorEastAsia"/>
          <w:b/>
          <w:bCs/>
          <w:szCs w:val="24"/>
        </w:rPr>
        <w:t>2、化学脱硫法</w:t>
      </w:r>
    </w:p>
    <w:p>
      <w:pPr>
        <w:widowControl/>
        <w:ind w:firstLine="480"/>
        <w:rPr>
          <w:rFonts w:eastAsiaTheme="minorEastAsia"/>
          <w:szCs w:val="24"/>
        </w:rPr>
      </w:pPr>
      <w:r>
        <w:rPr>
          <w:rFonts w:eastAsiaTheme="minorEastAsia"/>
          <w:szCs w:val="24"/>
        </w:rPr>
        <w:t>化学脱硫技术常运用的是常温Fe</w:t>
      </w:r>
      <w:r>
        <w:rPr>
          <w:rFonts w:eastAsiaTheme="minorEastAsia"/>
          <w:szCs w:val="24"/>
          <w:vertAlign w:val="subscript"/>
        </w:rPr>
        <w:t>2</w:t>
      </w:r>
      <w:r>
        <w:rPr>
          <w:rFonts w:eastAsiaTheme="minorEastAsia"/>
          <w:szCs w:val="24"/>
        </w:rPr>
        <w:t>O</w:t>
      </w:r>
      <w:r>
        <w:rPr>
          <w:rFonts w:eastAsiaTheme="minorEastAsia"/>
          <w:szCs w:val="24"/>
          <w:vertAlign w:val="subscript"/>
        </w:rPr>
        <w:t>3</w:t>
      </w:r>
      <w:r>
        <w:rPr>
          <w:rFonts w:eastAsiaTheme="minorEastAsia"/>
          <w:szCs w:val="24"/>
        </w:rPr>
        <w:t>干式脱硫法，它是将Fe</w:t>
      </w:r>
      <w:r>
        <w:rPr>
          <w:rFonts w:eastAsiaTheme="minorEastAsia"/>
          <w:szCs w:val="24"/>
          <w:vertAlign w:val="subscript"/>
        </w:rPr>
        <w:t>2</w:t>
      </w:r>
      <w:r>
        <w:rPr>
          <w:rFonts w:eastAsiaTheme="minorEastAsia"/>
          <w:szCs w:val="24"/>
        </w:rPr>
        <w:t>O</w:t>
      </w:r>
      <w:r>
        <w:rPr>
          <w:rFonts w:eastAsiaTheme="minorEastAsia"/>
          <w:szCs w:val="24"/>
          <w:vertAlign w:val="subscript"/>
        </w:rPr>
        <w:t>3</w:t>
      </w:r>
      <w:r>
        <w:rPr>
          <w:rFonts w:eastAsiaTheme="minorEastAsia"/>
          <w:szCs w:val="24"/>
        </w:rPr>
        <w:t>屑(或粉)和木屑混合制成脱硫剂，以湿态(含水40%左右)填充于脱硫装置内。脱硫剂使用三氧化二铁(Fe</w:t>
      </w:r>
      <w:r>
        <w:rPr>
          <w:rFonts w:eastAsiaTheme="minorEastAsia"/>
          <w:szCs w:val="24"/>
          <w:vertAlign w:val="subscript"/>
        </w:rPr>
        <w:t>2</w:t>
      </w:r>
      <w:r>
        <w:rPr>
          <w:rFonts w:eastAsiaTheme="minorEastAsia"/>
          <w:szCs w:val="24"/>
        </w:rPr>
        <w:t>O</w:t>
      </w:r>
      <w:r>
        <w:rPr>
          <w:rFonts w:eastAsiaTheme="minorEastAsia"/>
          <w:szCs w:val="24"/>
          <w:vertAlign w:val="subscript"/>
        </w:rPr>
        <w:t>3</w:t>
      </w:r>
      <w:r>
        <w:rPr>
          <w:rFonts w:eastAsiaTheme="minorEastAsia"/>
          <w:szCs w:val="24"/>
        </w:rPr>
        <w:t>)，反应的方程式如下：</w:t>
      </w:r>
    </w:p>
    <w:p>
      <w:pPr>
        <w:widowControl/>
        <w:ind w:firstLine="480"/>
        <w:rPr>
          <w:rFonts w:eastAsiaTheme="minorEastAsia"/>
          <w:szCs w:val="24"/>
        </w:rPr>
      </w:pPr>
      <w:r>
        <w:rPr>
          <w:rFonts w:eastAsiaTheme="minorEastAsia"/>
          <w:szCs w:val="24"/>
        </w:rPr>
        <w:t>Fe</w:t>
      </w:r>
      <w:r>
        <w:rPr>
          <w:rFonts w:eastAsiaTheme="minorEastAsia"/>
          <w:szCs w:val="24"/>
          <w:vertAlign w:val="subscript"/>
        </w:rPr>
        <w:t>2</w:t>
      </w:r>
      <w:r>
        <w:rPr>
          <w:rFonts w:eastAsiaTheme="minorEastAsia"/>
          <w:szCs w:val="24"/>
        </w:rPr>
        <w:t>O</w:t>
      </w:r>
      <w:r>
        <w:rPr>
          <w:rFonts w:eastAsiaTheme="minorEastAsia"/>
          <w:szCs w:val="24"/>
          <w:vertAlign w:val="subscript"/>
        </w:rPr>
        <w:t>3</w:t>
      </w:r>
      <w:r>
        <w:rPr>
          <w:rFonts w:eastAsiaTheme="minorEastAsia"/>
          <w:szCs w:val="24"/>
        </w:rPr>
        <w:t>·H</w:t>
      </w:r>
      <w:r>
        <w:rPr>
          <w:rFonts w:eastAsiaTheme="minorEastAsia"/>
          <w:szCs w:val="24"/>
          <w:vertAlign w:val="subscript"/>
        </w:rPr>
        <w:t>2</w:t>
      </w:r>
      <w:r>
        <w:rPr>
          <w:rFonts w:eastAsiaTheme="minorEastAsia"/>
          <w:szCs w:val="24"/>
        </w:rPr>
        <w:t>O+3H</w:t>
      </w:r>
      <w:r>
        <w:rPr>
          <w:rFonts w:eastAsiaTheme="minorEastAsia"/>
          <w:szCs w:val="24"/>
          <w:vertAlign w:val="subscript"/>
        </w:rPr>
        <w:t>2</w:t>
      </w:r>
      <w:r>
        <w:rPr>
          <w:rFonts w:eastAsiaTheme="minorEastAsia"/>
          <w:szCs w:val="24"/>
        </w:rPr>
        <w:t>S→Fe</w:t>
      </w:r>
      <w:r>
        <w:rPr>
          <w:rFonts w:eastAsiaTheme="minorEastAsia"/>
          <w:szCs w:val="24"/>
          <w:vertAlign w:val="subscript"/>
        </w:rPr>
        <w:t>2</w:t>
      </w:r>
      <w:r>
        <w:rPr>
          <w:rFonts w:eastAsiaTheme="minorEastAsia"/>
          <w:szCs w:val="24"/>
        </w:rPr>
        <w:t>S</w:t>
      </w:r>
      <w:r>
        <w:rPr>
          <w:rFonts w:eastAsiaTheme="minorEastAsia"/>
          <w:szCs w:val="24"/>
          <w:vertAlign w:val="subscript"/>
        </w:rPr>
        <w:t>3</w:t>
      </w:r>
      <w:r>
        <w:rPr>
          <w:rFonts w:eastAsiaTheme="minorEastAsia"/>
          <w:szCs w:val="24"/>
        </w:rPr>
        <w:t>·H2O+3H</w:t>
      </w:r>
      <w:r>
        <w:rPr>
          <w:rFonts w:eastAsiaTheme="minorEastAsia"/>
          <w:szCs w:val="24"/>
          <w:vertAlign w:val="subscript"/>
        </w:rPr>
        <w:t>2</w:t>
      </w:r>
      <w:r>
        <w:rPr>
          <w:rFonts w:eastAsiaTheme="minorEastAsia"/>
          <w:szCs w:val="24"/>
        </w:rPr>
        <w:t>O</w:t>
      </w:r>
    </w:p>
    <w:p>
      <w:pPr>
        <w:widowControl/>
        <w:ind w:firstLine="480"/>
        <w:rPr>
          <w:rFonts w:eastAsiaTheme="minorEastAsia"/>
          <w:szCs w:val="24"/>
        </w:rPr>
      </w:pPr>
      <w:r>
        <w:rPr>
          <w:rFonts w:eastAsiaTheme="minorEastAsia"/>
          <w:szCs w:val="24"/>
        </w:rPr>
        <w:t>脱硫剂使用一段时间后，可以通过再生的方式循环使用，再反应方程式如下：</w:t>
      </w:r>
    </w:p>
    <w:p>
      <w:pPr>
        <w:widowControl/>
        <w:ind w:firstLine="480"/>
        <w:rPr>
          <w:rFonts w:eastAsiaTheme="minorEastAsia"/>
          <w:szCs w:val="24"/>
        </w:rPr>
      </w:pPr>
      <w:r>
        <w:rPr>
          <w:rFonts w:eastAsiaTheme="minorEastAsia"/>
          <w:szCs w:val="24"/>
        </w:rPr>
        <w:t>2Fe</w:t>
      </w:r>
      <w:r>
        <w:rPr>
          <w:rFonts w:eastAsiaTheme="minorEastAsia"/>
          <w:szCs w:val="24"/>
          <w:vertAlign w:val="subscript"/>
        </w:rPr>
        <w:t>2</w:t>
      </w:r>
      <w:r>
        <w:rPr>
          <w:rFonts w:eastAsiaTheme="minorEastAsia"/>
          <w:szCs w:val="24"/>
        </w:rPr>
        <w:t>S</w:t>
      </w:r>
      <w:r>
        <w:rPr>
          <w:rFonts w:eastAsiaTheme="minorEastAsia"/>
          <w:szCs w:val="24"/>
          <w:vertAlign w:val="subscript"/>
        </w:rPr>
        <w:t>3</w:t>
      </w:r>
      <w:r>
        <w:rPr>
          <w:rFonts w:eastAsiaTheme="minorEastAsia"/>
          <w:szCs w:val="24"/>
        </w:rPr>
        <w:t>·H</w:t>
      </w:r>
      <w:r>
        <w:rPr>
          <w:rFonts w:eastAsiaTheme="minorEastAsia"/>
          <w:szCs w:val="24"/>
          <w:vertAlign w:val="subscript"/>
        </w:rPr>
        <w:t>2</w:t>
      </w:r>
      <w:r>
        <w:rPr>
          <w:rFonts w:eastAsiaTheme="minorEastAsia"/>
          <w:szCs w:val="24"/>
        </w:rPr>
        <w:t>O+3O</w:t>
      </w:r>
      <w:r>
        <w:rPr>
          <w:rFonts w:eastAsiaTheme="minorEastAsia"/>
          <w:szCs w:val="24"/>
          <w:vertAlign w:val="subscript"/>
        </w:rPr>
        <w:t>2</w:t>
      </w:r>
      <w:r>
        <w:rPr>
          <w:rFonts w:eastAsiaTheme="minorEastAsia"/>
          <w:szCs w:val="24"/>
        </w:rPr>
        <w:t>→2Fe</w:t>
      </w:r>
      <w:r>
        <w:rPr>
          <w:rFonts w:eastAsiaTheme="minorEastAsia"/>
          <w:szCs w:val="24"/>
          <w:vertAlign w:val="subscript"/>
        </w:rPr>
        <w:t>2</w:t>
      </w:r>
      <w:r>
        <w:rPr>
          <w:rFonts w:eastAsiaTheme="minorEastAsia"/>
          <w:szCs w:val="24"/>
        </w:rPr>
        <w:t>O</w:t>
      </w:r>
      <w:r>
        <w:rPr>
          <w:rFonts w:eastAsiaTheme="minorEastAsia"/>
          <w:szCs w:val="24"/>
          <w:vertAlign w:val="subscript"/>
        </w:rPr>
        <w:t>3</w:t>
      </w:r>
      <w:r>
        <w:rPr>
          <w:rFonts w:eastAsiaTheme="minorEastAsia"/>
          <w:szCs w:val="24"/>
        </w:rPr>
        <w:t>·H</w:t>
      </w:r>
      <w:r>
        <w:rPr>
          <w:rFonts w:eastAsiaTheme="minorEastAsia"/>
          <w:szCs w:val="24"/>
          <w:vertAlign w:val="subscript"/>
        </w:rPr>
        <w:t>2</w:t>
      </w:r>
      <w:r>
        <w:rPr>
          <w:rFonts w:eastAsiaTheme="minorEastAsia"/>
          <w:szCs w:val="24"/>
        </w:rPr>
        <w:t>O+6S</w:t>
      </w:r>
    </w:p>
    <w:p>
      <w:pPr>
        <w:widowControl/>
        <w:ind w:firstLine="480"/>
        <w:rPr>
          <w:rFonts w:eastAsiaTheme="minorEastAsia"/>
          <w:szCs w:val="24"/>
        </w:rPr>
      </w:pPr>
      <w:r>
        <w:rPr>
          <w:rFonts w:eastAsiaTheme="minorEastAsia"/>
          <w:szCs w:val="24"/>
        </w:rPr>
        <w:t>采用化学干法脱硫可达到 80%以上的有效脱硫率，特别适用于低浓度的H</w:t>
      </w:r>
      <w:r>
        <w:rPr>
          <w:rFonts w:eastAsiaTheme="minorEastAsia"/>
          <w:szCs w:val="24"/>
          <w:vertAlign w:val="subscript"/>
        </w:rPr>
        <w:t>2</w:t>
      </w:r>
      <w:r>
        <w:rPr>
          <w:rFonts w:eastAsiaTheme="minorEastAsia"/>
          <w:szCs w:val="24"/>
        </w:rPr>
        <w:t>S的脱硫。故脱硫后的H</w:t>
      </w:r>
      <w:r>
        <w:rPr>
          <w:rFonts w:eastAsiaTheme="minorEastAsia"/>
          <w:szCs w:val="24"/>
          <w:vertAlign w:val="subscript"/>
        </w:rPr>
        <w:t>2</w:t>
      </w:r>
      <w:r>
        <w:rPr>
          <w:rFonts w:eastAsiaTheme="minorEastAsia"/>
          <w:szCs w:val="24"/>
        </w:rPr>
        <w:t>S可满足于沼气质量指标 H</w:t>
      </w:r>
      <w:r>
        <w:rPr>
          <w:rFonts w:eastAsiaTheme="minorEastAsia"/>
          <w:szCs w:val="24"/>
          <w:vertAlign w:val="subscript"/>
        </w:rPr>
        <w:t>2</w:t>
      </w:r>
      <w:r>
        <w:rPr>
          <w:rFonts w:eastAsiaTheme="minorEastAsia"/>
          <w:szCs w:val="24"/>
        </w:rPr>
        <w:t>S含量：≤20mg/m</w:t>
      </w:r>
      <w:r>
        <w:rPr>
          <w:rFonts w:eastAsiaTheme="minorEastAsia"/>
          <w:szCs w:val="24"/>
          <w:vertAlign w:val="superscript"/>
        </w:rPr>
        <w:t>3</w:t>
      </w:r>
      <w:r>
        <w:rPr>
          <w:rFonts w:eastAsiaTheme="minorEastAsia"/>
          <w:szCs w:val="24"/>
        </w:rPr>
        <w:t>。针对本项目沼气含硫量较低，本工程拟采用化学脱硫工艺。</w:t>
      </w:r>
    </w:p>
    <w:p>
      <w:pPr>
        <w:widowControl/>
        <w:ind w:firstLine="480"/>
        <w:rPr>
          <w:rFonts w:eastAsiaTheme="minorEastAsia"/>
          <w:szCs w:val="24"/>
        </w:rPr>
      </w:pPr>
      <w:r>
        <w:rPr>
          <w:rFonts w:eastAsiaTheme="minorEastAsia"/>
          <w:szCs w:val="24"/>
        </w:rPr>
        <w:t>在化学脱硫的过程中产生的主要二次污染物质是脱硫后的</w:t>
      </w:r>
      <w:r>
        <w:rPr>
          <w:rFonts w:hint="eastAsia" w:eastAsiaTheme="minorEastAsia"/>
          <w:szCs w:val="24"/>
        </w:rPr>
        <w:t>废脱硫剂</w:t>
      </w:r>
      <w:r>
        <w:rPr>
          <w:rFonts w:eastAsiaTheme="minorEastAsia"/>
          <w:szCs w:val="24"/>
        </w:rPr>
        <w:t>，其主要是富含硫的三氧化二铁(硫含量可以高达25%，远高于天然硫铁矿中的硫含量)。</w:t>
      </w:r>
    </w:p>
    <w:p>
      <w:pPr>
        <w:widowControl/>
        <w:ind w:firstLine="482"/>
        <w:rPr>
          <w:rFonts w:eastAsiaTheme="minorEastAsia"/>
          <w:b/>
          <w:bCs/>
          <w:szCs w:val="24"/>
        </w:rPr>
      </w:pPr>
      <w:r>
        <w:rPr>
          <w:rFonts w:eastAsiaTheme="minorEastAsia"/>
          <w:b/>
          <w:bCs/>
          <w:szCs w:val="24"/>
        </w:rPr>
        <w:t>脱硫装置强化措施：</w:t>
      </w:r>
    </w:p>
    <w:p>
      <w:pPr>
        <w:widowControl/>
        <w:ind w:firstLine="480"/>
        <w:rPr>
          <w:rFonts w:eastAsiaTheme="minorEastAsia"/>
          <w:szCs w:val="24"/>
        </w:rPr>
      </w:pPr>
      <w:r>
        <w:rPr>
          <w:rFonts w:eastAsiaTheme="minorEastAsia"/>
          <w:szCs w:val="24"/>
        </w:rPr>
        <w:t>（1）化学脱硫装置宜在地上架空布置，可设置在室外，同时应对化学脱硫塔定时通空气，通气周期为4次/d；应保持化学脱硫塔温度在30-60</w:t>
      </w:r>
      <w:r>
        <w:rPr>
          <w:rFonts w:hint="eastAsia" w:ascii="宋体" w:hAnsi="宋体" w:cs="宋体"/>
          <w:szCs w:val="24"/>
        </w:rPr>
        <w:t>℃</w:t>
      </w:r>
      <w:r>
        <w:rPr>
          <w:rFonts w:eastAsiaTheme="minorEastAsia"/>
          <w:szCs w:val="24"/>
        </w:rPr>
        <w:t>。</w:t>
      </w:r>
    </w:p>
    <w:p>
      <w:pPr>
        <w:widowControl/>
        <w:ind w:firstLine="480"/>
        <w:rPr>
          <w:rFonts w:eastAsiaTheme="minorEastAsia"/>
          <w:szCs w:val="24"/>
        </w:rPr>
      </w:pPr>
      <w:r>
        <w:rPr>
          <w:rFonts w:eastAsiaTheme="minorEastAsia"/>
          <w:szCs w:val="24"/>
        </w:rPr>
        <w:t>（2）化学脱硫塔应设置两个，采取一用一备的形式，进行并联连接。对于厌氧反应器中的生物脱硫法，应采取保温措施。</w:t>
      </w:r>
    </w:p>
    <w:p>
      <w:pPr>
        <w:widowControl/>
        <w:ind w:firstLine="480"/>
        <w:rPr>
          <w:rFonts w:eastAsia="仿宋_GB2312"/>
          <w:spacing w:val="-3"/>
          <w:szCs w:val="24"/>
        </w:rPr>
      </w:pPr>
      <w:r>
        <w:rPr>
          <w:rFonts w:eastAsiaTheme="minorEastAsia"/>
          <w:szCs w:val="24"/>
        </w:rPr>
        <w:t>拟建项目净化后的沼气全部经火炬燃烧。沼气主要成分为CH</w:t>
      </w:r>
      <w:r>
        <w:rPr>
          <w:rFonts w:eastAsiaTheme="minorEastAsia"/>
          <w:szCs w:val="24"/>
          <w:vertAlign w:val="subscript"/>
        </w:rPr>
        <w:t>4</w:t>
      </w:r>
      <w:r>
        <w:rPr>
          <w:rFonts w:eastAsiaTheme="minorEastAsia"/>
          <w:szCs w:val="24"/>
        </w:rPr>
        <w:t>，燃烧后的产物主要为CO</w:t>
      </w:r>
      <w:r>
        <w:rPr>
          <w:rFonts w:eastAsiaTheme="minorEastAsia"/>
          <w:szCs w:val="24"/>
          <w:vertAlign w:val="subscript"/>
        </w:rPr>
        <w:t>2</w:t>
      </w:r>
      <w:r>
        <w:rPr>
          <w:rFonts w:eastAsiaTheme="minorEastAsia"/>
          <w:szCs w:val="24"/>
        </w:rPr>
        <w:t>和H</w:t>
      </w:r>
      <w:r>
        <w:rPr>
          <w:rFonts w:eastAsiaTheme="minorEastAsia"/>
          <w:szCs w:val="24"/>
          <w:vertAlign w:val="subscript"/>
        </w:rPr>
        <w:t>2</w:t>
      </w:r>
      <w:r>
        <w:rPr>
          <w:rFonts w:eastAsiaTheme="minorEastAsia"/>
          <w:szCs w:val="24"/>
        </w:rPr>
        <w:t>O，会产生少量的SO</w:t>
      </w:r>
      <w:r>
        <w:rPr>
          <w:rFonts w:eastAsiaTheme="minorEastAsia"/>
          <w:szCs w:val="24"/>
          <w:vertAlign w:val="subscript"/>
        </w:rPr>
        <w:t>2</w:t>
      </w:r>
      <w:r>
        <w:rPr>
          <w:rFonts w:eastAsiaTheme="minorEastAsia"/>
          <w:szCs w:val="24"/>
        </w:rPr>
        <w:t>、NO</w:t>
      </w:r>
      <w:r>
        <w:rPr>
          <w:rFonts w:eastAsiaTheme="minorEastAsia"/>
          <w:szCs w:val="24"/>
          <w:vertAlign w:val="subscript"/>
        </w:rPr>
        <w:t>X</w:t>
      </w:r>
      <w:r>
        <w:rPr>
          <w:rFonts w:eastAsiaTheme="minorEastAsia"/>
          <w:szCs w:val="24"/>
        </w:rPr>
        <w:t>和烟尘，产生量少、浓度低，对周围环境影响很小</w:t>
      </w:r>
      <w:r>
        <w:rPr>
          <w:rFonts w:eastAsia="仿宋_GB2312"/>
          <w:szCs w:val="24"/>
        </w:rPr>
        <w:t>。</w:t>
      </w:r>
    </w:p>
    <w:p>
      <w:pPr>
        <w:pStyle w:val="5"/>
      </w:pPr>
      <w:r>
        <w:rPr>
          <w:rFonts w:hint="eastAsia"/>
        </w:rPr>
        <w:t>油烟</w:t>
      </w:r>
    </w:p>
    <w:p>
      <w:pPr>
        <w:pStyle w:val="79"/>
        <w:ind w:firstLine="480"/>
        <w:rPr>
          <w:rFonts w:cs="Times New Roman"/>
        </w:rPr>
      </w:pPr>
      <w:bookmarkStart w:id="208" w:name="_Toc29095"/>
      <w:bookmarkStart w:id="209" w:name="_Toc15468"/>
      <w:bookmarkStart w:id="210" w:name="_Toc1789"/>
      <w:r>
        <w:rPr>
          <w:rFonts w:hint="eastAsia" w:cs="Times New Roman"/>
        </w:rPr>
        <w:t>项目食堂油烟废气通过油烟净化器处理后经管道至屋顶排气筒排放，油烟净化器处理效率为60%，则油烟排放量为</w:t>
      </w:r>
      <w:r>
        <w:rPr>
          <w:rFonts w:cs="Times New Roman"/>
        </w:rPr>
        <w:t>2.48kg/a</w:t>
      </w:r>
      <w:r>
        <w:rPr>
          <w:rFonts w:hint="eastAsia" w:cs="Times New Roman"/>
        </w:rPr>
        <w:t>，排放速率0.0023kg/h，排放浓度为1.13mg/m</w:t>
      </w:r>
      <w:r>
        <w:rPr>
          <w:rFonts w:hint="eastAsia" w:cs="Times New Roman"/>
          <w:vertAlign w:val="superscript"/>
        </w:rPr>
        <w:t>3</w:t>
      </w:r>
      <w:r>
        <w:rPr>
          <w:rFonts w:hint="eastAsia" w:cs="Times New Roman"/>
        </w:rPr>
        <w:t>。</w:t>
      </w:r>
      <w:r>
        <w:rPr>
          <w:rFonts w:cs="Times New Roman"/>
        </w:rPr>
        <w:t>满足《饮食业油烟排放标准》油烟最高排放浓度要求（≤2mg/m</w:t>
      </w:r>
      <w:r>
        <w:rPr>
          <w:rFonts w:cs="Times New Roman"/>
          <w:vertAlign w:val="superscript"/>
        </w:rPr>
        <w:t>3</w:t>
      </w:r>
      <w:r>
        <w:rPr>
          <w:rFonts w:cs="Times New Roman"/>
        </w:rPr>
        <w:t>）。</w:t>
      </w:r>
    </w:p>
    <w:p>
      <w:pPr>
        <w:pStyle w:val="4"/>
      </w:pPr>
      <w:r>
        <w:t>废水处理及综合利用措施分析</w:t>
      </w:r>
      <w:bookmarkEnd w:id="208"/>
      <w:bookmarkEnd w:id="209"/>
      <w:bookmarkEnd w:id="210"/>
    </w:p>
    <w:p>
      <w:pPr>
        <w:pStyle w:val="5"/>
      </w:pPr>
      <w:r>
        <w:rPr>
          <w:rFonts w:hint="eastAsia"/>
        </w:rPr>
        <w:t>项目</w:t>
      </w:r>
      <w:r>
        <w:t>废水处理工艺</w:t>
      </w:r>
    </w:p>
    <w:p>
      <w:pPr>
        <w:ind w:firstLine="480"/>
      </w:pPr>
      <w:r>
        <w:rPr>
          <w:rFonts w:hint="eastAsia"/>
        </w:rPr>
        <w:t>本项目采用干清粪工艺，污水</w:t>
      </w:r>
      <w:r>
        <w:t>处理采用“集粪池</w:t>
      </w:r>
      <w:r>
        <w:rPr>
          <w:rFonts w:hint="eastAsia"/>
        </w:rPr>
        <w:t>+固液</w:t>
      </w:r>
      <w:r>
        <w:t>分离</w:t>
      </w:r>
      <w:r>
        <w:rPr>
          <w:rFonts w:hint="eastAsia"/>
        </w:rPr>
        <w:t>+厌氧发酵+沼液</w:t>
      </w:r>
      <w:r>
        <w:t>暂存池”</w:t>
      </w:r>
      <w:r>
        <w:rPr>
          <w:rFonts w:hint="eastAsia"/>
        </w:rPr>
        <w:t>工艺</w:t>
      </w:r>
      <w:r>
        <w:t>，</w:t>
      </w:r>
      <w:r>
        <w:rPr>
          <w:rFonts w:hint="eastAsia"/>
        </w:rPr>
        <w:t>项目产生的粪污进入污水处理系统后首先经固液分离装置进行分离后，出水进入厌氧</w:t>
      </w:r>
      <w:r>
        <w:t>发酵池处理</w:t>
      </w:r>
      <w:r>
        <w:rPr>
          <w:rFonts w:hint="eastAsia"/>
        </w:rPr>
        <w:t>，产生的沼液经暂存池暂存，待施肥期作为农肥施用于农田；因此，本项目污水处理的基本流程为：</w:t>
      </w:r>
    </w:p>
    <w:p>
      <w:pPr>
        <w:spacing w:line="240" w:lineRule="auto"/>
        <w:ind w:firstLine="0" w:firstLineChars="0"/>
        <w:jc w:val="center"/>
      </w:pPr>
      <w:r>
        <w:object>
          <v:shape id="_x0000_i1038" o:spt="75" type="#_x0000_t75" style="height:109.6pt;width:415.9pt;" o:ole="t" filled="f" o:preferrelative="t" stroked="f" coordsize="21600,21600">
            <v:path/>
            <v:fill on="f" focussize="0,0"/>
            <v:stroke on="f" joinstyle="miter"/>
            <v:imagedata r:id="rId105" o:title=""/>
            <o:lock v:ext="edit" aspectratio="t"/>
            <w10:wrap type="none"/>
            <w10:anchorlock/>
          </v:shape>
          <o:OLEObject Type="Embed" ProgID="Visio.Drawing.11" ShapeID="_x0000_i1038" DrawAspect="Content" ObjectID="_1468075738" r:id="rId104">
            <o:LockedField>false</o:LockedField>
          </o:OLEObject>
        </w:object>
      </w:r>
      <w:r>
        <w:rPr>
          <w:rFonts w:hint="eastAsia"/>
          <w:b/>
        </w:rPr>
        <w:t>图7.2-1  项目污水</w:t>
      </w:r>
      <w:r>
        <w:rPr>
          <w:b/>
        </w:rPr>
        <w:t>处理基本流程</w:t>
      </w:r>
    </w:p>
    <w:p>
      <w:pPr>
        <w:pStyle w:val="5"/>
      </w:pPr>
      <w:r>
        <w:rPr>
          <w:rFonts w:hint="eastAsia"/>
        </w:rPr>
        <w:t>废水</w:t>
      </w:r>
      <w:r>
        <w:t>处理</w:t>
      </w:r>
      <w:r>
        <w:rPr>
          <w:rFonts w:hint="eastAsia"/>
        </w:rPr>
        <w:t>可行性</w:t>
      </w:r>
      <w:r>
        <w:t>分析</w:t>
      </w:r>
    </w:p>
    <w:p>
      <w:pPr>
        <w:ind w:firstLine="480"/>
      </w:pPr>
      <w:r>
        <w:rPr>
          <w:rFonts w:hint="eastAsia"/>
        </w:rPr>
        <w:t>（1）处理</w:t>
      </w:r>
      <w:r>
        <w:t>工艺</w:t>
      </w:r>
    </w:p>
    <w:p>
      <w:pPr>
        <w:ind w:firstLine="480"/>
      </w:pPr>
      <w:r>
        <w:rPr>
          <w:rFonts w:hint="eastAsia"/>
        </w:rPr>
        <w:t>本项目对干清粪工艺产生的粪污水采用“集粪池+固液分离+厌氧</w:t>
      </w:r>
      <w:r>
        <w:t>发酵池</w:t>
      </w:r>
      <w:r>
        <w:rPr>
          <w:rFonts w:hint="eastAsia"/>
        </w:rPr>
        <w:t>+沼液暂存池”，形成有机沼液，作为</w:t>
      </w:r>
      <w:r>
        <w:t>农肥</w:t>
      </w:r>
      <w:r>
        <w:rPr>
          <w:rFonts w:hint="eastAsia"/>
        </w:rPr>
        <w:t>施肥</w:t>
      </w:r>
      <w:r>
        <w:t>，属于</w:t>
      </w:r>
      <w:r>
        <w:rPr>
          <w:rFonts w:hint="eastAsia"/>
        </w:rPr>
        <w:t>《畜禽养殖业污染治理工程技术规范》（HJ497-2009）中</w:t>
      </w:r>
      <w:r>
        <w:t>将沼渣沼液进行资源化利用为目的模式</w:t>
      </w:r>
      <w:r>
        <w:rPr>
          <w:rFonts w:hint="eastAsia"/>
        </w:rPr>
        <w:t>Ⅰ，处理模式符合《畜禽养殖业污染治理工程技术规范》（HJ 497-2009）和《畜禽养殖业污染防治技术规范》（HJ/T 81-2001）中推荐及</w:t>
      </w:r>
      <w:r>
        <w:t>要求</w:t>
      </w:r>
      <w:r>
        <w:rPr>
          <w:rFonts w:hint="eastAsia"/>
        </w:rPr>
        <w:t>的粪污处理工艺模式，符合《规模畜禽养殖场污染防治最佳可行技术指南（试行）》中推荐的畜禽养殖粪污厌氧消化综合利用技术。</w:t>
      </w:r>
    </w:p>
    <w:p>
      <w:pPr>
        <w:ind w:firstLine="480"/>
      </w:pPr>
      <w:r>
        <w:rPr>
          <w:rFonts w:hint="eastAsia"/>
        </w:rPr>
        <w:t>（2）处理</w:t>
      </w:r>
      <w:r>
        <w:t>规模</w:t>
      </w:r>
    </w:p>
    <w:p>
      <w:pPr>
        <w:ind w:firstLine="480"/>
      </w:pPr>
      <w:r>
        <w:rPr>
          <w:rFonts w:hint="eastAsia"/>
        </w:rPr>
        <w:t>本项目废水量为</w:t>
      </w:r>
      <w:r>
        <w:t>21.00</w:t>
      </w:r>
      <w:r>
        <w:rPr>
          <w:rFonts w:hint="eastAsia"/>
        </w:rPr>
        <w:t>m</w:t>
      </w:r>
      <w:r>
        <w:rPr>
          <w:rFonts w:hint="eastAsia"/>
          <w:vertAlign w:val="superscript"/>
        </w:rPr>
        <w:t>3</w:t>
      </w:r>
      <w:r>
        <w:rPr>
          <w:rFonts w:hint="eastAsia"/>
        </w:rPr>
        <w:t>/d（7664.35</w:t>
      </w:r>
      <w:r>
        <w:t>m</w:t>
      </w:r>
      <w:r>
        <w:rPr>
          <w:vertAlign w:val="superscript"/>
        </w:rPr>
        <w:t>3</w:t>
      </w:r>
      <w:r>
        <w:t>/a</w:t>
      </w:r>
      <w:r>
        <w:rPr>
          <w:rFonts w:hint="eastAsia"/>
        </w:rPr>
        <w:t>），厌氧</w:t>
      </w:r>
      <w:r>
        <w:t>发酵池有效容积</w:t>
      </w:r>
      <w:r>
        <w:rPr>
          <w:rFonts w:hint="eastAsia"/>
        </w:rPr>
        <w:t>1000m</w:t>
      </w:r>
      <w:r>
        <w:rPr>
          <w:rFonts w:hint="eastAsia"/>
          <w:vertAlign w:val="superscript"/>
        </w:rPr>
        <w:t>3</w:t>
      </w:r>
      <w:r>
        <w:rPr>
          <w:rFonts w:hint="eastAsia"/>
        </w:rPr>
        <w:t>，根据《畜禽养殖业污染治理工程技术规范》（HJ 497-2009）中“贮存池的总有效容积应根据贮存期确定。种养结合的养殖场，贮存池的贮存期不得低于当地农作生产用肥的最大间隔时间和冬季封冻或预计最长降雨期，一般不得少于30天的排放总量”。本项目</w:t>
      </w:r>
      <w:r>
        <w:t>厌氧发酵池能</w:t>
      </w:r>
      <w:r>
        <w:rPr>
          <w:rFonts w:hint="eastAsia"/>
        </w:rPr>
        <w:t>容纳</w:t>
      </w:r>
      <w:r>
        <w:t>47</w:t>
      </w:r>
      <w:r>
        <w:rPr>
          <w:rFonts w:hint="eastAsia"/>
        </w:rPr>
        <w:t>天</w:t>
      </w:r>
      <w:r>
        <w:t>的废水排放量，容积符合要求。</w:t>
      </w:r>
    </w:p>
    <w:p>
      <w:pPr>
        <w:pStyle w:val="5"/>
      </w:pPr>
      <w:r>
        <w:rPr>
          <w:rFonts w:hint="eastAsia"/>
        </w:rPr>
        <w:t>沼液</w:t>
      </w:r>
      <w:r>
        <w:t>综合利用措施可行性分析</w:t>
      </w:r>
    </w:p>
    <w:p>
      <w:pPr>
        <w:ind w:firstLine="480"/>
      </w:pPr>
      <w:r>
        <w:rPr>
          <w:rFonts w:hint="eastAsia"/>
        </w:rPr>
        <w:t>（1）沼液</w:t>
      </w:r>
      <w:r>
        <w:t>综合利用可行性分析</w:t>
      </w:r>
    </w:p>
    <w:p>
      <w:pPr>
        <w:ind w:firstLine="480"/>
      </w:pPr>
      <w:r>
        <w:rPr>
          <w:rFonts w:hint="eastAsia"/>
        </w:rPr>
        <w:t>根据国内外大量实验研究及实际运用表明，养殖废水处理后的沼液，不仅含有农作物所需的氮、磷、钾等大量元素外，还含有硼、铜、铁、锰、钙、锌等丰富的中微量元素，以及大量的有机质、多种氨基酸、维生素、赤霉素、生长素、水解酶、有机酸和腐殖酸等生物活性物质。施用沼液，不仅能显著改良土壤、增加作物产量、确保农作物生长所需要的良好微生态系统，还有利于增强其抗冻、抗旱、抗虫能力，因此沼液是一种非常理想的液态有机肥料。对沼液进行农田利用总体是可行的。</w:t>
      </w:r>
    </w:p>
    <w:p>
      <w:pPr>
        <w:ind w:firstLine="480"/>
      </w:pPr>
      <w:r>
        <w:rPr>
          <w:rFonts w:hint="eastAsia"/>
        </w:rPr>
        <w:t>项目粪污水处理工艺为“集粪池+固液分离+厌氧</w:t>
      </w:r>
      <w:r>
        <w:t>发酵池</w:t>
      </w:r>
      <w:r>
        <w:rPr>
          <w:rFonts w:hint="eastAsia"/>
        </w:rPr>
        <w:t>+沼液暂存池”，处理模式符合《畜禽养殖业污染治理工程技术规范》（HJ 497-2009）和《畜禽养殖业污染防治技术规范》（HJ/T 81-2001）中推荐及</w:t>
      </w:r>
      <w:r>
        <w:t>要求</w:t>
      </w:r>
      <w:r>
        <w:rPr>
          <w:rFonts w:hint="eastAsia"/>
        </w:rPr>
        <w:t>的粪污处理工艺模式，符合《规模畜禽养殖场污染防治最佳可行技术指南（试行）》中推荐的畜禽养殖粪污厌氧消化综合利用技术。因此项目废水综合利用措施可行。</w:t>
      </w:r>
    </w:p>
    <w:p>
      <w:pPr>
        <w:ind w:firstLine="480"/>
      </w:pPr>
      <w:r>
        <w:rPr>
          <w:rFonts w:hint="eastAsia"/>
        </w:rPr>
        <w:t>项目产生的废水进入污水处理系统后首先经固液分离装置进行分离后，出水进入厌氧</w:t>
      </w:r>
      <w:r>
        <w:t>发酵池</w:t>
      </w:r>
      <w:r>
        <w:rPr>
          <w:rFonts w:hint="eastAsia"/>
        </w:rPr>
        <w:t>，产生的沼液经沼液暂存池暂存，待施肥期作为农肥施用于种植区</w:t>
      </w:r>
      <w:r>
        <w:t>魔芋及</w:t>
      </w:r>
      <w:r>
        <w:rPr>
          <w:rFonts w:hint="eastAsia"/>
        </w:rPr>
        <w:t>果树，因此项目废水零排放可行。</w:t>
      </w:r>
    </w:p>
    <w:p>
      <w:pPr>
        <w:ind w:firstLine="480"/>
      </w:pPr>
      <w:r>
        <w:rPr>
          <w:rFonts w:hint="eastAsia"/>
        </w:rPr>
        <w:t>（2）沼液</w:t>
      </w:r>
      <w:r>
        <w:t>储运工程</w:t>
      </w:r>
    </w:p>
    <w:p>
      <w:pPr>
        <w:ind w:firstLine="480"/>
      </w:pPr>
      <w:r>
        <w:rPr>
          <w:rFonts w:hint="eastAsia"/>
        </w:rPr>
        <w:t>本项目采用</w:t>
      </w:r>
      <w:r>
        <w:t>种养结合模式，</w:t>
      </w:r>
      <w:r>
        <w:rPr>
          <w:rFonts w:hint="eastAsia"/>
        </w:rPr>
        <w:t>配套建设沼液消纳管网将厂内处理过的沼液作为农肥输送到种植区域。</w:t>
      </w:r>
    </w:p>
    <w:p>
      <w:pPr>
        <w:ind w:firstLine="480"/>
      </w:pPr>
      <w:r>
        <w:rPr>
          <w:rFonts w:hint="eastAsia"/>
        </w:rPr>
        <w:t>沼液非施肥季节储存于沼液暂存池中，施肥季节通过潜水搅拌泵将沼液泵送至已铺设的管网中，在管网的末端预留有阀门，通过软管连接喷灌带进行农田施肥。沼液施肥是由企业的专业技术人员指导施用，避免过度施肥形成的径流影响周边沟渠。</w:t>
      </w:r>
    </w:p>
    <w:p>
      <w:pPr>
        <w:ind w:firstLine="480"/>
      </w:pPr>
      <w:r>
        <w:rPr>
          <w:rFonts w:hint="eastAsia"/>
        </w:rPr>
        <w:t>沼液输送管线需做好防腐工作，定期进行检修，一旦发生滴漏，停止输送沼液，待维护完毕后方可输送。沼液施肥区根据地形进行单元划分，分单元进行施肥，严格控制施肥量，严禁突击浇灌，在非浇灌季节及雨季，沼液由沼液</w:t>
      </w:r>
      <w:r>
        <w:t>暂存池</w:t>
      </w:r>
      <w:r>
        <w:rPr>
          <w:rFonts w:hint="eastAsia"/>
        </w:rPr>
        <w:t>暂存。</w:t>
      </w:r>
    </w:p>
    <w:p>
      <w:pPr>
        <w:ind w:firstLine="480"/>
      </w:pPr>
      <w:r>
        <w:rPr>
          <w:rFonts w:hint="eastAsia"/>
        </w:rPr>
        <w:t>本项目沼液储运工程符合《畜禽养殖业污染防治技术规范》（HJ/T81-2001）的要求，“在畜禽养殖场与还田利用的农田之间应建立有效的污水输送网络，通过车载或管道形式将处理(置)后的污水输送至农田，要加强管理，严格控制污水输送沿途的弃、撒和跑、冒、滴、漏”。因此</w:t>
      </w:r>
      <w:r>
        <w:t>，项目</w:t>
      </w:r>
      <w:r>
        <w:rPr>
          <w:rFonts w:hint="eastAsia"/>
        </w:rPr>
        <w:t>采取沼液非施肥季节储存于沼液暂存池中，施肥季节通过泵+管网输送至消纳田地的措施可行。</w:t>
      </w:r>
    </w:p>
    <w:p>
      <w:pPr>
        <w:ind w:firstLine="480"/>
      </w:pPr>
      <w:r>
        <w:rPr>
          <w:rFonts w:hint="eastAsia"/>
        </w:rPr>
        <w:t>（3）土地</w:t>
      </w:r>
      <w:r>
        <w:t>沼液消纳能力</w:t>
      </w:r>
    </w:p>
    <w:p>
      <w:pPr>
        <w:ind w:firstLine="480"/>
      </w:pPr>
      <w:r>
        <w:rPr>
          <w:rFonts w:hint="eastAsia"/>
          <w:bCs/>
        </w:rPr>
        <w:t>本项目</w:t>
      </w:r>
      <w:r>
        <w:rPr>
          <w:rFonts w:hint="eastAsia"/>
          <w:iCs/>
        </w:rPr>
        <w:t>猪粪干湿分离后外售给有机肥厂作为原料，养殖废水、生活废水经处理后全部用于还田。</w:t>
      </w:r>
    </w:p>
    <w:p>
      <w:pPr>
        <w:ind w:firstLine="480"/>
        <w:rPr>
          <w:b/>
          <w:bCs/>
        </w:rPr>
      </w:pPr>
      <w:r>
        <w:rPr>
          <w:rFonts w:hint="eastAsia"/>
        </w:rPr>
        <w:t>根据农业部办公厅关于印发《畜禽粪污土地承载力测算技术指南》的通知</w:t>
      </w:r>
      <w:r>
        <w:t>(</w:t>
      </w:r>
      <w:r>
        <w:rPr>
          <w:rFonts w:hint="eastAsia"/>
        </w:rPr>
        <w:t>农办牧[</w:t>
      </w:r>
      <w:r>
        <w:t>2018</w:t>
      </w:r>
      <w:r>
        <w:rPr>
          <w:rFonts w:hint="eastAsia"/>
        </w:rPr>
        <w:t>]</w:t>
      </w:r>
      <w:r>
        <w:t>1</w:t>
      </w:r>
      <w:r>
        <w:rPr>
          <w:rFonts w:hint="eastAsia"/>
        </w:rPr>
        <w:t>号</w:t>
      </w:r>
      <w:r>
        <w:t>)</w:t>
      </w:r>
      <w:r>
        <w:rPr>
          <w:rFonts w:hint="eastAsia"/>
        </w:rPr>
        <w:t>：</w:t>
      </w:r>
      <w:r>
        <w:t>“</w:t>
      </w:r>
      <w:r>
        <w:rPr>
          <w:rFonts w:hint="eastAsia"/>
        </w:rPr>
        <w:t>畜禽粪污土地承载力及规模养殖场配套土地面积测算以粪肥氮养分供给和植物氮养分需求为基础进行核算，对于设施蔬菜等作物为主或土壤本底值磷含量较高的特殊区域或农用地，可选择以磷为基础进行测算。畜禽粪肥养分需求量根据土壤肥力、作物类型和产量、粪肥施用比例等确定。畜禽粪肥养分供给量根据畜禽养殖量、粪污养分产生量、粪污收集处理方式等确定。</w:t>
      </w:r>
      <w:r>
        <w:t>”</w:t>
      </w:r>
    </w:p>
    <w:p>
      <w:pPr>
        <w:ind w:firstLine="482"/>
        <w:rPr>
          <w:b/>
          <w:bCs/>
        </w:rPr>
      </w:pPr>
      <w:r>
        <w:rPr>
          <w:b/>
          <w:bCs/>
        </w:rPr>
        <w:t>A</w:t>
      </w:r>
      <w:r>
        <w:rPr>
          <w:rFonts w:hint="eastAsia"/>
          <w:b/>
          <w:bCs/>
        </w:rPr>
        <w:t>、粪肥养分供给量</w:t>
      </w:r>
    </w:p>
    <w:p>
      <w:pPr>
        <w:pStyle w:val="79"/>
        <w:ind w:firstLine="0" w:firstLineChars="0"/>
        <w:rPr>
          <w:rFonts w:cs="Times New Roman"/>
        </w:rPr>
      </w:pPr>
      <w:r>
        <w:rPr>
          <w:position w:val="-18"/>
        </w:rPr>
        <w:object>
          <v:shape id="_x0000_i1039" o:spt="75" type="#_x0000_t75" style="height:23.1pt;width:414.8pt;" o:ole="t" filled="f" o:preferrelative="t" stroked="f" coordsize="21600,21600">
            <v:path/>
            <v:fill on="f" focussize="0,0"/>
            <v:stroke on="f" joinstyle="miter"/>
            <v:imagedata r:id="rId107" o:title=""/>
            <o:lock v:ext="edit" aspectratio="t"/>
            <w10:wrap type="none"/>
            <w10:anchorlock/>
          </v:shape>
          <o:OLEObject Type="Embed" ProgID="Equation.DSMT4" ShapeID="_x0000_i1039" DrawAspect="Content" ObjectID="_1468075739" r:id="rId106">
            <o:LockedField>false</o:LockedField>
          </o:OLEObject>
        </w:object>
      </w:r>
      <w:r>
        <w:t xml:space="preserve">    </w:t>
      </w:r>
      <w:r>
        <w:rPr>
          <w:rFonts w:hint="eastAsia" w:cs="Times New Roman"/>
        </w:rPr>
        <w:t>本项目</w:t>
      </w:r>
      <w:r>
        <w:rPr>
          <w:rFonts w:cs="Times New Roman"/>
        </w:rPr>
        <w:t>生猪存栏量</w:t>
      </w:r>
      <w:r>
        <w:rPr>
          <w:rFonts w:hint="eastAsia" w:cs="Times New Roman"/>
        </w:rPr>
        <w:t>5000头。</w:t>
      </w:r>
    </w:p>
    <w:p>
      <w:pPr>
        <w:ind w:firstLine="480"/>
      </w:pPr>
      <w:r>
        <w:rPr>
          <w:rFonts w:hint="eastAsia"/>
        </w:rPr>
        <w:t>根据农业部办公厅关于印发《畜禽粪污土地承载力测算技术指南》的通知</w:t>
      </w:r>
      <w:r>
        <w:t>(</w:t>
      </w:r>
      <w:r>
        <w:rPr>
          <w:rFonts w:hint="eastAsia"/>
        </w:rPr>
        <w:t>农办牧[</w:t>
      </w:r>
      <w:r>
        <w:t>2018]1</w:t>
      </w:r>
      <w:r>
        <w:rPr>
          <w:rFonts w:hint="eastAsia"/>
        </w:rPr>
        <w:t>号</w:t>
      </w:r>
      <w:r>
        <w:t>)</w:t>
      </w:r>
      <w:r>
        <w:rPr>
          <w:rFonts w:hint="eastAsia"/>
        </w:rPr>
        <w:t>“</w:t>
      </w:r>
      <w:r>
        <w:t>1</w:t>
      </w:r>
      <w:r>
        <w:rPr>
          <w:rFonts w:hint="eastAsia"/>
        </w:rPr>
        <w:t>个猪当量的氮排泄量为</w:t>
      </w:r>
      <w:r>
        <w:t>11kg</w:t>
      </w:r>
      <w:r>
        <w:rPr>
          <w:rFonts w:hint="eastAsia"/>
        </w:rPr>
        <w:t>，磷排泄量为</w:t>
      </w:r>
      <w:r>
        <w:t>1.65kg</w:t>
      </w:r>
      <w:r>
        <w:rPr>
          <w:rFonts w:hint="eastAsia"/>
        </w:rPr>
        <w:t>”，</w:t>
      </w:r>
      <w:r>
        <w:rPr>
          <w:rFonts w:hint="eastAsia"/>
          <w:lang w:val="en"/>
        </w:rPr>
        <w:t>生猪、奶牛、肉牛固体粪便中氮素占氮排泄总量的</w:t>
      </w:r>
      <w:r>
        <w:t>50%</w:t>
      </w:r>
      <w:r>
        <w:rPr>
          <w:rFonts w:hint="eastAsia"/>
          <w:lang w:val="en"/>
        </w:rPr>
        <w:t>，磷素占</w:t>
      </w:r>
      <w:r>
        <w:t>80%</w:t>
      </w:r>
      <w:r>
        <w:rPr>
          <w:rFonts w:hint="eastAsia"/>
        </w:rPr>
        <w:t>，由此</w:t>
      </w:r>
      <w:r>
        <w:t>计算可知项目猪粪氮</w:t>
      </w:r>
      <w:r>
        <w:rPr>
          <w:rFonts w:hint="eastAsia"/>
        </w:rPr>
        <w:t>总量</w:t>
      </w:r>
      <w:r>
        <w:t>为</w:t>
      </w:r>
      <w:r>
        <w:rPr>
          <w:rFonts w:hint="eastAsia"/>
        </w:rPr>
        <w:t>27.5</w:t>
      </w:r>
      <w:r>
        <w:t>t，磷</w:t>
      </w:r>
      <w:r>
        <w:rPr>
          <w:rFonts w:hint="eastAsia"/>
        </w:rPr>
        <w:t>总</w:t>
      </w:r>
      <w:r>
        <w:t>排放量为</w:t>
      </w:r>
      <w:r>
        <w:rPr>
          <w:rFonts w:hint="eastAsia"/>
        </w:rPr>
        <w:t>6.6</w:t>
      </w:r>
      <w:r>
        <w:t>t/a</w:t>
      </w:r>
      <w:r>
        <w:rPr>
          <w:rFonts w:hint="eastAsia"/>
        </w:rPr>
        <w:t>。</w:t>
      </w:r>
    </w:p>
    <w:p>
      <w:pPr>
        <w:ind w:firstLine="480"/>
        <w:rPr>
          <w:lang w:val="en"/>
        </w:rPr>
      </w:pPr>
      <w:r>
        <w:rPr>
          <w:rFonts w:hint="eastAsia"/>
        </w:rPr>
        <w:t>养分留存</w:t>
      </w:r>
      <w:r>
        <w:t>率：</w:t>
      </w:r>
      <w:r>
        <w:rPr>
          <w:rFonts w:hint="eastAsia"/>
        </w:rPr>
        <w:t>根据《畜禽粪污土地承载力测算技术指南》的通知</w:t>
      </w:r>
      <w:r>
        <w:t>(</w:t>
      </w:r>
      <w:r>
        <w:rPr>
          <w:rFonts w:hint="eastAsia"/>
        </w:rPr>
        <w:t>农办牧[</w:t>
      </w:r>
      <w:r>
        <w:t>2018]1</w:t>
      </w:r>
      <w:r>
        <w:rPr>
          <w:rFonts w:hint="eastAsia"/>
        </w:rPr>
        <w:t>号</w:t>
      </w:r>
      <w:r>
        <w:t>)</w:t>
      </w:r>
      <w:r>
        <w:rPr>
          <w:rFonts w:hint="eastAsia"/>
        </w:rPr>
        <w:t>，</w:t>
      </w:r>
      <w:r>
        <w:rPr>
          <w:rFonts w:hint="eastAsia"/>
          <w:lang w:val="en"/>
        </w:rPr>
        <w:t>固体粪便堆肥、污水氧化塘贮存或厌氧发酵后农田利用为主的，粪污收集处理过程中氮留存率推荐值</w:t>
      </w:r>
      <w:r>
        <w:rPr>
          <w:lang w:val="en"/>
        </w:rPr>
        <w:t>62%</w:t>
      </w:r>
      <w:r>
        <w:rPr>
          <w:rFonts w:hint="eastAsia"/>
          <w:lang w:val="en"/>
        </w:rPr>
        <w:t>、磷留存率</w:t>
      </w:r>
      <w:r>
        <w:rPr>
          <w:lang w:val="en"/>
        </w:rPr>
        <w:t>72%</w:t>
      </w:r>
      <w:r>
        <w:rPr>
          <w:rFonts w:hint="eastAsia"/>
          <w:lang w:val="en"/>
        </w:rPr>
        <w:t>。</w:t>
      </w:r>
    </w:p>
    <w:p>
      <w:pPr>
        <w:ind w:firstLine="480"/>
      </w:pPr>
      <w:r>
        <w:rPr>
          <w:rFonts w:hint="eastAsia"/>
        </w:rPr>
        <w:t>由于本项目粪污分别处理，粪便经干湿分离后外售有机肥厂</w:t>
      </w:r>
      <w:r>
        <w:t>作为原料</w:t>
      </w:r>
      <w:r>
        <w:rPr>
          <w:rFonts w:hint="eastAsia"/>
        </w:rPr>
        <w:t>，养殖废水经厌氧发酵后用于还田，</w:t>
      </w:r>
      <w:r>
        <w:t>则</w:t>
      </w:r>
      <w:r>
        <w:rPr>
          <w:rFonts w:hint="eastAsia"/>
        </w:rPr>
        <w:t>处理</w:t>
      </w:r>
      <w:r>
        <w:t>后猪粪中氮总量为</w:t>
      </w:r>
      <w:r>
        <w:rPr>
          <w:rFonts w:hint="eastAsia"/>
        </w:rPr>
        <w:t>17.05</w:t>
      </w:r>
      <w:r>
        <w:t>t</w:t>
      </w:r>
      <w:r>
        <w:rPr>
          <w:rFonts w:hint="eastAsia"/>
        </w:rPr>
        <w:t>，</w:t>
      </w:r>
      <w:r>
        <w:t>磷</w:t>
      </w:r>
      <w:r>
        <w:rPr>
          <w:rFonts w:hint="eastAsia"/>
        </w:rPr>
        <w:t>总量4.75</w:t>
      </w:r>
      <w:r>
        <w:t>t</w:t>
      </w:r>
      <w:r>
        <w:rPr>
          <w:rFonts w:hint="eastAsia"/>
        </w:rPr>
        <w:t>，</w:t>
      </w:r>
      <w:r>
        <w:t>用于</w:t>
      </w:r>
      <w:r>
        <w:rPr>
          <w:rFonts w:hint="eastAsia"/>
        </w:rPr>
        <w:t>施肥</w:t>
      </w:r>
      <w:r>
        <w:t>的沼液中氮和磷的总量分别为</w:t>
      </w:r>
      <w:r>
        <w:rPr>
          <w:rFonts w:hint="eastAsia"/>
        </w:rPr>
        <w:t>10.45</w:t>
      </w:r>
      <w:r>
        <w:t>t，</w:t>
      </w:r>
      <w:r>
        <w:rPr>
          <w:rFonts w:hint="eastAsia"/>
        </w:rPr>
        <w:t>1.85</w:t>
      </w:r>
      <w:r>
        <w:t>t。</w:t>
      </w:r>
    </w:p>
    <w:p>
      <w:pPr>
        <w:ind w:firstLine="482"/>
        <w:rPr>
          <w:b/>
          <w:bCs/>
        </w:rPr>
      </w:pPr>
      <w:r>
        <w:rPr>
          <w:rFonts w:hint="eastAsia"/>
          <w:b/>
          <w:bCs/>
        </w:rPr>
        <w:t>B</w:t>
      </w:r>
      <w:r>
        <w:rPr>
          <w:b/>
          <w:bCs/>
        </w:rPr>
        <w:t>、单位土地粪肥养分需求量</w:t>
      </w:r>
    </w:p>
    <w:p>
      <w:pPr>
        <w:spacing w:line="240" w:lineRule="auto"/>
        <w:ind w:firstLine="0" w:firstLineChars="0"/>
        <w:rPr>
          <w:b/>
          <w:bCs/>
          <w:highlight w:val="yellow"/>
        </w:rPr>
      </w:pPr>
      <w:r>
        <w:rPr>
          <w:b/>
          <w:bCs/>
          <w:position w:val="-26"/>
        </w:rPr>
        <w:object>
          <v:shape id="_x0000_i1040" o:spt="75" type="#_x0000_t75" style="height:30.65pt;width:415.9pt;" o:ole="t" filled="f" o:preferrelative="t" stroked="f" coordsize="21600,21600">
            <v:path/>
            <v:fill on="f" focussize="0,0"/>
            <v:stroke on="f" joinstyle="miter"/>
            <v:imagedata r:id="rId109" o:title=""/>
            <o:lock v:ext="edit" aspectratio="t"/>
            <w10:wrap type="none"/>
            <w10:anchorlock/>
          </v:shape>
          <o:OLEObject Type="Embed" ProgID="Equation.DSMT4" ShapeID="_x0000_i1040" DrawAspect="Content" ObjectID="_1468075740" r:id="rId108">
            <o:LockedField>false</o:LockedField>
          </o:OLEObject>
        </w:object>
      </w:r>
    </w:p>
    <w:p>
      <w:pPr>
        <w:ind w:firstLine="482"/>
        <w:rPr>
          <w:bCs/>
        </w:rPr>
      </w:pPr>
      <w:r>
        <w:rPr>
          <w:rFonts w:hint="eastAsia"/>
          <w:b/>
          <w:bCs/>
        </w:rPr>
        <w:t>单位</w:t>
      </w:r>
      <w:r>
        <w:rPr>
          <w:b/>
          <w:bCs/>
        </w:rPr>
        <w:t>土地养分需求量：</w:t>
      </w:r>
      <w:r>
        <w:rPr>
          <w:rFonts w:hint="eastAsia"/>
          <w:bCs/>
        </w:rPr>
        <w:t>据《畜禽粪污土地承载力测算技术指南》，单位土地养分需求量为规模养殖场单位面积配套土地种植的各类植物在目标产量下的氮（磷）养分需求之和，根据《畜禽粪污土地承载力测算技术指南》的通知中附表3目标产量（魔芋，参照</w:t>
      </w:r>
      <w:r>
        <w:rPr>
          <w:bCs/>
        </w:rPr>
        <w:t>马铃薯</w:t>
      </w:r>
      <w:r>
        <w:rPr>
          <w:rFonts w:hint="eastAsia"/>
          <w:bCs/>
        </w:rPr>
        <w:t>：</w:t>
      </w:r>
      <w:r>
        <w:rPr>
          <w:bCs/>
        </w:rPr>
        <w:t>1333</w:t>
      </w:r>
      <w:r>
        <w:rPr>
          <w:rFonts w:hint="eastAsia"/>
          <w:bCs/>
        </w:rPr>
        <w:t>kg/亩；果树</w:t>
      </w:r>
      <w:r>
        <w:rPr>
          <w:bCs/>
        </w:rPr>
        <w:t>，参照</w:t>
      </w:r>
      <w:r>
        <w:rPr>
          <w:rFonts w:hint="eastAsia"/>
          <w:bCs/>
        </w:rPr>
        <w:t>柑橘：1</w:t>
      </w:r>
      <w:r>
        <w:rPr>
          <w:bCs/>
        </w:rPr>
        <w:t>500</w:t>
      </w:r>
      <w:r>
        <w:rPr>
          <w:rFonts w:hint="eastAsia"/>
          <w:bCs/>
        </w:rPr>
        <w:t>kg/亩）及旬阳</w:t>
      </w:r>
      <w:r>
        <w:rPr>
          <w:bCs/>
        </w:rPr>
        <w:t>地区</w:t>
      </w:r>
      <w:r>
        <w:rPr>
          <w:rFonts w:hint="eastAsia"/>
          <w:bCs/>
        </w:rPr>
        <w:t>魔芋、果树的产量的经验数据（魔芋：</w:t>
      </w:r>
      <w:r>
        <w:rPr>
          <w:bCs/>
        </w:rPr>
        <w:t>4500</w:t>
      </w:r>
      <w:r>
        <w:rPr>
          <w:rFonts w:hint="eastAsia"/>
          <w:bCs/>
        </w:rPr>
        <w:t>～</w:t>
      </w:r>
      <w:r>
        <w:rPr>
          <w:bCs/>
        </w:rPr>
        <w:t>5000</w:t>
      </w:r>
      <w:r>
        <w:rPr>
          <w:rFonts w:hint="eastAsia"/>
          <w:bCs/>
        </w:rPr>
        <w:t>kg/亩；果树：</w:t>
      </w:r>
      <w:r>
        <w:rPr>
          <w:bCs/>
        </w:rPr>
        <w:t>30</w:t>
      </w:r>
      <w:r>
        <w:rPr>
          <w:rFonts w:hint="eastAsia"/>
          <w:bCs/>
        </w:rPr>
        <w:t>00～</w:t>
      </w:r>
      <w:r>
        <w:rPr>
          <w:bCs/>
        </w:rPr>
        <w:t>40</w:t>
      </w:r>
      <w:r>
        <w:rPr>
          <w:rFonts w:hint="eastAsia"/>
          <w:bCs/>
        </w:rPr>
        <w:t>00kg/亩），</w:t>
      </w:r>
      <w:r>
        <w:rPr>
          <w:bCs/>
        </w:rPr>
        <w:t>本次评价按魔芋</w:t>
      </w:r>
      <w:r>
        <w:rPr>
          <w:rFonts w:hint="eastAsia"/>
          <w:bCs/>
        </w:rPr>
        <w:t>5000</w:t>
      </w:r>
      <w:r>
        <w:rPr>
          <w:bCs/>
        </w:rPr>
        <w:t>kg/</w:t>
      </w:r>
      <w:r>
        <w:rPr>
          <w:rFonts w:hint="eastAsia"/>
          <w:bCs/>
        </w:rPr>
        <w:t>亩</w:t>
      </w:r>
      <w:r>
        <w:rPr>
          <w:bCs/>
        </w:rPr>
        <w:t>，果树</w:t>
      </w:r>
      <w:r>
        <w:rPr>
          <w:rFonts w:hint="eastAsia"/>
          <w:bCs/>
        </w:rPr>
        <w:t>4000</w:t>
      </w:r>
      <w:r>
        <w:rPr>
          <w:bCs/>
        </w:rPr>
        <w:t>kg/</w:t>
      </w:r>
      <w:r>
        <w:rPr>
          <w:rFonts w:hint="eastAsia"/>
          <w:bCs/>
        </w:rPr>
        <w:t>亩</w:t>
      </w:r>
      <w:r>
        <w:rPr>
          <w:bCs/>
        </w:rPr>
        <w:t>计算</w:t>
      </w:r>
      <w:r>
        <w:rPr>
          <w:rFonts w:hint="eastAsia"/>
          <w:bCs/>
        </w:rPr>
        <w:t>。</w:t>
      </w:r>
    </w:p>
    <w:p>
      <w:pPr>
        <w:ind w:firstLine="480"/>
      </w:pPr>
      <w:r>
        <w:rPr>
          <w:rFonts w:hint="eastAsia"/>
        </w:rPr>
        <w:t>根据《畜禽粪污土地承载力测算技术指南》的通知中附表</w:t>
      </w:r>
      <w:r>
        <w:t>1</w:t>
      </w:r>
      <w:r>
        <w:rPr>
          <w:rFonts w:hint="eastAsia"/>
        </w:rPr>
        <w:t>不同植物形成</w:t>
      </w:r>
      <w:r>
        <w:t>100kg</w:t>
      </w:r>
      <w:r>
        <w:rPr>
          <w:rFonts w:hint="eastAsia"/>
        </w:rPr>
        <w:t>产量需要吸收氮、磷量推荐值，本项目涉及作物的氮磷量吸收值见下表：</w:t>
      </w:r>
    </w:p>
    <w:p>
      <w:pPr>
        <w:pStyle w:val="41"/>
      </w:pPr>
      <w:r>
        <w:rPr>
          <w:rFonts w:hint="eastAsia" w:ascii="宋体" w:hAnsi="宋体" w:eastAsia="宋体" w:cs="宋体"/>
        </w:rPr>
        <w:t>表</w:t>
      </w:r>
      <w:r>
        <w:t xml:space="preserve">7.2-1  </w:t>
      </w:r>
      <w:r>
        <w:rPr>
          <w:rFonts w:hint="eastAsia" w:ascii="宋体" w:hAnsi="宋体" w:eastAsia="宋体" w:cs="宋体"/>
        </w:rPr>
        <w:t>本项目不同作物形成</w:t>
      </w:r>
      <w:r>
        <w:t>100kg</w:t>
      </w:r>
      <w:r>
        <w:rPr>
          <w:rFonts w:hint="eastAsia" w:ascii="宋体" w:hAnsi="宋体" w:eastAsia="宋体" w:cs="宋体"/>
        </w:rPr>
        <w:t>产量需要吸收氮磷量</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6"/>
        <w:gridCol w:w="2785"/>
        <w:gridCol w:w="27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706" w:type="dxa"/>
          </w:tcPr>
          <w:p>
            <w:pPr>
              <w:pStyle w:val="89"/>
            </w:pPr>
            <w:r>
              <w:rPr>
                <w:rFonts w:hint="eastAsia"/>
              </w:rPr>
              <w:t>作物种类</w:t>
            </w:r>
          </w:p>
        </w:tc>
        <w:tc>
          <w:tcPr>
            <w:tcW w:w="2785" w:type="dxa"/>
          </w:tcPr>
          <w:p>
            <w:pPr>
              <w:pStyle w:val="89"/>
            </w:pPr>
            <w:r>
              <w:rPr>
                <w:rFonts w:hint="eastAsia"/>
              </w:rPr>
              <w:t>氮</w:t>
            </w:r>
            <w:r>
              <w:t>/N(kg)</w:t>
            </w:r>
          </w:p>
        </w:tc>
        <w:tc>
          <w:tcPr>
            <w:tcW w:w="2785" w:type="dxa"/>
          </w:tcPr>
          <w:p>
            <w:pPr>
              <w:pStyle w:val="89"/>
            </w:pPr>
            <w:r>
              <w:rPr>
                <w:rFonts w:hint="eastAsia"/>
              </w:rPr>
              <w:t>磷</w:t>
            </w:r>
            <w:r>
              <w:t>/P(kg)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706" w:type="dxa"/>
          </w:tcPr>
          <w:p>
            <w:pPr>
              <w:pStyle w:val="89"/>
            </w:pPr>
            <w:r>
              <w:rPr>
                <w:rFonts w:hint="eastAsia"/>
              </w:rPr>
              <w:t>魔芋</w:t>
            </w:r>
            <w:r>
              <w:t>（</w:t>
            </w:r>
            <w:r>
              <w:rPr>
                <w:rFonts w:hint="eastAsia"/>
              </w:rPr>
              <w:t>参照马铃薯</w:t>
            </w:r>
            <w:r>
              <w:t>）</w:t>
            </w:r>
          </w:p>
        </w:tc>
        <w:tc>
          <w:tcPr>
            <w:tcW w:w="2785" w:type="dxa"/>
          </w:tcPr>
          <w:p>
            <w:pPr>
              <w:pStyle w:val="89"/>
            </w:pPr>
            <w:r>
              <w:t>0.5</w:t>
            </w:r>
          </w:p>
        </w:tc>
        <w:tc>
          <w:tcPr>
            <w:tcW w:w="2785" w:type="dxa"/>
          </w:tcPr>
          <w:p>
            <w:pPr>
              <w:pStyle w:val="89"/>
            </w:pPr>
            <w:r>
              <w:t>0.088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706" w:type="dxa"/>
          </w:tcPr>
          <w:p>
            <w:pPr>
              <w:pStyle w:val="89"/>
            </w:pPr>
            <w:r>
              <w:rPr>
                <w:rFonts w:hint="eastAsia"/>
              </w:rPr>
              <w:t>果树（参照柑桔）</w:t>
            </w:r>
          </w:p>
        </w:tc>
        <w:tc>
          <w:tcPr>
            <w:tcW w:w="2785" w:type="dxa"/>
          </w:tcPr>
          <w:p>
            <w:pPr>
              <w:pStyle w:val="89"/>
            </w:pPr>
            <w:r>
              <w:t>0.6</w:t>
            </w:r>
          </w:p>
        </w:tc>
        <w:tc>
          <w:tcPr>
            <w:tcW w:w="2785" w:type="dxa"/>
          </w:tcPr>
          <w:p>
            <w:pPr>
              <w:pStyle w:val="89"/>
            </w:pPr>
            <w:r>
              <w:t>0.11</w:t>
            </w:r>
          </w:p>
        </w:tc>
      </w:tr>
    </w:tbl>
    <w:p>
      <w:pPr>
        <w:ind w:firstLine="480"/>
        <w:rPr>
          <w:bCs/>
          <w:highlight w:val="yellow"/>
        </w:rPr>
      </w:pPr>
      <w:r>
        <w:rPr>
          <w:rFonts w:hint="eastAsia"/>
          <w:bCs/>
        </w:rPr>
        <w:t>配套</w:t>
      </w:r>
      <w:r>
        <w:rPr>
          <w:bCs/>
        </w:rPr>
        <w:t>土地种植魔芋和果树的单位土地养分氮素需求量分别为</w:t>
      </w:r>
      <w:r>
        <w:rPr>
          <w:rFonts w:hint="eastAsia"/>
          <w:bCs/>
        </w:rPr>
        <w:t>25</w:t>
      </w:r>
      <w:r>
        <w:rPr>
          <w:bCs/>
        </w:rPr>
        <w:t>kg/</w:t>
      </w:r>
      <w:r>
        <w:rPr>
          <w:rFonts w:hint="eastAsia"/>
          <w:bCs/>
        </w:rPr>
        <w:t>亩</w:t>
      </w:r>
      <w:r>
        <w:rPr>
          <w:bCs/>
        </w:rPr>
        <w:t>，</w:t>
      </w:r>
      <w:r>
        <w:rPr>
          <w:rFonts w:hint="eastAsia"/>
          <w:bCs/>
        </w:rPr>
        <w:t>24</w:t>
      </w:r>
      <w:r>
        <w:rPr>
          <w:bCs/>
        </w:rPr>
        <w:t>kg/</w:t>
      </w:r>
      <w:r>
        <w:rPr>
          <w:rFonts w:hint="eastAsia"/>
          <w:bCs/>
        </w:rPr>
        <w:t>亩，磷素需求量分别为4.</w:t>
      </w:r>
      <w:r>
        <w:rPr>
          <w:bCs/>
        </w:rPr>
        <w:t>4</w:t>
      </w:r>
      <w:r>
        <w:rPr>
          <w:rFonts w:hint="eastAsia"/>
          <w:bCs/>
        </w:rPr>
        <w:t>kg/亩、4.4kg/亩。</w:t>
      </w:r>
    </w:p>
    <w:p>
      <w:pPr>
        <w:ind w:firstLine="482"/>
        <w:rPr>
          <w:b/>
          <w:bCs/>
        </w:rPr>
      </w:pPr>
      <w:r>
        <w:rPr>
          <w:rFonts w:hint="eastAsia"/>
          <w:b/>
          <w:bCs/>
        </w:rPr>
        <w:t>施肥</w:t>
      </w:r>
      <w:r>
        <w:rPr>
          <w:b/>
          <w:bCs/>
        </w:rPr>
        <w:t>供给养分占比：</w:t>
      </w:r>
      <w:r>
        <w:rPr>
          <w:rFonts w:hint="eastAsia"/>
          <w:bCs/>
        </w:rPr>
        <w:t>土壤养分水平为II类土壤，结合《畜禽粪污土地承载力测算技术指南》中表2，本次施肥供给占比取50%；</w:t>
      </w:r>
    </w:p>
    <w:p>
      <w:pPr>
        <w:ind w:firstLine="480"/>
        <w:rPr>
          <w:bCs/>
        </w:rPr>
      </w:pPr>
      <w:r>
        <w:rPr>
          <w:rFonts w:hint="eastAsia"/>
          <w:bCs/>
        </w:rPr>
        <w:t>粪肥占施肥比例：取95%。</w:t>
      </w:r>
    </w:p>
    <w:p>
      <w:pPr>
        <w:ind w:firstLine="480"/>
        <w:rPr>
          <w:bCs/>
        </w:rPr>
      </w:pPr>
      <w:r>
        <w:rPr>
          <w:rFonts w:hint="eastAsia"/>
          <w:bCs/>
        </w:rPr>
        <w:t>粪肥当季利用率：结合《畜禽粪污土地承载力测算技术指南》，不同区域的粪肥占施肥比例根据当地实际情况确定；粪肥中氮素当季利用率取值范围推荐值为25%～30%，磷素当季利用率取值范围推荐值为30%～35%，具体根据当地实际情况确定。本项目粪肥中氮素当季利用率取</w:t>
      </w:r>
      <w:r>
        <w:rPr>
          <w:bCs/>
        </w:rPr>
        <w:t>25</w:t>
      </w:r>
      <w:r>
        <w:rPr>
          <w:rFonts w:hint="eastAsia"/>
          <w:bCs/>
        </w:rPr>
        <w:t>%，粪肥中磷素当季利用率取</w:t>
      </w:r>
      <w:r>
        <w:rPr>
          <w:bCs/>
        </w:rPr>
        <w:t>30</w:t>
      </w:r>
      <w:r>
        <w:rPr>
          <w:rFonts w:hint="eastAsia"/>
          <w:bCs/>
        </w:rPr>
        <w:t>%。</w:t>
      </w:r>
    </w:p>
    <w:p>
      <w:pPr>
        <w:ind w:firstLine="480"/>
        <w:rPr>
          <w:bCs/>
          <w:highlight w:val="yellow"/>
        </w:rPr>
      </w:pPr>
      <w:r>
        <w:rPr>
          <w:rFonts w:hint="eastAsia"/>
          <w:bCs/>
        </w:rPr>
        <w:t>项目区土地种植魔芋时土地粪肥中氮素需求量为</w:t>
      </w:r>
      <w:r>
        <w:rPr>
          <w:bCs/>
        </w:rPr>
        <w:t>47.5</w:t>
      </w:r>
      <w:r>
        <w:rPr>
          <w:rFonts w:hint="eastAsia"/>
          <w:bCs/>
        </w:rPr>
        <w:t>kg/亩、磷素需求量为</w:t>
      </w:r>
      <w:r>
        <w:rPr>
          <w:bCs/>
        </w:rPr>
        <w:t>6.97</w:t>
      </w:r>
      <w:r>
        <w:rPr>
          <w:rFonts w:hint="eastAsia"/>
          <w:bCs/>
        </w:rPr>
        <w:t>kg/亩；种植果树时单位土地粪肥中氮素需求量为</w:t>
      </w:r>
      <w:r>
        <w:rPr>
          <w:bCs/>
        </w:rPr>
        <w:t>45.6</w:t>
      </w:r>
      <w:r>
        <w:rPr>
          <w:rFonts w:hint="eastAsia"/>
          <w:bCs/>
        </w:rPr>
        <w:t>kg/亩、磷素需求量为</w:t>
      </w:r>
      <w:r>
        <w:rPr>
          <w:bCs/>
        </w:rPr>
        <w:t>6.97</w:t>
      </w:r>
      <w:r>
        <w:rPr>
          <w:rFonts w:hint="eastAsia"/>
          <w:bCs/>
        </w:rPr>
        <w:t>kg/亩；项目</w:t>
      </w:r>
      <w:r>
        <w:rPr>
          <w:bCs/>
        </w:rPr>
        <w:t>种植魔芋200</w:t>
      </w:r>
      <w:r>
        <w:rPr>
          <w:rFonts w:hint="eastAsia"/>
          <w:bCs/>
        </w:rPr>
        <w:t>亩</w:t>
      </w:r>
      <w:r>
        <w:rPr>
          <w:bCs/>
        </w:rPr>
        <w:t>，种植果树150</w:t>
      </w:r>
      <w:r>
        <w:rPr>
          <w:rFonts w:hint="eastAsia"/>
          <w:bCs/>
        </w:rPr>
        <w:t>亩</w:t>
      </w:r>
      <w:r>
        <w:rPr>
          <w:bCs/>
        </w:rPr>
        <w:t>，</w:t>
      </w:r>
      <w:r>
        <w:rPr>
          <w:rFonts w:hint="eastAsia"/>
          <w:bCs/>
        </w:rPr>
        <w:t>则</w:t>
      </w:r>
      <w:r>
        <w:rPr>
          <w:bCs/>
        </w:rPr>
        <w:t>养分需求总量为氮</w:t>
      </w:r>
      <w:r>
        <w:rPr>
          <w:rFonts w:hint="eastAsia"/>
          <w:bCs/>
        </w:rPr>
        <w:t>16.34</w:t>
      </w:r>
      <w:r>
        <w:rPr>
          <w:bCs/>
        </w:rPr>
        <w:t>t</w:t>
      </w:r>
      <w:r>
        <w:rPr>
          <w:rFonts w:hint="eastAsia"/>
          <w:bCs/>
        </w:rPr>
        <w:t>，磷2.43</w:t>
      </w:r>
      <w:r>
        <w:rPr>
          <w:bCs/>
        </w:rPr>
        <w:t>t</w:t>
      </w:r>
      <w:r>
        <w:rPr>
          <w:rFonts w:hint="eastAsia"/>
        </w:rPr>
        <w:t>。</w:t>
      </w:r>
    </w:p>
    <w:p>
      <w:pPr>
        <w:ind w:firstLine="480"/>
        <w:rPr>
          <w:bCs/>
          <w:highlight w:val="yellow"/>
        </w:rPr>
      </w:pPr>
      <w:r>
        <w:rPr>
          <w:rFonts w:hint="eastAsia"/>
          <w:bCs/>
        </w:rPr>
        <w:t>本项目粪污</w:t>
      </w:r>
      <w:r>
        <w:rPr>
          <w:bCs/>
        </w:rPr>
        <w:t>废</w:t>
      </w:r>
      <w:r>
        <w:rPr>
          <w:rFonts w:hint="eastAsia"/>
          <w:bCs/>
        </w:rPr>
        <w:t>水中N、P供给量分别为</w:t>
      </w:r>
      <w:r>
        <w:rPr>
          <w:bCs/>
        </w:rPr>
        <w:t>10.45</w:t>
      </w:r>
      <w:r>
        <w:rPr>
          <w:rFonts w:hint="eastAsia"/>
          <w:bCs/>
        </w:rPr>
        <w:t>t、</w:t>
      </w:r>
      <w:r>
        <w:rPr>
          <w:bCs/>
        </w:rPr>
        <w:t>1.85</w:t>
      </w:r>
      <w:r>
        <w:rPr>
          <w:rFonts w:hint="eastAsia"/>
          <w:bCs/>
        </w:rPr>
        <w:t>t，</w:t>
      </w:r>
      <w:r>
        <w:rPr>
          <w:bCs/>
        </w:rPr>
        <w:t>小于种植土地的养分需求总量N、P分别为</w:t>
      </w:r>
      <w:r>
        <w:rPr>
          <w:rFonts w:hint="eastAsia"/>
          <w:bCs/>
        </w:rPr>
        <w:t>16.34</w:t>
      </w:r>
      <w:r>
        <w:rPr>
          <w:bCs/>
        </w:rPr>
        <w:t>t，</w:t>
      </w:r>
      <w:r>
        <w:rPr>
          <w:rFonts w:hint="eastAsia"/>
          <w:bCs/>
        </w:rPr>
        <w:t>2.43</w:t>
      </w:r>
      <w:r>
        <w:rPr>
          <w:bCs/>
        </w:rPr>
        <w:t>t</w:t>
      </w:r>
      <w:r>
        <w:rPr>
          <w:rFonts w:hint="eastAsia"/>
          <w:bCs/>
        </w:rPr>
        <w:t>，因此项目配套的消纳地面积满足消纳要求。在合理种植和施肥的基础上，项目废水的处理和土壤肥力、作物生长之间是趋于平衡的，不会超过土壤负荷。</w:t>
      </w:r>
    </w:p>
    <w:p>
      <w:pPr>
        <w:ind w:firstLine="480"/>
      </w:pPr>
      <w:r>
        <w:rPr>
          <w:rFonts w:hint="eastAsia"/>
        </w:rPr>
        <w:t>综上，本项目产生的废水能完全被土壤消纳，本项目养殖规模符合国家种养结合的养殖原则，不会产生二次污染。</w:t>
      </w:r>
    </w:p>
    <w:p>
      <w:pPr>
        <w:pStyle w:val="5"/>
      </w:pPr>
      <w:r>
        <w:rPr>
          <w:rFonts w:hint="eastAsia"/>
        </w:rPr>
        <w:t>非</w:t>
      </w:r>
      <w:r>
        <w:t>灌溉期沼液不外排可靠性分析</w:t>
      </w:r>
    </w:p>
    <w:p>
      <w:pPr>
        <w:ind w:firstLine="480"/>
      </w:pPr>
      <w:r>
        <w:rPr>
          <w:rFonts w:hint="eastAsia"/>
        </w:rPr>
        <w:t>根据《畜禽养殖业污染治理工程技术规范（</w:t>
      </w:r>
      <w:r>
        <w:t>HJ497-2009</w:t>
      </w:r>
      <w:r>
        <w:rPr>
          <w:rFonts w:hint="eastAsia"/>
        </w:rPr>
        <w:t>）》</w:t>
      </w:r>
      <w:r>
        <w:t>6.1.2</w:t>
      </w:r>
      <w:r>
        <w:rPr>
          <w:rFonts w:hint="eastAsia"/>
        </w:rPr>
        <w:t>粪污贮存中的要求，</w:t>
      </w:r>
      <w:r>
        <w:t>“</w:t>
      </w:r>
      <w:r>
        <w:rPr>
          <w:rFonts w:hint="eastAsia"/>
        </w:rPr>
        <w:t>贮存池的总有效容积应根据贮存期确定。种养结合的养殖场，贮存池的贮存期不得低于当地农作物生产用肥的最大间隔时间和冬季封冻期或雨季最长降雨期，一般不得小于</w:t>
      </w:r>
      <w:r>
        <w:t>30d</w:t>
      </w:r>
      <w:r>
        <w:rPr>
          <w:rFonts w:hint="eastAsia"/>
        </w:rPr>
        <w:t>的排放总量。</w:t>
      </w:r>
      <w:r>
        <w:t>”</w:t>
      </w:r>
    </w:p>
    <w:p>
      <w:pPr>
        <w:ind w:firstLine="480"/>
      </w:pPr>
      <w:r>
        <w:rPr>
          <w:rFonts w:hint="eastAsia"/>
        </w:rPr>
        <w:t>根据农业</w:t>
      </w:r>
      <w:r>
        <w:t>农村办公厅、生态环境部办公厅关于印发《</w:t>
      </w:r>
      <w:r>
        <w:rPr>
          <w:rFonts w:hint="eastAsia"/>
        </w:rPr>
        <w:t>畜禽</w:t>
      </w:r>
      <w:r>
        <w:t>养殖场（</w:t>
      </w:r>
      <w:r>
        <w:rPr>
          <w:rFonts w:hint="eastAsia"/>
        </w:rPr>
        <w:t>户</w:t>
      </w:r>
      <w:r>
        <w:t>）</w:t>
      </w:r>
      <w:r>
        <w:rPr>
          <w:rFonts w:hint="eastAsia"/>
        </w:rPr>
        <w:t>粪污</w:t>
      </w:r>
      <w:r>
        <w:t>处理设施建设技术指南》</w:t>
      </w:r>
      <w:r>
        <w:rPr>
          <w:rFonts w:hint="eastAsia"/>
        </w:rPr>
        <w:t>（农办牧[2022]19号），（2022年</w:t>
      </w:r>
      <w:r>
        <w:t>6</w:t>
      </w:r>
      <w:r>
        <w:rPr>
          <w:rFonts w:hint="eastAsia"/>
        </w:rPr>
        <w:t>月</w:t>
      </w:r>
      <w:r>
        <w:t>24</w:t>
      </w:r>
      <w:r>
        <w:rPr>
          <w:rFonts w:hint="eastAsia"/>
        </w:rPr>
        <w:t>日）：“畜禽养殖场（户）建设畜禽粪污暂存池（场）的，液体粪污暂存池容积不小于单位畜禽液体粪污日产生量（立方米/天·头、只、羽）×暂存周期（天）×设计存栏量（头、只、羽），暂存周期按转运处理最大时间间隔确定。”</w:t>
      </w:r>
    </w:p>
    <w:p>
      <w:pPr>
        <w:ind w:firstLine="480"/>
        <w:rPr>
          <w:highlight w:val="yellow"/>
        </w:rPr>
      </w:pPr>
      <w:r>
        <w:rPr>
          <w:rFonts w:hint="eastAsia"/>
        </w:rPr>
        <w:t>本项目</w:t>
      </w:r>
      <w:r>
        <w:t>设计存栏量</w:t>
      </w:r>
      <w:r>
        <w:rPr>
          <w:rFonts w:hint="eastAsia"/>
        </w:rPr>
        <w:t>5000头</w:t>
      </w:r>
      <w:r>
        <w:t>，</w:t>
      </w:r>
      <w:r>
        <w:rPr>
          <w:rFonts w:hint="eastAsia"/>
        </w:rPr>
        <w:t>结合项目所处区域及项目特点，项目</w:t>
      </w:r>
      <w:r>
        <w:t>生产用肥</w:t>
      </w:r>
      <w:r>
        <w:rPr>
          <w:rFonts w:hint="eastAsia"/>
        </w:rPr>
        <w:t>的</w:t>
      </w:r>
      <w:r>
        <w:t>最大间隔时间为</w:t>
      </w:r>
      <w:r>
        <w:rPr>
          <w:rFonts w:hint="eastAsia"/>
        </w:rPr>
        <w:t>2个</w:t>
      </w:r>
      <w:r>
        <w:t>月</w:t>
      </w:r>
      <w:r>
        <w:rPr>
          <w:rFonts w:hint="eastAsia"/>
        </w:rPr>
        <w:t>（60天），</w:t>
      </w:r>
      <w:r>
        <w:t>暂存周期</w:t>
      </w:r>
      <w:r>
        <w:rPr>
          <w:rFonts w:hint="eastAsia"/>
        </w:rPr>
        <w:t>60天</w:t>
      </w:r>
      <w:r>
        <w:t>，</w:t>
      </w:r>
      <w:r>
        <w:rPr>
          <w:rFonts w:hint="eastAsia"/>
        </w:rPr>
        <w:t>根据</w:t>
      </w:r>
      <w:r>
        <w:t>《</w:t>
      </w:r>
      <w:r>
        <w:rPr>
          <w:rFonts w:hint="eastAsia"/>
        </w:rPr>
        <w:t>指南</w:t>
      </w:r>
      <w:r>
        <w:t>》</w:t>
      </w:r>
      <w:r>
        <w:rPr>
          <w:rFonts w:hint="eastAsia"/>
        </w:rPr>
        <w:t>生猪单位</w:t>
      </w:r>
      <w:r>
        <w:t>畜禽</w:t>
      </w:r>
      <w:r>
        <w:rPr>
          <w:rFonts w:hint="eastAsia"/>
        </w:rPr>
        <w:t>液体</w:t>
      </w:r>
      <w:r>
        <w:t>粪污产生量</w:t>
      </w:r>
      <w:r>
        <w:rPr>
          <w:rFonts w:hint="eastAsia"/>
        </w:rPr>
        <w:t>0.0085</w:t>
      </w:r>
      <w:r>
        <w:t>m</w:t>
      </w:r>
      <w:r>
        <w:rPr>
          <w:vertAlign w:val="superscript"/>
        </w:rPr>
        <w:t>3</w:t>
      </w:r>
      <w:r>
        <w:rPr>
          <w:rFonts w:hint="eastAsia"/>
        </w:rPr>
        <w:t>，由此</w:t>
      </w:r>
      <w:r>
        <w:t>计算</w:t>
      </w:r>
      <w:r>
        <w:rPr>
          <w:rFonts w:hint="eastAsia"/>
        </w:rPr>
        <w:t>沼液</w:t>
      </w:r>
      <w:r>
        <w:t>暂存池容积</w:t>
      </w:r>
      <w:r>
        <w:rPr>
          <w:rFonts w:hint="eastAsia"/>
        </w:rPr>
        <w:t>为2550</w:t>
      </w:r>
      <w:r>
        <w:t>m</w:t>
      </w:r>
      <w:r>
        <w:rPr>
          <w:vertAlign w:val="superscript"/>
        </w:rPr>
        <w:t>3</w:t>
      </w:r>
      <w:r>
        <w:t>，</w:t>
      </w:r>
      <w:r>
        <w:rPr>
          <w:rFonts w:hint="eastAsia"/>
        </w:rPr>
        <w:t>考虑</w:t>
      </w:r>
      <w:r>
        <w:t>有效容积，</w:t>
      </w:r>
      <w:r>
        <w:rPr>
          <w:rFonts w:hint="eastAsia"/>
        </w:rPr>
        <w:t>本次</w:t>
      </w:r>
      <w:r>
        <w:t>环评要求沼液暂存池</w:t>
      </w:r>
      <w:r>
        <w:rPr>
          <w:rFonts w:hint="eastAsia"/>
        </w:rPr>
        <w:t>容积为</w:t>
      </w:r>
      <w:r>
        <w:t>2800m</w:t>
      </w:r>
      <w:r>
        <w:rPr>
          <w:vertAlign w:val="superscript"/>
        </w:rPr>
        <w:t>3</w:t>
      </w:r>
      <w:r>
        <w:rPr>
          <w:rFonts w:hint="eastAsia"/>
        </w:rPr>
        <w:t>（具体</w:t>
      </w:r>
      <w:r>
        <w:t>以设计为</w:t>
      </w:r>
      <w:r>
        <w:rPr>
          <w:rFonts w:hint="eastAsia"/>
        </w:rPr>
        <w:t>准）</w:t>
      </w:r>
      <w:r>
        <w:t>。</w:t>
      </w:r>
    </w:p>
    <w:p>
      <w:pPr>
        <w:pStyle w:val="4"/>
      </w:pPr>
      <w:bookmarkStart w:id="211" w:name="_Toc25395"/>
      <w:bookmarkStart w:id="212" w:name="_Toc31375"/>
      <w:bookmarkStart w:id="213" w:name="_Toc7584"/>
      <w:r>
        <w:rPr>
          <w:rFonts w:hint="eastAsia"/>
        </w:rPr>
        <w:t>地下水</w:t>
      </w:r>
      <w:r>
        <w:t>污染防治措施可行性</w:t>
      </w:r>
    </w:p>
    <w:p>
      <w:pPr>
        <w:pStyle w:val="79"/>
        <w:ind w:firstLine="480"/>
        <w:rPr>
          <w:bCs/>
        </w:rPr>
      </w:pPr>
      <w:r>
        <w:rPr>
          <w:rFonts w:hint="eastAsia"/>
          <w:bCs/>
        </w:rPr>
        <w:t>项目建成投产后，养殖废水和</w:t>
      </w:r>
      <w:r>
        <w:rPr>
          <w:bCs/>
        </w:rPr>
        <w:t>生活污水</w:t>
      </w:r>
      <w:r>
        <w:rPr>
          <w:rFonts w:hint="eastAsia"/>
          <w:bCs/>
        </w:rPr>
        <w:t>全部经“集</w:t>
      </w:r>
      <w:r>
        <w:rPr>
          <w:bCs/>
        </w:rPr>
        <w:t>粪池</w:t>
      </w:r>
      <w:r>
        <w:rPr>
          <w:rFonts w:hint="eastAsia"/>
          <w:bCs/>
        </w:rPr>
        <w:t>+固液</w:t>
      </w:r>
      <w:r>
        <w:rPr>
          <w:bCs/>
        </w:rPr>
        <w:t>分离</w:t>
      </w:r>
      <w:r>
        <w:rPr>
          <w:rFonts w:hint="eastAsia"/>
          <w:bCs/>
        </w:rPr>
        <w:t>+厌氧</w:t>
      </w:r>
      <w:r>
        <w:rPr>
          <w:bCs/>
        </w:rPr>
        <w:t>发酵</w:t>
      </w:r>
      <w:r>
        <w:rPr>
          <w:rFonts w:hint="eastAsia"/>
          <w:bCs/>
        </w:rPr>
        <w:t>”处理后进行种植</w:t>
      </w:r>
      <w:r>
        <w:rPr>
          <w:bCs/>
        </w:rPr>
        <w:t>区的</w:t>
      </w:r>
      <w:r>
        <w:rPr>
          <w:rFonts w:hint="eastAsia"/>
          <w:bCs/>
        </w:rPr>
        <w:t>魔芋</w:t>
      </w:r>
      <w:r>
        <w:rPr>
          <w:bCs/>
        </w:rPr>
        <w:t>、特色林果业的</w:t>
      </w:r>
      <w:r>
        <w:rPr>
          <w:rFonts w:hint="eastAsia"/>
          <w:bCs/>
        </w:rPr>
        <w:t>农田施肥，对地下水的影响主要为养殖场区内部涉及废水的区域，可能产生污染的环节有：猪舍底部、废水收集及输送管线、污水处理系统各池体、沼液</w:t>
      </w:r>
      <w:r>
        <w:rPr>
          <w:bCs/>
        </w:rPr>
        <w:t>暂存池</w:t>
      </w:r>
      <w:r>
        <w:rPr>
          <w:rFonts w:hint="eastAsia"/>
          <w:bCs/>
        </w:rPr>
        <w:t>、堆粪棚等防渗不到位，防渗地面、内壁、管线出现破损裂缝，造成废水自流过程通过裂缝下渗污染周围浅层地下水。</w:t>
      </w:r>
    </w:p>
    <w:p>
      <w:pPr>
        <w:pStyle w:val="79"/>
        <w:ind w:firstLine="480"/>
      </w:pPr>
      <w:r>
        <w:rPr>
          <w:rFonts w:hint="eastAsia"/>
          <w:bCs/>
        </w:rPr>
        <w:t>针对以上污染环节，</w:t>
      </w:r>
      <w:r>
        <w:t>本项目地下水污染防治措施按照</w:t>
      </w:r>
      <w:r>
        <w:rPr>
          <w:rFonts w:hint="eastAsia"/>
        </w:rPr>
        <w:t>“</w:t>
      </w:r>
      <w:r>
        <w:t>源头控制、分区防治、污染监控、应急响应</w:t>
      </w:r>
      <w:r>
        <w:rPr>
          <w:rFonts w:hint="eastAsia"/>
        </w:rPr>
        <w:t>”</w:t>
      </w:r>
      <w:r>
        <w:t>相结合的原则，从污染物的产生、入渗、扩散、应急响应进行控制。</w:t>
      </w:r>
    </w:p>
    <w:p>
      <w:pPr>
        <w:pStyle w:val="5"/>
      </w:pPr>
      <w:r>
        <w:t>源头控制措施</w:t>
      </w:r>
    </w:p>
    <w:p>
      <w:pPr>
        <w:pStyle w:val="79"/>
        <w:ind w:firstLine="480"/>
      </w:pPr>
      <w:r>
        <w:rPr>
          <w:rFonts w:hint="eastAsia"/>
        </w:rPr>
        <w:t>地下水污染的特殊性（隐蔽性、难以逆转性和复杂性）决定了地下水污染的防治应首先立足于“防”，从源头控制、减少污染物的量，可以有效防止污染物进入地下水环境。项目应对产生的废水进行合理的治理和综合利用，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露的环境风险事故降低到最低程度。针对该项目特点，建议从以下几个方面进行控制污染：</w:t>
      </w:r>
    </w:p>
    <w:p>
      <w:pPr>
        <w:ind w:firstLine="480"/>
        <w:rPr>
          <w:szCs w:val="24"/>
        </w:rPr>
      </w:pPr>
      <w:r>
        <w:rPr>
          <w:rFonts w:hint="eastAsia"/>
          <w:szCs w:val="24"/>
        </w:rPr>
        <w:t>（</w:t>
      </w:r>
      <w:r>
        <w:rPr>
          <w:szCs w:val="24"/>
        </w:rPr>
        <w:t>1</w:t>
      </w:r>
      <w:r>
        <w:rPr>
          <w:rFonts w:hint="eastAsia"/>
          <w:szCs w:val="24"/>
        </w:rPr>
        <w:t>）废水排放措施</w:t>
      </w:r>
    </w:p>
    <w:p>
      <w:pPr>
        <w:ind w:firstLine="480"/>
        <w:rPr>
          <w:szCs w:val="24"/>
        </w:rPr>
      </w:pPr>
      <w:r>
        <w:rPr>
          <w:rFonts w:hint="eastAsia"/>
          <w:szCs w:val="24"/>
        </w:rPr>
        <w:t>污水排放是造成地表水污染从而造成地下水污染的重要原因。因此，防止地下水污染最根本的方法就是减少废水中污染物的排放量。采用节能减排及清洁生产技术，降低污染物产生量和排放量，防止环境污染。本项目清粪采用干清粪工艺，减少了清粪过程中的用水，降低了清粪用水量，从源头上减少了污水的产生量，从而降低对地下水环境的影响。</w:t>
      </w:r>
    </w:p>
    <w:p>
      <w:pPr>
        <w:ind w:firstLine="480"/>
        <w:rPr>
          <w:szCs w:val="24"/>
        </w:rPr>
      </w:pPr>
      <w:r>
        <w:rPr>
          <w:rFonts w:hint="eastAsia"/>
          <w:szCs w:val="24"/>
        </w:rPr>
        <w:t>（</w:t>
      </w:r>
      <w:r>
        <w:rPr>
          <w:szCs w:val="24"/>
        </w:rPr>
        <w:t>2</w:t>
      </w:r>
      <w:r>
        <w:rPr>
          <w:rFonts w:hint="eastAsia"/>
          <w:szCs w:val="24"/>
        </w:rPr>
        <w:t>）管网布置及维护措施</w:t>
      </w:r>
    </w:p>
    <w:p>
      <w:pPr>
        <w:ind w:firstLine="480"/>
        <w:rPr>
          <w:szCs w:val="24"/>
        </w:rPr>
      </w:pPr>
      <w:r>
        <w:rPr>
          <w:rFonts w:hint="eastAsia"/>
          <w:szCs w:val="24"/>
        </w:rPr>
        <w:t>加强污水排放管道的防渗处理，防止废水渗漏而污染地下水，一方面要防止土壤被污染，另一方面要阻断污染物与地下水的联系。有污水流散的猪舍要做好地面防渗处理，污水管要确保质量，管接头处采取严格的防渗措施。管线铺设尽量采用“可视化”原则，即管道尽可能地上铺设，做到污染物“早发现、早处理”，以减少由于埋地管道泄漏而可能造成的地下水污染。废水收集管道应进行防渗处理，处理后的废水输送管道以</w:t>
      </w:r>
      <w:r>
        <w:rPr>
          <w:szCs w:val="24"/>
        </w:rPr>
        <w:t>PVC</w:t>
      </w:r>
      <w:r>
        <w:rPr>
          <w:rFonts w:hint="eastAsia"/>
          <w:szCs w:val="24"/>
        </w:rPr>
        <w:t>管为主。污水处理系统各构筑物池底、池壁均进行防渗处理，底部采用素土压实</w:t>
      </w:r>
      <w:r>
        <w:rPr>
          <w:szCs w:val="24"/>
        </w:rPr>
        <w:t>+HDPE</w:t>
      </w:r>
      <w:r>
        <w:rPr>
          <w:rFonts w:hint="eastAsia"/>
          <w:szCs w:val="24"/>
        </w:rPr>
        <w:t>膜防渗，池壁均采用混凝土进行防渗处理。</w:t>
      </w:r>
    </w:p>
    <w:p>
      <w:pPr>
        <w:pStyle w:val="79"/>
        <w:ind w:firstLine="480"/>
        <w:rPr>
          <w:rFonts w:cs="Times New Roman"/>
        </w:rPr>
      </w:pPr>
      <w:r>
        <w:rPr>
          <w:rFonts w:cs="Times New Roman"/>
        </w:rPr>
        <w:t>（</w:t>
      </w:r>
      <w:r>
        <w:rPr>
          <w:rFonts w:eastAsia="TimesNewRomanPSMT" w:cs="Times New Roman"/>
        </w:rPr>
        <w:t>3</w:t>
      </w:r>
      <w:r>
        <w:rPr>
          <w:rFonts w:cs="Times New Roman"/>
        </w:rPr>
        <w:t>）固体废物厂内临时堆存措施</w:t>
      </w:r>
    </w:p>
    <w:p>
      <w:pPr>
        <w:pStyle w:val="79"/>
        <w:ind w:firstLine="480"/>
        <w:rPr>
          <w:rFonts w:cs="Times New Roman"/>
        </w:rPr>
      </w:pPr>
      <w:r>
        <w:rPr>
          <w:rFonts w:hint="eastAsia"/>
        </w:rPr>
        <w:t>危险固废临时堆场，严格按照</w:t>
      </w:r>
      <w:r>
        <w:rPr>
          <w:rFonts w:cs="Times New Roman"/>
        </w:rPr>
        <w:t>《危险废物贮存污染控制标准》（</w:t>
      </w:r>
      <w:r>
        <w:rPr>
          <w:rFonts w:eastAsia="TimesNewRomanPSMT" w:cs="Times New Roman"/>
        </w:rPr>
        <w:t>GB18597-2001</w:t>
      </w:r>
      <w:r>
        <w:rPr>
          <w:rFonts w:cs="Times New Roman"/>
        </w:rPr>
        <w:t>）、《危险废物转移管理办法》（</w:t>
      </w:r>
      <w:r>
        <w:rPr>
          <w:rFonts w:hint="eastAsia" w:cs="Times New Roman"/>
        </w:rPr>
        <w:t>部令</w:t>
      </w:r>
      <w:r>
        <w:rPr>
          <w:rFonts w:cs="Times New Roman"/>
        </w:rPr>
        <w:t>第</w:t>
      </w:r>
      <w:r>
        <w:rPr>
          <w:rFonts w:hint="eastAsia" w:cs="Times New Roman"/>
        </w:rPr>
        <w:t>23号</w:t>
      </w:r>
      <w:r>
        <w:rPr>
          <w:rFonts w:cs="Times New Roman"/>
        </w:rPr>
        <w:t>，</w:t>
      </w:r>
      <w:r>
        <w:rPr>
          <w:rFonts w:hint="eastAsia" w:cs="Times New Roman"/>
        </w:rPr>
        <w:t>2022.1.1</w:t>
      </w:r>
      <w:r>
        <w:rPr>
          <w:rFonts w:cs="Times New Roman"/>
        </w:rPr>
        <w:t>）及《危险废物收集贮存运输技术规范》（</w:t>
      </w:r>
      <w:r>
        <w:rPr>
          <w:rFonts w:eastAsia="TimesNewRomanPSMT" w:cs="Times New Roman"/>
        </w:rPr>
        <w:t>HJ2025-2012</w:t>
      </w:r>
      <w:r>
        <w:rPr>
          <w:rFonts w:cs="Times New Roman"/>
        </w:rPr>
        <w:t>）相关要求对其进行收集、贮存、转移及运输，不得随意堆放、贮存，保证危险废物不进入环境，以防止对地下水造成污染。</w:t>
      </w:r>
    </w:p>
    <w:p>
      <w:pPr>
        <w:pStyle w:val="79"/>
        <w:ind w:firstLine="480"/>
        <w:rPr>
          <w:rFonts w:cs="Times New Roman"/>
        </w:rPr>
      </w:pPr>
      <w:r>
        <w:rPr>
          <w:rFonts w:cs="Times New Roman"/>
        </w:rPr>
        <w:t>一般固体废物严格按照《一般工业固体废物贮存和填埋污染控制标准》</w:t>
      </w:r>
      <w:r>
        <w:rPr>
          <w:rFonts w:eastAsia="TimesNewRomanPSMT" w:cs="Times New Roman"/>
        </w:rPr>
        <w:t>(GB18599-2020)</w:t>
      </w:r>
      <w:r>
        <w:rPr>
          <w:rFonts w:cs="Times New Roman"/>
        </w:rPr>
        <w:t>要求进行贮存及处置。</w:t>
      </w:r>
    </w:p>
    <w:p>
      <w:pPr>
        <w:pStyle w:val="79"/>
        <w:ind w:firstLine="480"/>
      </w:pPr>
      <w:r>
        <w:rPr>
          <w:rFonts w:cs="Times New Roman"/>
        </w:rPr>
        <w:t>粪便</w:t>
      </w:r>
      <w:r>
        <w:rPr>
          <w:rFonts w:hint="eastAsia" w:cs="Times New Roman"/>
        </w:rPr>
        <w:t>堆棚</w:t>
      </w:r>
      <w:r>
        <w:rPr>
          <w:rFonts w:cs="Times New Roman"/>
        </w:rPr>
        <w:t>的设置应满足《畜禽养殖业污染防治技术规范》（</w:t>
      </w:r>
      <w:r>
        <w:rPr>
          <w:rFonts w:eastAsia="TimesNewRomanPSMT" w:cs="Times New Roman"/>
        </w:rPr>
        <w:t>HJ/T81-2001</w:t>
      </w:r>
      <w:r>
        <w:rPr>
          <w:rFonts w:cs="Times New Roman"/>
        </w:rPr>
        <w:t>）、《畜禽养殖业污染治理工程技术规划》（</w:t>
      </w:r>
      <w:r>
        <w:rPr>
          <w:rFonts w:eastAsia="TimesNewRomanPSMT" w:cs="Times New Roman"/>
        </w:rPr>
        <w:t>HJ497-2009</w:t>
      </w:r>
      <w:r>
        <w:rPr>
          <w:rFonts w:cs="Times New Roman"/>
        </w:rPr>
        <w:t>）</w:t>
      </w:r>
      <w:r>
        <w:rPr>
          <w:rFonts w:hint="eastAsia"/>
        </w:rPr>
        <w:t>中关于堆粪场的相关要求。本项目固粪处理区堆粪棚设有围挡，底部为混凝土结构防渗。</w:t>
      </w:r>
    </w:p>
    <w:p>
      <w:pPr>
        <w:ind w:firstLine="480"/>
        <w:rPr>
          <w:szCs w:val="24"/>
        </w:rPr>
      </w:pPr>
      <w:r>
        <w:rPr>
          <w:rFonts w:hint="eastAsia"/>
          <w:szCs w:val="24"/>
        </w:rPr>
        <w:t>（</w:t>
      </w:r>
      <w:r>
        <w:rPr>
          <w:szCs w:val="24"/>
        </w:rPr>
        <w:t>4</w:t>
      </w:r>
      <w:r>
        <w:rPr>
          <w:rFonts w:hint="eastAsia"/>
          <w:szCs w:val="24"/>
        </w:rPr>
        <w:t>）配备专职的安全管理与责任人员，要有专职人员每天巡视、检查可能发生泄露的区域，发现跑、冒、滴、漏情况，及时采取管线修复等措施阻止污染物的进一步扩散泄露，并立即清除被污染的土壤，阻止污染物进一步下渗。</w:t>
      </w:r>
    </w:p>
    <w:p>
      <w:pPr>
        <w:pStyle w:val="5"/>
      </w:pPr>
      <w:r>
        <w:rPr>
          <w:rFonts w:hint="eastAsia"/>
        </w:rPr>
        <w:t>分区</w:t>
      </w:r>
      <w:r>
        <w:t>防渗</w:t>
      </w:r>
    </w:p>
    <w:p>
      <w:pPr>
        <w:pStyle w:val="85"/>
        <w:spacing w:line="360" w:lineRule="auto"/>
        <w:ind w:firstLine="480" w:firstLineChars="200"/>
        <w:jc w:val="both"/>
        <w:rPr>
          <w:rFonts w:hAnsi="Times New Roman"/>
          <w:b w:val="0"/>
          <w:sz w:val="24"/>
        </w:rPr>
      </w:pPr>
      <w:r>
        <w:rPr>
          <w:rFonts w:hint="eastAsia" w:hAnsi="Times New Roman"/>
          <w:b w:val="0"/>
          <w:sz w:val="24"/>
        </w:rPr>
        <w:t>为控制项目运行对地下水环境的影响，根据《环境影响评价技术导则—地下水环境》（HJ610-2016）要求，根据厂区各生产功能单元是否可能对地下水造成污染及其风险程度，将厂区划分为重点防渗区、一般防渗区和简单防渗区。分区防渗措施要求应根据建设项目场地天然包气带防污性能、污染控制难易程度和污染物特性等因素确定，其中污染控制难易程度分级和天然包气带防污性能分级分别参照表7.2</w:t>
      </w:r>
      <w:r>
        <w:rPr>
          <w:rFonts w:hAnsi="Times New Roman"/>
          <w:b w:val="0"/>
          <w:sz w:val="24"/>
        </w:rPr>
        <w:t>-2</w:t>
      </w:r>
      <w:r>
        <w:rPr>
          <w:rFonts w:hint="eastAsia" w:hAnsi="Times New Roman"/>
          <w:b w:val="0"/>
          <w:sz w:val="24"/>
        </w:rPr>
        <w:t>和表7.</w:t>
      </w:r>
      <w:r>
        <w:rPr>
          <w:rFonts w:hAnsi="Times New Roman"/>
          <w:b w:val="0"/>
          <w:sz w:val="24"/>
        </w:rPr>
        <w:t>2-</w:t>
      </w:r>
      <w:r>
        <w:rPr>
          <w:rFonts w:hint="eastAsia" w:hAnsi="Times New Roman"/>
          <w:b w:val="0"/>
          <w:sz w:val="24"/>
        </w:rPr>
        <w:t>3进行相关等级的确定。防渗技术要求参照表7.</w:t>
      </w:r>
      <w:r>
        <w:rPr>
          <w:rFonts w:hAnsi="Times New Roman"/>
          <w:b w:val="0"/>
          <w:sz w:val="24"/>
        </w:rPr>
        <w:t>2-</w:t>
      </w:r>
      <w:r>
        <w:rPr>
          <w:rFonts w:hint="eastAsia" w:hAnsi="Times New Roman"/>
          <w:b w:val="0"/>
          <w:sz w:val="24"/>
        </w:rPr>
        <w:t>4。</w:t>
      </w:r>
    </w:p>
    <w:p>
      <w:pPr>
        <w:pStyle w:val="85"/>
      </w:pPr>
      <w:r>
        <w:t xml:space="preserve">表7.2-2  </w:t>
      </w:r>
      <w:r>
        <w:rPr>
          <w:rFonts w:hint="eastAsia"/>
        </w:rPr>
        <w:t>污染控制难易程度分级参照表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985"/>
        <w:gridCol w:w="62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81" w:hRule="exact"/>
          <w:jc w:val="center"/>
        </w:trPr>
        <w:tc>
          <w:tcPr>
            <w:tcW w:w="1985" w:type="dxa"/>
            <w:vAlign w:val="center"/>
          </w:tcPr>
          <w:p>
            <w:pPr>
              <w:pStyle w:val="89"/>
            </w:pPr>
            <w:r>
              <w:rPr>
                <w:rFonts w:hint="eastAsia"/>
              </w:rPr>
              <w:t>污染控制难易程度</w:t>
            </w:r>
          </w:p>
        </w:tc>
        <w:tc>
          <w:tcPr>
            <w:tcW w:w="6291" w:type="dxa"/>
            <w:vAlign w:val="center"/>
          </w:tcPr>
          <w:p>
            <w:pPr>
              <w:pStyle w:val="89"/>
            </w:pPr>
            <w:r>
              <w:rPr>
                <w:rFonts w:hint="eastAsia"/>
              </w:rPr>
              <w:t>主要特征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81" w:hRule="exact"/>
          <w:jc w:val="center"/>
        </w:trPr>
        <w:tc>
          <w:tcPr>
            <w:tcW w:w="1985" w:type="dxa"/>
            <w:vAlign w:val="center"/>
          </w:tcPr>
          <w:p>
            <w:pPr>
              <w:pStyle w:val="89"/>
            </w:pPr>
            <w:r>
              <w:rPr>
                <w:rFonts w:hint="eastAsia"/>
              </w:rPr>
              <w:t>难</w:t>
            </w:r>
          </w:p>
        </w:tc>
        <w:tc>
          <w:tcPr>
            <w:tcW w:w="6291" w:type="dxa"/>
            <w:vAlign w:val="center"/>
          </w:tcPr>
          <w:p>
            <w:pPr>
              <w:pStyle w:val="89"/>
            </w:pPr>
            <w:r>
              <w:rPr>
                <w:rFonts w:hint="eastAsia"/>
              </w:rPr>
              <w:t>对地下水环境有污染的物料或污染物泄漏后，不能及时发现和处理。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81" w:hRule="exact"/>
          <w:jc w:val="center"/>
        </w:trPr>
        <w:tc>
          <w:tcPr>
            <w:tcW w:w="1985" w:type="dxa"/>
            <w:vAlign w:val="center"/>
          </w:tcPr>
          <w:p>
            <w:pPr>
              <w:pStyle w:val="89"/>
            </w:pPr>
            <w:r>
              <w:rPr>
                <w:rFonts w:hint="eastAsia"/>
              </w:rPr>
              <w:t>易</w:t>
            </w:r>
          </w:p>
        </w:tc>
        <w:tc>
          <w:tcPr>
            <w:tcW w:w="6291" w:type="dxa"/>
            <w:vAlign w:val="center"/>
          </w:tcPr>
          <w:p>
            <w:pPr>
              <w:pStyle w:val="89"/>
            </w:pPr>
            <w:r>
              <w:rPr>
                <w:rFonts w:hint="eastAsia"/>
              </w:rPr>
              <w:t>对地下水环境有污染的物料或污染物泄漏后，可及时发现和处理。</w:t>
            </w:r>
          </w:p>
        </w:tc>
      </w:tr>
    </w:tbl>
    <w:p>
      <w:pPr>
        <w:pStyle w:val="85"/>
      </w:pPr>
    </w:p>
    <w:p>
      <w:pPr>
        <w:pStyle w:val="85"/>
      </w:pPr>
      <w:r>
        <w:t xml:space="preserve">表7.2-3 </w:t>
      </w:r>
      <w:r>
        <w:rPr>
          <w:rFonts w:hint="eastAsia"/>
        </w:rPr>
        <w:t>天然包气带防污性能分级参照表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77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2" w:hRule="exact"/>
          <w:jc w:val="center"/>
        </w:trPr>
        <w:tc>
          <w:tcPr>
            <w:tcW w:w="551" w:type="dxa"/>
            <w:vAlign w:val="center"/>
          </w:tcPr>
          <w:p>
            <w:pPr>
              <w:pStyle w:val="89"/>
            </w:pPr>
            <w:r>
              <w:t>分级</w:t>
            </w:r>
          </w:p>
        </w:tc>
        <w:tc>
          <w:tcPr>
            <w:tcW w:w="7725" w:type="dxa"/>
            <w:vAlign w:val="center"/>
          </w:tcPr>
          <w:p>
            <w:pPr>
              <w:pStyle w:val="89"/>
            </w:pPr>
            <w: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2" w:hRule="exact"/>
          <w:jc w:val="center"/>
        </w:trPr>
        <w:tc>
          <w:tcPr>
            <w:tcW w:w="551" w:type="dxa"/>
            <w:vAlign w:val="center"/>
          </w:tcPr>
          <w:p>
            <w:pPr>
              <w:pStyle w:val="89"/>
            </w:pPr>
            <w:r>
              <w:t>强</w:t>
            </w:r>
          </w:p>
        </w:tc>
        <w:tc>
          <w:tcPr>
            <w:tcW w:w="7725" w:type="dxa"/>
            <w:vAlign w:val="center"/>
          </w:tcPr>
          <w:p>
            <w:pPr>
              <w:pStyle w:val="89"/>
            </w:pPr>
            <w:r>
              <w:t>岩（土）层单层厚度Mb≥1.0m，渗透系数K≤1×10</w:t>
            </w:r>
            <w:r>
              <w:rPr>
                <w:vertAlign w:val="superscript"/>
              </w:rPr>
              <w:t>-6</w:t>
            </w:r>
            <w: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26" w:hRule="atLeast"/>
          <w:jc w:val="center"/>
        </w:trPr>
        <w:tc>
          <w:tcPr>
            <w:tcW w:w="551" w:type="dxa"/>
            <w:vAlign w:val="center"/>
          </w:tcPr>
          <w:p>
            <w:pPr>
              <w:pStyle w:val="89"/>
            </w:pPr>
            <w:r>
              <w:t>中</w:t>
            </w:r>
          </w:p>
        </w:tc>
        <w:tc>
          <w:tcPr>
            <w:tcW w:w="7725" w:type="dxa"/>
            <w:vAlign w:val="center"/>
          </w:tcPr>
          <w:p>
            <w:pPr>
              <w:pStyle w:val="89"/>
              <w:jc w:val="both"/>
            </w:pPr>
            <w:r>
              <w:t>岩（土）层单层厚度0.5m≤Mb&lt;1.0m，渗透系数K≤1×10</w:t>
            </w:r>
            <w:r>
              <w:rPr>
                <w:vertAlign w:val="superscript"/>
              </w:rPr>
              <w:t>-6</w:t>
            </w:r>
            <w:r>
              <w:t>cm/s，且分布连续、稳定。</w:t>
            </w:r>
          </w:p>
          <w:p>
            <w:pPr>
              <w:pStyle w:val="89"/>
              <w:jc w:val="both"/>
            </w:pPr>
            <w:r>
              <w:t>岩（土）层单层厚度Mb≥1.0m，渗透系数1×10</w:t>
            </w:r>
            <w:r>
              <w:rPr>
                <w:vertAlign w:val="superscript"/>
              </w:rPr>
              <w:t>-6</w:t>
            </w:r>
            <w:r>
              <w:t>cm/s&lt;K≤1×10</w:t>
            </w:r>
            <w:r>
              <w:rPr>
                <w:vertAlign w:val="superscript"/>
              </w:rPr>
              <w:t>-4</w:t>
            </w:r>
            <w:r>
              <w:t>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2" w:hRule="exact"/>
          <w:jc w:val="center"/>
        </w:trPr>
        <w:tc>
          <w:tcPr>
            <w:tcW w:w="551" w:type="dxa"/>
            <w:vAlign w:val="center"/>
          </w:tcPr>
          <w:p>
            <w:pPr>
              <w:pStyle w:val="89"/>
            </w:pPr>
            <w:r>
              <w:t>易</w:t>
            </w:r>
          </w:p>
        </w:tc>
        <w:tc>
          <w:tcPr>
            <w:tcW w:w="7725" w:type="dxa"/>
            <w:vAlign w:val="center"/>
          </w:tcPr>
          <w:p>
            <w:pPr>
              <w:pStyle w:val="89"/>
            </w:pPr>
            <w:r>
              <w:t>岩（土）层不满足上述“强”和“中”条件。</w:t>
            </w:r>
          </w:p>
        </w:tc>
      </w:tr>
    </w:tbl>
    <w:p>
      <w:pPr>
        <w:pStyle w:val="85"/>
      </w:pPr>
      <w:bookmarkStart w:id="214" w:name="_Ref39049275"/>
    </w:p>
    <w:p>
      <w:pPr>
        <w:pStyle w:val="85"/>
      </w:pPr>
      <w:r>
        <w:rPr>
          <w:rFonts w:hint="eastAsia"/>
        </w:rPr>
        <w:t>表</w:t>
      </w:r>
      <w:r>
        <w:fldChar w:fldCharType="begin"/>
      </w:r>
      <w:r>
        <w:rPr>
          <w:rFonts w:hint="eastAsia"/>
        </w:rPr>
        <w:instrText xml:space="preserve">STYLEREF 2 \s</w:instrText>
      </w:r>
      <w:r>
        <w:fldChar w:fldCharType="separate"/>
      </w:r>
      <w:r>
        <w:t>7.2</w:t>
      </w:r>
      <w:r>
        <w:fldChar w:fldCharType="end"/>
      </w:r>
      <w:r>
        <w:noBreakHyphen/>
      </w:r>
      <w:bookmarkEnd w:id="214"/>
      <w:r>
        <w:t>4 地下水污染防渗分区参照表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394"/>
        <w:gridCol w:w="1268"/>
        <w:gridCol w:w="1703"/>
        <w:gridCol w:w="26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Align w:val="center"/>
          </w:tcPr>
          <w:p>
            <w:pPr>
              <w:pStyle w:val="40"/>
            </w:pPr>
            <w:r>
              <w:t>防渗分区</w:t>
            </w:r>
          </w:p>
        </w:tc>
        <w:tc>
          <w:tcPr>
            <w:tcW w:w="1394" w:type="dxa"/>
            <w:vAlign w:val="center"/>
          </w:tcPr>
          <w:p>
            <w:pPr>
              <w:pStyle w:val="40"/>
            </w:pPr>
            <w:r>
              <w:t>天然包气带防污性能</w:t>
            </w:r>
          </w:p>
        </w:tc>
        <w:tc>
          <w:tcPr>
            <w:tcW w:w="1268" w:type="dxa"/>
            <w:vAlign w:val="center"/>
          </w:tcPr>
          <w:p>
            <w:pPr>
              <w:pStyle w:val="40"/>
            </w:pPr>
            <w:r>
              <w:t>污染控制难易程度</w:t>
            </w:r>
          </w:p>
        </w:tc>
        <w:tc>
          <w:tcPr>
            <w:tcW w:w="1703" w:type="dxa"/>
            <w:vAlign w:val="center"/>
          </w:tcPr>
          <w:p>
            <w:pPr>
              <w:pStyle w:val="40"/>
            </w:pPr>
            <w:r>
              <w:t>污染物类型</w:t>
            </w:r>
          </w:p>
        </w:tc>
        <w:tc>
          <w:tcPr>
            <w:tcW w:w="2675" w:type="dxa"/>
            <w:vAlign w:val="center"/>
          </w:tcPr>
          <w:p>
            <w:pPr>
              <w:pStyle w:val="40"/>
            </w:pPr>
            <w: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Merge w:val="restart"/>
            <w:vAlign w:val="center"/>
          </w:tcPr>
          <w:p>
            <w:pPr>
              <w:pStyle w:val="40"/>
            </w:pPr>
            <w:r>
              <w:t>重点防渗区</w:t>
            </w:r>
          </w:p>
        </w:tc>
        <w:tc>
          <w:tcPr>
            <w:tcW w:w="1394" w:type="dxa"/>
            <w:vAlign w:val="center"/>
          </w:tcPr>
          <w:p>
            <w:pPr>
              <w:pStyle w:val="40"/>
            </w:pPr>
            <w:r>
              <w:t>弱</w:t>
            </w:r>
          </w:p>
        </w:tc>
        <w:tc>
          <w:tcPr>
            <w:tcW w:w="1268" w:type="dxa"/>
            <w:vAlign w:val="center"/>
          </w:tcPr>
          <w:p>
            <w:pPr>
              <w:pStyle w:val="40"/>
            </w:pPr>
            <w:r>
              <w:t>难</w:t>
            </w:r>
          </w:p>
        </w:tc>
        <w:tc>
          <w:tcPr>
            <w:tcW w:w="1703" w:type="dxa"/>
            <w:vMerge w:val="restart"/>
            <w:vAlign w:val="center"/>
          </w:tcPr>
          <w:p>
            <w:pPr>
              <w:pStyle w:val="40"/>
            </w:pPr>
            <w:r>
              <w:t>重金属、持久性有机物污染物</w:t>
            </w:r>
          </w:p>
        </w:tc>
        <w:tc>
          <w:tcPr>
            <w:tcW w:w="2675" w:type="dxa"/>
            <w:vMerge w:val="restart"/>
            <w:vAlign w:val="center"/>
          </w:tcPr>
          <w:p>
            <w:pPr>
              <w:pStyle w:val="40"/>
              <w:jc w:val="both"/>
            </w:pPr>
            <w:r>
              <w:t>等效黏土防渗层Mb≥6.0m，K≤1×10</w:t>
            </w:r>
            <w:r>
              <w:rPr>
                <w:vertAlign w:val="superscript"/>
              </w:rPr>
              <w:t>-7</w:t>
            </w:r>
            <w:r>
              <w:t>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Merge w:val="continue"/>
            <w:vAlign w:val="center"/>
          </w:tcPr>
          <w:p>
            <w:pPr>
              <w:pStyle w:val="40"/>
            </w:pPr>
          </w:p>
        </w:tc>
        <w:tc>
          <w:tcPr>
            <w:tcW w:w="1394" w:type="dxa"/>
            <w:vAlign w:val="center"/>
          </w:tcPr>
          <w:p>
            <w:pPr>
              <w:pStyle w:val="40"/>
            </w:pPr>
            <w:r>
              <w:t>中-强</w:t>
            </w:r>
          </w:p>
        </w:tc>
        <w:tc>
          <w:tcPr>
            <w:tcW w:w="1268" w:type="dxa"/>
            <w:vAlign w:val="center"/>
          </w:tcPr>
          <w:p>
            <w:pPr>
              <w:pStyle w:val="40"/>
            </w:pPr>
            <w:r>
              <w:t>难</w:t>
            </w:r>
          </w:p>
        </w:tc>
        <w:tc>
          <w:tcPr>
            <w:tcW w:w="1703" w:type="dxa"/>
            <w:vMerge w:val="continue"/>
            <w:vAlign w:val="center"/>
          </w:tcPr>
          <w:p>
            <w:pPr>
              <w:pStyle w:val="40"/>
            </w:pPr>
          </w:p>
        </w:tc>
        <w:tc>
          <w:tcPr>
            <w:tcW w:w="2675"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Merge w:val="continue"/>
            <w:vAlign w:val="center"/>
          </w:tcPr>
          <w:p>
            <w:pPr>
              <w:pStyle w:val="40"/>
            </w:pPr>
          </w:p>
        </w:tc>
        <w:tc>
          <w:tcPr>
            <w:tcW w:w="1394" w:type="dxa"/>
            <w:vAlign w:val="center"/>
          </w:tcPr>
          <w:p>
            <w:pPr>
              <w:pStyle w:val="40"/>
            </w:pPr>
            <w:r>
              <w:t>弱</w:t>
            </w:r>
          </w:p>
        </w:tc>
        <w:tc>
          <w:tcPr>
            <w:tcW w:w="1268" w:type="dxa"/>
            <w:vAlign w:val="center"/>
          </w:tcPr>
          <w:p>
            <w:pPr>
              <w:pStyle w:val="40"/>
            </w:pPr>
            <w:r>
              <w:t>易</w:t>
            </w:r>
          </w:p>
        </w:tc>
        <w:tc>
          <w:tcPr>
            <w:tcW w:w="1703" w:type="dxa"/>
            <w:vMerge w:val="continue"/>
            <w:vAlign w:val="center"/>
          </w:tcPr>
          <w:p>
            <w:pPr>
              <w:pStyle w:val="40"/>
            </w:pPr>
          </w:p>
        </w:tc>
        <w:tc>
          <w:tcPr>
            <w:tcW w:w="2675"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Merge w:val="restart"/>
            <w:vAlign w:val="center"/>
          </w:tcPr>
          <w:p>
            <w:pPr>
              <w:pStyle w:val="40"/>
            </w:pPr>
            <w:r>
              <w:t>一般防渗区</w:t>
            </w:r>
          </w:p>
        </w:tc>
        <w:tc>
          <w:tcPr>
            <w:tcW w:w="1394" w:type="dxa"/>
            <w:vAlign w:val="center"/>
          </w:tcPr>
          <w:p>
            <w:pPr>
              <w:pStyle w:val="40"/>
            </w:pPr>
            <w:r>
              <w:t>弱</w:t>
            </w:r>
          </w:p>
        </w:tc>
        <w:tc>
          <w:tcPr>
            <w:tcW w:w="1268" w:type="dxa"/>
            <w:vAlign w:val="center"/>
          </w:tcPr>
          <w:p>
            <w:pPr>
              <w:pStyle w:val="40"/>
            </w:pPr>
            <w:r>
              <w:t>易-难</w:t>
            </w:r>
          </w:p>
        </w:tc>
        <w:tc>
          <w:tcPr>
            <w:tcW w:w="1703" w:type="dxa"/>
            <w:vMerge w:val="restart"/>
            <w:vAlign w:val="center"/>
          </w:tcPr>
          <w:p>
            <w:pPr>
              <w:pStyle w:val="40"/>
            </w:pPr>
            <w:r>
              <w:t>其他类型</w:t>
            </w:r>
          </w:p>
        </w:tc>
        <w:tc>
          <w:tcPr>
            <w:tcW w:w="2675" w:type="dxa"/>
            <w:vMerge w:val="restart"/>
            <w:vAlign w:val="center"/>
          </w:tcPr>
          <w:p>
            <w:pPr>
              <w:pStyle w:val="40"/>
              <w:jc w:val="both"/>
            </w:pPr>
            <w:r>
              <w:t>等效黏土防渗层Mb≥1.5m，K≤1×10</w:t>
            </w:r>
            <w:r>
              <w:rPr>
                <w:vertAlign w:val="superscript"/>
              </w:rPr>
              <w:t>-7</w:t>
            </w:r>
            <w:r>
              <w:t>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Merge w:val="continue"/>
            <w:vAlign w:val="center"/>
          </w:tcPr>
          <w:p>
            <w:pPr>
              <w:pStyle w:val="40"/>
            </w:pPr>
          </w:p>
        </w:tc>
        <w:tc>
          <w:tcPr>
            <w:tcW w:w="1394" w:type="dxa"/>
            <w:vAlign w:val="center"/>
          </w:tcPr>
          <w:p>
            <w:pPr>
              <w:pStyle w:val="40"/>
            </w:pPr>
            <w:r>
              <w:t>中-强</w:t>
            </w:r>
          </w:p>
        </w:tc>
        <w:tc>
          <w:tcPr>
            <w:tcW w:w="1268" w:type="dxa"/>
            <w:vAlign w:val="center"/>
          </w:tcPr>
          <w:p>
            <w:pPr>
              <w:pStyle w:val="40"/>
            </w:pPr>
            <w:r>
              <w:t>难</w:t>
            </w:r>
          </w:p>
        </w:tc>
        <w:tc>
          <w:tcPr>
            <w:tcW w:w="1703" w:type="dxa"/>
            <w:vMerge w:val="continue"/>
            <w:vAlign w:val="center"/>
          </w:tcPr>
          <w:p>
            <w:pPr>
              <w:pStyle w:val="40"/>
            </w:pPr>
          </w:p>
        </w:tc>
        <w:tc>
          <w:tcPr>
            <w:tcW w:w="2675"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Merge w:val="continue"/>
            <w:vAlign w:val="center"/>
          </w:tcPr>
          <w:p>
            <w:pPr>
              <w:pStyle w:val="40"/>
            </w:pPr>
          </w:p>
        </w:tc>
        <w:tc>
          <w:tcPr>
            <w:tcW w:w="1394" w:type="dxa"/>
            <w:vAlign w:val="center"/>
          </w:tcPr>
          <w:p>
            <w:pPr>
              <w:pStyle w:val="40"/>
            </w:pPr>
            <w:r>
              <w:t>中</w:t>
            </w:r>
          </w:p>
        </w:tc>
        <w:tc>
          <w:tcPr>
            <w:tcW w:w="1268" w:type="dxa"/>
            <w:vAlign w:val="center"/>
          </w:tcPr>
          <w:p>
            <w:pPr>
              <w:pStyle w:val="40"/>
            </w:pPr>
            <w:r>
              <w:t>易</w:t>
            </w:r>
          </w:p>
        </w:tc>
        <w:tc>
          <w:tcPr>
            <w:tcW w:w="1703" w:type="dxa"/>
            <w:vMerge w:val="restart"/>
            <w:vAlign w:val="center"/>
          </w:tcPr>
          <w:p>
            <w:pPr>
              <w:pStyle w:val="40"/>
            </w:pPr>
            <w:r>
              <w:t>重金属、持久性有机物污染物</w:t>
            </w:r>
          </w:p>
        </w:tc>
        <w:tc>
          <w:tcPr>
            <w:tcW w:w="2675"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Merge w:val="continue"/>
            <w:vAlign w:val="center"/>
          </w:tcPr>
          <w:p>
            <w:pPr>
              <w:pStyle w:val="40"/>
            </w:pPr>
          </w:p>
        </w:tc>
        <w:tc>
          <w:tcPr>
            <w:tcW w:w="1394" w:type="dxa"/>
            <w:vAlign w:val="center"/>
          </w:tcPr>
          <w:p>
            <w:pPr>
              <w:pStyle w:val="40"/>
            </w:pPr>
            <w:r>
              <w:t>强</w:t>
            </w:r>
          </w:p>
        </w:tc>
        <w:tc>
          <w:tcPr>
            <w:tcW w:w="1268" w:type="dxa"/>
            <w:vAlign w:val="center"/>
          </w:tcPr>
          <w:p>
            <w:pPr>
              <w:pStyle w:val="40"/>
            </w:pPr>
            <w:r>
              <w:t>易</w:t>
            </w:r>
          </w:p>
        </w:tc>
        <w:tc>
          <w:tcPr>
            <w:tcW w:w="1703" w:type="dxa"/>
            <w:vMerge w:val="continue"/>
            <w:vAlign w:val="center"/>
          </w:tcPr>
          <w:p>
            <w:pPr>
              <w:pStyle w:val="40"/>
            </w:pPr>
          </w:p>
        </w:tc>
        <w:tc>
          <w:tcPr>
            <w:tcW w:w="2675" w:type="dxa"/>
            <w:vMerge w:val="continue"/>
            <w:vAlign w:val="center"/>
          </w:tcPr>
          <w:p>
            <w:pPr>
              <w:pStyle w:val="4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36" w:type="dxa"/>
            <w:vAlign w:val="center"/>
          </w:tcPr>
          <w:p>
            <w:pPr>
              <w:pStyle w:val="40"/>
            </w:pPr>
            <w:r>
              <w:t>简单防渗区</w:t>
            </w:r>
          </w:p>
        </w:tc>
        <w:tc>
          <w:tcPr>
            <w:tcW w:w="1394" w:type="dxa"/>
            <w:vAlign w:val="center"/>
          </w:tcPr>
          <w:p>
            <w:pPr>
              <w:pStyle w:val="40"/>
            </w:pPr>
            <w:r>
              <w:t>中-强</w:t>
            </w:r>
          </w:p>
        </w:tc>
        <w:tc>
          <w:tcPr>
            <w:tcW w:w="1268" w:type="dxa"/>
            <w:vAlign w:val="center"/>
          </w:tcPr>
          <w:p>
            <w:pPr>
              <w:pStyle w:val="40"/>
            </w:pPr>
            <w:r>
              <w:t>易</w:t>
            </w:r>
          </w:p>
        </w:tc>
        <w:tc>
          <w:tcPr>
            <w:tcW w:w="1703" w:type="dxa"/>
            <w:vAlign w:val="center"/>
          </w:tcPr>
          <w:p>
            <w:pPr>
              <w:pStyle w:val="40"/>
            </w:pPr>
            <w:r>
              <w:t>其他类型</w:t>
            </w:r>
          </w:p>
        </w:tc>
        <w:tc>
          <w:tcPr>
            <w:tcW w:w="2675" w:type="dxa"/>
            <w:vAlign w:val="center"/>
          </w:tcPr>
          <w:p>
            <w:pPr>
              <w:pStyle w:val="40"/>
            </w:pPr>
            <w:r>
              <w:t>一般地面硬化</w:t>
            </w:r>
          </w:p>
        </w:tc>
      </w:tr>
    </w:tbl>
    <w:p>
      <w:pPr>
        <w:pStyle w:val="79"/>
        <w:ind w:firstLine="480"/>
      </w:pPr>
      <w:r>
        <w:t>根据防渗技术要求，参照相关的标准和规范，结合施工过程中的可操作性和技术水平，针对不同的防渗区域采用的防渗措施如下：</w:t>
      </w:r>
    </w:p>
    <w:p>
      <w:pPr>
        <w:pStyle w:val="79"/>
        <w:ind w:firstLine="480"/>
      </w:pPr>
      <w:r>
        <w:rPr>
          <w:rFonts w:hint="eastAsia"/>
        </w:rPr>
        <w:t>重点</w:t>
      </w:r>
      <w:r>
        <w:t>防渗</w:t>
      </w:r>
      <w:r>
        <w:rPr>
          <w:rFonts w:hint="eastAsia"/>
        </w:rPr>
        <w:t>区</w:t>
      </w:r>
      <w:r>
        <w:t>：</w:t>
      </w:r>
      <w:r>
        <w:rPr>
          <w:rFonts w:hint="eastAsia"/>
        </w:rPr>
        <w:t>重点防渗区是可能会对地下水造成污染，风险程度较高，需要重点防治的区域，主要包括猪舍、集粪池</w:t>
      </w:r>
      <w:r>
        <w:t>、厌氧发酵池</w:t>
      </w:r>
      <w:r>
        <w:rPr>
          <w:rFonts w:hint="eastAsia"/>
        </w:rPr>
        <w:t>、堆粪</w:t>
      </w:r>
      <w:r>
        <w:t>棚</w:t>
      </w:r>
      <w:r>
        <w:rPr>
          <w:rFonts w:hint="eastAsia"/>
        </w:rPr>
        <w:t>、废水管网、医疗废物暂存区等。</w:t>
      </w:r>
    </w:p>
    <w:p>
      <w:pPr>
        <w:pStyle w:val="79"/>
        <w:ind w:firstLine="480"/>
      </w:pPr>
      <w:r>
        <w:rPr>
          <w:rFonts w:hint="eastAsia"/>
        </w:rPr>
        <w:t>一般防渗区：一般防渗区是可能对地下水造成污染，但危害性或风险程度相对较低的区域，包括场内库房。</w:t>
      </w:r>
    </w:p>
    <w:p>
      <w:pPr>
        <w:pStyle w:val="79"/>
        <w:ind w:firstLine="480"/>
      </w:pPr>
      <w:r>
        <w:rPr>
          <w:rFonts w:hint="eastAsia"/>
        </w:rPr>
        <w:t>简单防渗区：简单防渗区为基本不会对地下水造成污染的区域，主要包括办公生活区。项目防渗</w:t>
      </w:r>
      <w:r>
        <w:t>分区见</w:t>
      </w:r>
      <w:r>
        <w:rPr>
          <w:rFonts w:hint="eastAsia"/>
        </w:rPr>
        <w:t>表</w:t>
      </w:r>
      <w:r>
        <w:t>7</w:t>
      </w:r>
      <w:r>
        <w:rPr>
          <w:rFonts w:hint="eastAsia"/>
        </w:rPr>
        <w:t>.2-5，</w:t>
      </w:r>
      <w:r>
        <w:t>分区防渗</w:t>
      </w:r>
      <w:r>
        <w:rPr>
          <w:rFonts w:hint="eastAsia"/>
        </w:rPr>
        <w:t>图</w:t>
      </w:r>
      <w:r>
        <w:t>见图</w:t>
      </w:r>
      <w:r>
        <w:rPr>
          <w:rFonts w:hint="eastAsia"/>
        </w:rPr>
        <w:t>7.2-1。</w:t>
      </w:r>
    </w:p>
    <w:p>
      <w:pPr>
        <w:pStyle w:val="85"/>
      </w:pPr>
      <w:r>
        <w:rPr>
          <w:rFonts w:hint="eastAsia"/>
        </w:rPr>
        <w:t>表</w:t>
      </w:r>
      <w:r>
        <w:fldChar w:fldCharType="begin"/>
      </w:r>
      <w:r>
        <w:rPr>
          <w:rFonts w:hint="eastAsia"/>
        </w:rPr>
        <w:instrText xml:space="preserve">STYLEREF 2 \s</w:instrText>
      </w:r>
      <w:r>
        <w:fldChar w:fldCharType="separate"/>
      </w:r>
      <w:r>
        <w:t>7.2</w:t>
      </w:r>
      <w:r>
        <w:fldChar w:fldCharType="end"/>
      </w:r>
      <w:r>
        <w:noBreakHyphen/>
      </w:r>
      <w:r>
        <w:t xml:space="preserve">5 </w:t>
      </w:r>
      <w:r>
        <w:rPr>
          <w:rFonts w:hint="eastAsia"/>
        </w:rPr>
        <w:t>本项目防渗工程污染防治分区</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802"/>
        <w:gridCol w:w="1556"/>
        <w:gridCol w:w="2688"/>
        <w:gridCol w:w="15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spacing w:line="240" w:lineRule="auto"/>
              <w:ind w:left="115" w:right="170" w:firstLine="0" w:firstLineChars="0"/>
              <w:jc w:val="center"/>
              <w:rPr>
                <w:sz w:val="21"/>
                <w:szCs w:val="21"/>
              </w:rPr>
            </w:pPr>
            <w:r>
              <w:rPr>
                <w:rFonts w:hint="eastAsia"/>
                <w:sz w:val="21"/>
                <w:szCs w:val="21"/>
              </w:rPr>
              <w:t>序号</w:t>
            </w:r>
          </w:p>
        </w:tc>
        <w:tc>
          <w:tcPr>
            <w:tcW w:w="1802" w:type="dxa"/>
            <w:vAlign w:val="center"/>
          </w:tcPr>
          <w:p>
            <w:pPr>
              <w:pStyle w:val="79"/>
              <w:spacing w:line="240" w:lineRule="auto"/>
              <w:ind w:firstLine="0" w:firstLineChars="0"/>
              <w:jc w:val="center"/>
              <w:rPr>
                <w:sz w:val="21"/>
                <w:szCs w:val="21"/>
              </w:rPr>
            </w:pPr>
            <w:r>
              <w:rPr>
                <w:rFonts w:hint="eastAsia"/>
                <w:sz w:val="21"/>
                <w:szCs w:val="21"/>
              </w:rPr>
              <w:t>名称</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防渗</w:t>
            </w:r>
            <w:r>
              <w:rPr>
                <w:sz w:val="21"/>
                <w:szCs w:val="21"/>
              </w:rPr>
              <w:t>区域</w:t>
            </w:r>
          </w:p>
        </w:tc>
        <w:tc>
          <w:tcPr>
            <w:tcW w:w="2688" w:type="dxa"/>
            <w:vAlign w:val="center"/>
          </w:tcPr>
          <w:p>
            <w:pPr>
              <w:pStyle w:val="79"/>
              <w:spacing w:line="240" w:lineRule="auto"/>
              <w:ind w:left="115" w:right="170" w:firstLine="0" w:firstLineChars="0"/>
              <w:jc w:val="center"/>
              <w:rPr>
                <w:sz w:val="21"/>
                <w:szCs w:val="21"/>
              </w:rPr>
            </w:pPr>
            <w:r>
              <w:rPr>
                <w:rFonts w:hint="eastAsia"/>
                <w:sz w:val="21"/>
                <w:szCs w:val="21"/>
              </w:rPr>
              <w:t>防渗</w:t>
            </w:r>
            <w:r>
              <w:rPr>
                <w:sz w:val="21"/>
                <w:szCs w:val="21"/>
              </w:rPr>
              <w:t>措施</w:t>
            </w:r>
          </w:p>
        </w:tc>
        <w:tc>
          <w:tcPr>
            <w:tcW w:w="1519" w:type="dxa"/>
            <w:vAlign w:val="center"/>
          </w:tcPr>
          <w:p>
            <w:pPr>
              <w:pStyle w:val="79"/>
              <w:spacing w:line="240" w:lineRule="auto"/>
              <w:ind w:firstLine="0" w:firstLineChars="0"/>
              <w:jc w:val="center"/>
              <w:rPr>
                <w:sz w:val="21"/>
                <w:szCs w:val="21"/>
              </w:rPr>
            </w:pPr>
            <w:r>
              <w:rPr>
                <w:rFonts w:hint="eastAsia"/>
                <w:sz w:val="21"/>
                <w:szCs w:val="21"/>
              </w:rPr>
              <w:t>防渗</w:t>
            </w:r>
            <w:r>
              <w:rPr>
                <w:sz w:val="21"/>
                <w:szCs w:val="21"/>
              </w:rPr>
              <w:t>分区等级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numPr>
                <w:ilvl w:val="0"/>
                <w:numId w:val="21"/>
              </w:numPr>
              <w:spacing w:line="240" w:lineRule="auto"/>
              <w:ind w:left="115" w:right="170" w:firstLineChars="0"/>
              <w:jc w:val="center"/>
              <w:rPr>
                <w:sz w:val="21"/>
                <w:szCs w:val="21"/>
              </w:rPr>
            </w:pPr>
          </w:p>
        </w:tc>
        <w:tc>
          <w:tcPr>
            <w:tcW w:w="1802" w:type="dxa"/>
            <w:vAlign w:val="center"/>
          </w:tcPr>
          <w:p>
            <w:pPr>
              <w:pStyle w:val="79"/>
              <w:spacing w:line="240" w:lineRule="auto"/>
              <w:ind w:firstLine="0" w:firstLineChars="0"/>
              <w:jc w:val="center"/>
              <w:rPr>
                <w:sz w:val="21"/>
                <w:szCs w:val="21"/>
              </w:rPr>
            </w:pPr>
            <w:r>
              <w:rPr>
                <w:rFonts w:hint="eastAsia"/>
                <w:sz w:val="21"/>
                <w:szCs w:val="21"/>
              </w:rPr>
              <w:t>猪舍</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猪舍</w:t>
            </w:r>
            <w:r>
              <w:rPr>
                <w:sz w:val="21"/>
                <w:szCs w:val="21"/>
              </w:rPr>
              <w:t>底部</w:t>
            </w:r>
          </w:p>
        </w:tc>
        <w:tc>
          <w:tcPr>
            <w:tcW w:w="2688" w:type="dxa"/>
            <w:vMerge w:val="restart"/>
            <w:vAlign w:val="center"/>
          </w:tcPr>
          <w:p>
            <w:pPr>
              <w:pStyle w:val="79"/>
              <w:spacing w:line="240" w:lineRule="auto"/>
              <w:ind w:firstLine="0" w:firstLineChars="0"/>
              <w:rPr>
                <w:sz w:val="21"/>
                <w:szCs w:val="21"/>
              </w:rPr>
            </w:pPr>
            <w:r>
              <w:rPr>
                <w:rFonts w:hint="eastAsia"/>
                <w:sz w:val="21"/>
                <w:szCs w:val="21"/>
              </w:rPr>
              <w:t>等效黏土防渗层Mb≥6.0m，K≤1×10</w:t>
            </w:r>
            <w:r>
              <w:rPr>
                <w:rFonts w:hint="eastAsia"/>
                <w:sz w:val="21"/>
                <w:szCs w:val="21"/>
                <w:vertAlign w:val="superscript"/>
              </w:rPr>
              <w:t>-7</w:t>
            </w:r>
            <w:r>
              <w:rPr>
                <w:rFonts w:hint="eastAsia"/>
                <w:sz w:val="21"/>
                <w:szCs w:val="21"/>
              </w:rPr>
              <w:t>cm/s，或参照《危险废物填埋污染控制标准》</w:t>
            </w:r>
          </w:p>
        </w:tc>
        <w:tc>
          <w:tcPr>
            <w:tcW w:w="1519" w:type="dxa"/>
            <w:vAlign w:val="center"/>
          </w:tcPr>
          <w:p>
            <w:pPr>
              <w:pStyle w:val="79"/>
              <w:spacing w:line="240" w:lineRule="auto"/>
              <w:ind w:left="115" w:right="170" w:firstLine="0" w:firstLineChars="0"/>
              <w:jc w:val="center"/>
              <w:rPr>
                <w:sz w:val="21"/>
                <w:szCs w:val="21"/>
              </w:rPr>
            </w:pPr>
            <w:r>
              <w:rPr>
                <w:rFonts w:hint="eastAsia"/>
                <w:sz w:val="21"/>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numPr>
                <w:ilvl w:val="0"/>
                <w:numId w:val="21"/>
              </w:numPr>
              <w:spacing w:line="240" w:lineRule="auto"/>
              <w:ind w:left="115" w:right="170" w:firstLineChars="0"/>
              <w:jc w:val="center"/>
              <w:rPr>
                <w:sz w:val="21"/>
                <w:szCs w:val="21"/>
              </w:rPr>
            </w:pPr>
          </w:p>
        </w:tc>
        <w:tc>
          <w:tcPr>
            <w:tcW w:w="1802" w:type="dxa"/>
            <w:vAlign w:val="center"/>
          </w:tcPr>
          <w:p>
            <w:pPr>
              <w:pStyle w:val="79"/>
              <w:spacing w:line="240" w:lineRule="auto"/>
              <w:ind w:firstLine="0" w:firstLineChars="0"/>
              <w:jc w:val="center"/>
              <w:rPr>
                <w:sz w:val="21"/>
                <w:szCs w:val="21"/>
              </w:rPr>
            </w:pPr>
            <w:r>
              <w:rPr>
                <w:rFonts w:hint="eastAsia"/>
                <w:sz w:val="21"/>
                <w:szCs w:val="21"/>
              </w:rPr>
              <w:t>集粪池</w:t>
            </w:r>
            <w:r>
              <w:rPr>
                <w:sz w:val="21"/>
                <w:szCs w:val="21"/>
              </w:rPr>
              <w:t>、厌氧发酵池</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池</w:t>
            </w:r>
            <w:r>
              <w:rPr>
                <w:sz w:val="21"/>
                <w:szCs w:val="21"/>
              </w:rPr>
              <w:t>低、池壁</w:t>
            </w:r>
          </w:p>
        </w:tc>
        <w:tc>
          <w:tcPr>
            <w:tcW w:w="2688" w:type="dxa"/>
            <w:vMerge w:val="continue"/>
            <w:vAlign w:val="center"/>
          </w:tcPr>
          <w:p>
            <w:pPr>
              <w:pStyle w:val="79"/>
              <w:spacing w:line="240" w:lineRule="auto"/>
              <w:ind w:firstLine="0" w:firstLineChars="0"/>
              <w:jc w:val="center"/>
              <w:rPr>
                <w:sz w:val="21"/>
                <w:szCs w:val="21"/>
              </w:rPr>
            </w:pPr>
          </w:p>
        </w:tc>
        <w:tc>
          <w:tcPr>
            <w:tcW w:w="1519" w:type="dxa"/>
            <w:vAlign w:val="center"/>
          </w:tcPr>
          <w:p>
            <w:pPr>
              <w:pStyle w:val="84"/>
              <w:ind w:left="115" w:right="170"/>
              <w:rPr>
                <w:szCs w:val="21"/>
              </w:rPr>
            </w:pPr>
            <w:r>
              <w:rPr>
                <w:rFonts w:hint="eastAsia"/>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numPr>
                <w:ilvl w:val="0"/>
                <w:numId w:val="21"/>
              </w:numPr>
              <w:spacing w:line="240" w:lineRule="auto"/>
              <w:ind w:left="115" w:right="170" w:firstLineChars="0"/>
              <w:jc w:val="center"/>
              <w:rPr>
                <w:sz w:val="21"/>
                <w:szCs w:val="21"/>
              </w:rPr>
            </w:pPr>
          </w:p>
        </w:tc>
        <w:tc>
          <w:tcPr>
            <w:tcW w:w="1802" w:type="dxa"/>
            <w:vAlign w:val="center"/>
          </w:tcPr>
          <w:p>
            <w:pPr>
              <w:pStyle w:val="79"/>
              <w:spacing w:line="240" w:lineRule="auto"/>
              <w:ind w:firstLine="0" w:firstLineChars="0"/>
              <w:jc w:val="center"/>
              <w:rPr>
                <w:sz w:val="21"/>
                <w:szCs w:val="21"/>
              </w:rPr>
            </w:pPr>
            <w:r>
              <w:rPr>
                <w:rFonts w:hint="eastAsia"/>
                <w:sz w:val="21"/>
                <w:szCs w:val="21"/>
              </w:rPr>
              <w:t>堆粪</w:t>
            </w:r>
            <w:r>
              <w:rPr>
                <w:sz w:val="21"/>
                <w:szCs w:val="21"/>
              </w:rPr>
              <w:t>棚</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底部</w:t>
            </w:r>
          </w:p>
        </w:tc>
        <w:tc>
          <w:tcPr>
            <w:tcW w:w="2688" w:type="dxa"/>
            <w:vMerge w:val="continue"/>
            <w:vAlign w:val="center"/>
          </w:tcPr>
          <w:p>
            <w:pPr>
              <w:pStyle w:val="79"/>
              <w:spacing w:line="240" w:lineRule="auto"/>
              <w:ind w:firstLine="0" w:firstLineChars="0"/>
              <w:jc w:val="center"/>
              <w:rPr>
                <w:sz w:val="21"/>
                <w:szCs w:val="21"/>
              </w:rPr>
            </w:pPr>
          </w:p>
        </w:tc>
        <w:tc>
          <w:tcPr>
            <w:tcW w:w="1519" w:type="dxa"/>
            <w:vAlign w:val="center"/>
          </w:tcPr>
          <w:p>
            <w:pPr>
              <w:pStyle w:val="84"/>
              <w:ind w:left="115" w:right="170"/>
              <w:rPr>
                <w:szCs w:val="21"/>
              </w:rPr>
            </w:pPr>
            <w:r>
              <w:rPr>
                <w:rFonts w:hint="eastAsia"/>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numPr>
                <w:ilvl w:val="0"/>
                <w:numId w:val="21"/>
              </w:numPr>
              <w:spacing w:line="240" w:lineRule="auto"/>
              <w:ind w:left="115" w:right="170" w:firstLineChars="0"/>
              <w:jc w:val="center"/>
              <w:rPr>
                <w:sz w:val="21"/>
                <w:szCs w:val="21"/>
              </w:rPr>
            </w:pPr>
          </w:p>
        </w:tc>
        <w:tc>
          <w:tcPr>
            <w:tcW w:w="1802" w:type="dxa"/>
            <w:vAlign w:val="center"/>
          </w:tcPr>
          <w:p>
            <w:pPr>
              <w:pStyle w:val="79"/>
              <w:spacing w:line="240" w:lineRule="auto"/>
              <w:ind w:firstLine="0" w:firstLineChars="0"/>
              <w:jc w:val="center"/>
              <w:rPr>
                <w:sz w:val="21"/>
                <w:szCs w:val="21"/>
              </w:rPr>
            </w:pPr>
            <w:r>
              <w:rPr>
                <w:rFonts w:hint="eastAsia"/>
                <w:sz w:val="21"/>
                <w:szCs w:val="21"/>
              </w:rPr>
              <w:t>危险</w:t>
            </w:r>
            <w:r>
              <w:rPr>
                <w:sz w:val="21"/>
                <w:szCs w:val="21"/>
              </w:rPr>
              <w:t>废物暂存间</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地面</w:t>
            </w:r>
          </w:p>
        </w:tc>
        <w:tc>
          <w:tcPr>
            <w:tcW w:w="2688" w:type="dxa"/>
            <w:vMerge w:val="continue"/>
            <w:vAlign w:val="center"/>
          </w:tcPr>
          <w:p>
            <w:pPr>
              <w:pStyle w:val="79"/>
              <w:spacing w:line="240" w:lineRule="auto"/>
              <w:ind w:firstLine="0" w:firstLineChars="0"/>
              <w:jc w:val="center"/>
              <w:rPr>
                <w:sz w:val="21"/>
                <w:szCs w:val="21"/>
              </w:rPr>
            </w:pPr>
          </w:p>
        </w:tc>
        <w:tc>
          <w:tcPr>
            <w:tcW w:w="1519" w:type="dxa"/>
            <w:vAlign w:val="center"/>
          </w:tcPr>
          <w:p>
            <w:pPr>
              <w:pStyle w:val="84"/>
              <w:ind w:left="115" w:right="170"/>
              <w:rPr>
                <w:szCs w:val="21"/>
              </w:rPr>
            </w:pPr>
            <w:r>
              <w:rPr>
                <w:rFonts w:hint="eastAsia"/>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numPr>
                <w:ilvl w:val="0"/>
                <w:numId w:val="21"/>
              </w:numPr>
              <w:spacing w:line="240" w:lineRule="auto"/>
              <w:ind w:left="115" w:right="170" w:firstLineChars="0"/>
              <w:jc w:val="center"/>
              <w:rPr>
                <w:sz w:val="21"/>
                <w:szCs w:val="21"/>
              </w:rPr>
            </w:pPr>
          </w:p>
        </w:tc>
        <w:tc>
          <w:tcPr>
            <w:tcW w:w="1802" w:type="dxa"/>
            <w:vAlign w:val="center"/>
          </w:tcPr>
          <w:p>
            <w:pPr>
              <w:pStyle w:val="79"/>
              <w:spacing w:line="240" w:lineRule="auto"/>
              <w:ind w:firstLine="0" w:firstLineChars="0"/>
              <w:jc w:val="center"/>
              <w:rPr>
                <w:sz w:val="21"/>
                <w:szCs w:val="21"/>
              </w:rPr>
            </w:pPr>
            <w:r>
              <w:rPr>
                <w:rFonts w:hint="eastAsia"/>
                <w:sz w:val="21"/>
                <w:szCs w:val="21"/>
              </w:rPr>
              <w:t>污水</w:t>
            </w:r>
            <w:r>
              <w:rPr>
                <w:sz w:val="21"/>
                <w:szCs w:val="21"/>
              </w:rPr>
              <w:t>管网</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管网沿线</w:t>
            </w:r>
          </w:p>
        </w:tc>
        <w:tc>
          <w:tcPr>
            <w:tcW w:w="2688" w:type="dxa"/>
            <w:vMerge w:val="continue"/>
            <w:vAlign w:val="center"/>
          </w:tcPr>
          <w:p>
            <w:pPr>
              <w:pStyle w:val="79"/>
              <w:spacing w:line="240" w:lineRule="auto"/>
              <w:ind w:firstLine="0" w:firstLineChars="0"/>
              <w:jc w:val="center"/>
              <w:rPr>
                <w:sz w:val="21"/>
                <w:szCs w:val="21"/>
              </w:rPr>
            </w:pPr>
          </w:p>
        </w:tc>
        <w:tc>
          <w:tcPr>
            <w:tcW w:w="1519" w:type="dxa"/>
            <w:vAlign w:val="center"/>
          </w:tcPr>
          <w:p>
            <w:pPr>
              <w:pStyle w:val="84"/>
              <w:ind w:left="115" w:right="170"/>
              <w:rPr>
                <w:szCs w:val="21"/>
              </w:rPr>
            </w:pPr>
            <w:r>
              <w:rPr>
                <w:rFonts w:hint="eastAsia"/>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numPr>
                <w:ilvl w:val="0"/>
                <w:numId w:val="21"/>
              </w:numPr>
              <w:spacing w:line="240" w:lineRule="auto"/>
              <w:ind w:left="115" w:right="170" w:firstLineChars="0"/>
              <w:jc w:val="center"/>
              <w:rPr>
                <w:sz w:val="21"/>
                <w:szCs w:val="21"/>
              </w:rPr>
            </w:pPr>
          </w:p>
        </w:tc>
        <w:tc>
          <w:tcPr>
            <w:tcW w:w="1802" w:type="dxa"/>
            <w:vAlign w:val="center"/>
          </w:tcPr>
          <w:p>
            <w:pPr>
              <w:pStyle w:val="79"/>
              <w:spacing w:line="240" w:lineRule="auto"/>
              <w:ind w:firstLine="0" w:firstLineChars="0"/>
              <w:jc w:val="center"/>
              <w:rPr>
                <w:sz w:val="21"/>
                <w:szCs w:val="21"/>
              </w:rPr>
            </w:pPr>
            <w:r>
              <w:rPr>
                <w:rFonts w:hint="eastAsia"/>
                <w:sz w:val="21"/>
                <w:szCs w:val="21"/>
              </w:rPr>
              <w:t>饲料库房</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地面</w:t>
            </w:r>
          </w:p>
        </w:tc>
        <w:tc>
          <w:tcPr>
            <w:tcW w:w="2688" w:type="dxa"/>
            <w:vAlign w:val="center"/>
          </w:tcPr>
          <w:p>
            <w:pPr>
              <w:autoSpaceDE w:val="0"/>
              <w:autoSpaceDN w:val="0"/>
              <w:snapToGrid/>
              <w:spacing w:line="240" w:lineRule="auto"/>
              <w:ind w:firstLine="0" w:firstLineChars="0"/>
              <w:rPr>
                <w:kern w:val="0"/>
                <w:sz w:val="21"/>
                <w:szCs w:val="21"/>
              </w:rPr>
            </w:pPr>
            <w:r>
              <w:rPr>
                <w:kern w:val="0"/>
                <w:sz w:val="21"/>
                <w:szCs w:val="21"/>
              </w:rPr>
              <w:t>等效黏土防渗层</w:t>
            </w:r>
            <w:r>
              <w:rPr>
                <w:rFonts w:eastAsia="TimesNewRomanPSMT"/>
                <w:kern w:val="0"/>
                <w:sz w:val="21"/>
                <w:szCs w:val="21"/>
              </w:rPr>
              <w:t>Mb≥1.5m</w:t>
            </w:r>
            <w:r>
              <w:rPr>
                <w:kern w:val="0"/>
                <w:sz w:val="21"/>
                <w:szCs w:val="21"/>
              </w:rPr>
              <w:t>，</w:t>
            </w:r>
            <w:r>
              <w:rPr>
                <w:rFonts w:eastAsia="TimesNewRomanPSMT"/>
                <w:kern w:val="0"/>
                <w:sz w:val="21"/>
                <w:szCs w:val="21"/>
              </w:rPr>
              <w:t>K≤1×10</w:t>
            </w:r>
            <w:r>
              <w:rPr>
                <w:rFonts w:eastAsia="TimesNewRomanPSMT"/>
                <w:kern w:val="0"/>
                <w:sz w:val="21"/>
                <w:szCs w:val="21"/>
                <w:vertAlign w:val="superscript"/>
              </w:rPr>
              <w:t>-7</w:t>
            </w:r>
            <w:r>
              <w:rPr>
                <w:rFonts w:eastAsia="TimesNewRomanPSMT"/>
                <w:kern w:val="0"/>
                <w:sz w:val="21"/>
                <w:szCs w:val="21"/>
              </w:rPr>
              <w:t>cm/s</w:t>
            </w:r>
            <w:r>
              <w:rPr>
                <w:kern w:val="0"/>
                <w:sz w:val="21"/>
                <w:szCs w:val="21"/>
              </w:rPr>
              <w:t>，或参照《生活垃圾填埋场污染控制标准》</w:t>
            </w:r>
            <w:r>
              <w:rPr>
                <w:rFonts w:eastAsia="TimesNewRomanPSMT"/>
                <w:kern w:val="0"/>
                <w:sz w:val="21"/>
                <w:szCs w:val="21"/>
              </w:rPr>
              <w:t>(GB16889-2008)</w:t>
            </w:r>
          </w:p>
        </w:tc>
        <w:tc>
          <w:tcPr>
            <w:tcW w:w="1519" w:type="dxa"/>
            <w:vAlign w:val="center"/>
          </w:tcPr>
          <w:p>
            <w:pPr>
              <w:pStyle w:val="79"/>
              <w:spacing w:line="240" w:lineRule="auto"/>
              <w:ind w:left="115" w:right="170" w:firstLine="0" w:firstLineChars="0"/>
              <w:jc w:val="center"/>
              <w:rPr>
                <w:rFonts w:cs="Times New Roman"/>
                <w:sz w:val="21"/>
                <w:szCs w:val="21"/>
              </w:rPr>
            </w:pPr>
            <w:r>
              <w:rPr>
                <w:rFonts w:cs="Times New Roman"/>
                <w:sz w:val="21"/>
                <w:szCs w:val="21"/>
              </w:rPr>
              <w:t>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 w:type="dxa"/>
            <w:vAlign w:val="center"/>
          </w:tcPr>
          <w:p>
            <w:pPr>
              <w:pStyle w:val="79"/>
              <w:numPr>
                <w:ilvl w:val="0"/>
                <w:numId w:val="21"/>
              </w:numPr>
              <w:spacing w:line="240" w:lineRule="auto"/>
              <w:ind w:left="115" w:right="170" w:firstLineChars="0"/>
              <w:jc w:val="center"/>
              <w:rPr>
                <w:sz w:val="21"/>
                <w:szCs w:val="21"/>
              </w:rPr>
            </w:pPr>
          </w:p>
        </w:tc>
        <w:tc>
          <w:tcPr>
            <w:tcW w:w="1802" w:type="dxa"/>
            <w:vAlign w:val="center"/>
          </w:tcPr>
          <w:p>
            <w:pPr>
              <w:pStyle w:val="79"/>
              <w:spacing w:line="240" w:lineRule="auto"/>
              <w:ind w:left="115" w:right="170" w:firstLine="0" w:firstLineChars="0"/>
              <w:jc w:val="center"/>
              <w:rPr>
                <w:sz w:val="21"/>
                <w:szCs w:val="21"/>
              </w:rPr>
            </w:pPr>
            <w:r>
              <w:rPr>
                <w:rFonts w:hint="eastAsia"/>
                <w:sz w:val="21"/>
                <w:szCs w:val="21"/>
              </w:rPr>
              <w:t>办公</w:t>
            </w:r>
            <w:r>
              <w:rPr>
                <w:sz w:val="21"/>
                <w:szCs w:val="21"/>
              </w:rPr>
              <w:t>生活区</w:t>
            </w:r>
          </w:p>
        </w:tc>
        <w:tc>
          <w:tcPr>
            <w:tcW w:w="1556" w:type="dxa"/>
            <w:vAlign w:val="center"/>
          </w:tcPr>
          <w:p>
            <w:pPr>
              <w:pStyle w:val="79"/>
              <w:spacing w:line="240" w:lineRule="auto"/>
              <w:ind w:left="115" w:right="170" w:firstLine="0" w:firstLineChars="0"/>
              <w:jc w:val="center"/>
              <w:rPr>
                <w:sz w:val="21"/>
                <w:szCs w:val="21"/>
              </w:rPr>
            </w:pPr>
            <w:r>
              <w:rPr>
                <w:rFonts w:hint="eastAsia"/>
                <w:sz w:val="21"/>
                <w:szCs w:val="21"/>
              </w:rPr>
              <w:t>地面</w:t>
            </w:r>
          </w:p>
        </w:tc>
        <w:tc>
          <w:tcPr>
            <w:tcW w:w="2688" w:type="dxa"/>
            <w:vAlign w:val="center"/>
          </w:tcPr>
          <w:p>
            <w:pPr>
              <w:pStyle w:val="79"/>
              <w:spacing w:line="240" w:lineRule="auto"/>
              <w:ind w:left="115" w:right="170" w:firstLine="0" w:firstLineChars="0"/>
              <w:jc w:val="center"/>
              <w:rPr>
                <w:sz w:val="21"/>
                <w:szCs w:val="21"/>
              </w:rPr>
            </w:pPr>
            <w:r>
              <w:rPr>
                <w:rFonts w:hint="eastAsia"/>
                <w:sz w:val="21"/>
                <w:szCs w:val="21"/>
              </w:rPr>
              <w:t>一般</w:t>
            </w:r>
            <w:r>
              <w:rPr>
                <w:sz w:val="21"/>
                <w:szCs w:val="21"/>
              </w:rPr>
              <w:t>地面硬化</w:t>
            </w:r>
          </w:p>
        </w:tc>
        <w:tc>
          <w:tcPr>
            <w:tcW w:w="1519" w:type="dxa"/>
            <w:vAlign w:val="center"/>
          </w:tcPr>
          <w:p>
            <w:pPr>
              <w:pStyle w:val="79"/>
              <w:spacing w:line="240" w:lineRule="auto"/>
              <w:ind w:left="115" w:right="170" w:firstLine="0" w:firstLineChars="0"/>
              <w:jc w:val="center"/>
              <w:rPr>
                <w:sz w:val="21"/>
                <w:szCs w:val="21"/>
              </w:rPr>
            </w:pPr>
            <w:r>
              <w:rPr>
                <w:rFonts w:hint="eastAsia"/>
                <w:sz w:val="21"/>
                <w:szCs w:val="21"/>
              </w:rPr>
              <w:t>简单</w:t>
            </w:r>
          </w:p>
        </w:tc>
      </w:tr>
    </w:tbl>
    <w:p>
      <w:pPr>
        <w:pStyle w:val="79"/>
        <w:ind w:firstLine="480"/>
      </w:pPr>
      <w:r>
        <w:rPr>
          <w:rFonts w:hint="eastAsia"/>
        </w:rPr>
        <w:t>在建设单位严格按照本次评价提出的防渗措施对各单元进行治理后，各功能区及各单元的渗透系数均较低，本项目废水、固废向地下水发生渗透的概率较小，因此场区内对地下水的环境影响比较小，措施可行。</w:t>
      </w:r>
    </w:p>
    <w:p>
      <w:pPr>
        <w:pStyle w:val="5"/>
      </w:pPr>
      <w:r>
        <w:rPr>
          <w:rFonts w:hint="eastAsia"/>
        </w:rPr>
        <w:t>地下水</w:t>
      </w:r>
      <w:r>
        <w:t>污染监控</w:t>
      </w:r>
    </w:p>
    <w:p>
      <w:pPr>
        <w:ind w:firstLine="480"/>
        <w:rPr>
          <w:szCs w:val="24"/>
        </w:rPr>
      </w:pPr>
      <w:r>
        <w:rPr>
          <w:rFonts w:hint="eastAsia"/>
          <w:szCs w:val="24"/>
        </w:rPr>
        <w:t>（1）建立地下水环境监测管理体系，包括制定地下水环境影响跟踪监测计划、建立地下水环境影响跟踪监测制度，以便及时发现问题，采取措施。</w:t>
      </w:r>
    </w:p>
    <w:p>
      <w:pPr>
        <w:ind w:firstLine="480"/>
      </w:pPr>
      <w:r>
        <w:rPr>
          <w:rFonts w:hint="eastAsia"/>
          <w:szCs w:val="24"/>
        </w:rPr>
        <w:t>（2）跟踪监测计划应根据环境水文地质条件和建设项目特点设置跟踪监测点，跟踪监测点应明确与建设项目的位置关系，给出点位、坐标、井深、井结构、监测层位、监测因子及监测频率等相关参数。三级评价的建设项目，一般跟踪监测点数量不少于1个，应至少在建设项目场地下游布置1个。根据项目位置周围环境，环评建议在污水</w:t>
      </w:r>
      <w:r>
        <w:rPr>
          <w:szCs w:val="24"/>
        </w:rPr>
        <w:t>处理系统</w:t>
      </w:r>
      <w:r>
        <w:rPr>
          <w:rFonts w:hint="eastAsia"/>
          <w:szCs w:val="24"/>
        </w:rPr>
        <w:t>下游田家前岭各设置一个地下水监测点位，便于及时掌握周围地下水动态变化。</w:t>
      </w:r>
      <w:r>
        <w:t>建议每年取样分析一次，如发现异常或发生事故，应加密监测频次，并分析污染原因，确定泄露污染源，及时采取应急措施。</w:t>
      </w:r>
    </w:p>
    <w:p>
      <w:pPr>
        <w:ind w:firstLine="480"/>
        <w:rPr>
          <w:szCs w:val="24"/>
        </w:rPr>
      </w:pPr>
      <w:r>
        <w:rPr>
          <w:rFonts w:hint="eastAsia"/>
          <w:szCs w:val="24"/>
        </w:rPr>
        <w:t>监测项目：</w:t>
      </w:r>
      <w:r>
        <w:rPr>
          <w:szCs w:val="24"/>
        </w:rPr>
        <w:t>pH、总硬度、氨氮、硝酸盐氮、高锰酸盐指数、亚硝酸盐氮、细菌总数、总大肠菌群、氰化物、六价铬、砷、汞、铅、镉、挥发酚、氟、铁、锰、溶解性总固体</w:t>
      </w:r>
      <w:r>
        <w:rPr>
          <w:rFonts w:hint="eastAsia"/>
          <w:szCs w:val="24"/>
        </w:rPr>
        <w:t>等（可根据当地环境保护部门的要求调整监测频率和监测因子）。</w:t>
      </w:r>
    </w:p>
    <w:p>
      <w:pPr>
        <w:ind w:firstLine="480"/>
        <w:rPr>
          <w:szCs w:val="24"/>
        </w:rPr>
      </w:pPr>
      <w:r>
        <w:rPr>
          <w:rFonts w:hint="eastAsia"/>
          <w:szCs w:val="24"/>
        </w:rPr>
        <w:t>（3）制定地下水环境跟踪与信息公开计划，落实跟踪监测报告编制的责任主体，明确地下水环境跟踪监测报告的内容，主要包括地下水环境跟踪监测数据，排放污染物的种类、数量、浓度。生产设备、管线、贮存与运输装置、污染贮存与处理装置、事故应急装置等设施的运行状况、跑冒滴漏记录、维护记录。信息公开计划至少应包括建设项目特征因子的地下水环境监测值。</w:t>
      </w:r>
    </w:p>
    <w:p>
      <w:pPr>
        <w:pStyle w:val="5"/>
      </w:pPr>
      <w:r>
        <w:rPr>
          <w:rFonts w:hint="eastAsia"/>
        </w:rPr>
        <w:t>风险</w:t>
      </w:r>
      <w:r>
        <w:t>事故</w:t>
      </w:r>
      <w:r>
        <w:rPr>
          <w:rFonts w:hint="eastAsia"/>
        </w:rPr>
        <w:t>应急</w:t>
      </w:r>
      <w:r>
        <w:t>响应</w:t>
      </w:r>
    </w:p>
    <w:p>
      <w:pPr>
        <w:pStyle w:val="79"/>
        <w:ind w:firstLine="480"/>
      </w:pPr>
      <w:r>
        <w:rPr>
          <w:rFonts w:hint="eastAsia"/>
        </w:rPr>
        <w:t>为了应对非正常情况下可能会发生污染地下水的事故，应该制定地下水风险事故应急响应预案，明确风险事故状态下应采取的封闭、截流等措施，以防止受污染的地下水扩散，并对受污染的地下水进行治理。</w:t>
      </w:r>
    </w:p>
    <w:p>
      <w:pPr>
        <w:pStyle w:val="5"/>
      </w:pPr>
      <w:r>
        <w:rPr>
          <w:rFonts w:hint="eastAsia"/>
        </w:rPr>
        <w:t>种植区</w:t>
      </w:r>
      <w:r>
        <w:t>施肥土地地下水影响分析</w:t>
      </w:r>
    </w:p>
    <w:p>
      <w:pPr>
        <w:pStyle w:val="79"/>
        <w:ind w:firstLine="480"/>
        <w:rPr>
          <w:rFonts w:cs="Times New Roman"/>
          <w:szCs w:val="24"/>
        </w:rPr>
      </w:pPr>
      <w:r>
        <w:rPr>
          <w:rFonts w:hint="eastAsia" w:cs="Times New Roman"/>
          <w:szCs w:val="24"/>
        </w:rPr>
        <w:t>项目运营期产生的养殖废水和生活污水经</w:t>
      </w:r>
      <w:r>
        <w:rPr>
          <w:rFonts w:hint="eastAsia" w:cs="Times New Roman"/>
        </w:rPr>
        <w:t>“集粪池+固液分离+厌氧发酵”处理后</w:t>
      </w:r>
      <w:r>
        <w:rPr>
          <w:rFonts w:hint="eastAsia" w:cs="Times New Roman"/>
          <w:szCs w:val="24"/>
        </w:rPr>
        <w:t>全部用于</w:t>
      </w:r>
      <w:r>
        <w:rPr>
          <w:rFonts w:hint="eastAsia" w:cs="Times New Roman"/>
        </w:rPr>
        <w:t>种植区的魔芋、特色林果业的农田施肥</w:t>
      </w:r>
      <w:r>
        <w:rPr>
          <w:rFonts w:hint="eastAsia" w:cs="Times New Roman"/>
          <w:szCs w:val="24"/>
        </w:rPr>
        <w:t>，废水经污水处理设施处理后其污染物浓度大大降低，沼液用于项目周边土地施肥，具有改善土壤结构等特点，通过农作物吸收、土壤净化等，对地下水影响很小。</w:t>
      </w:r>
    </w:p>
    <w:p>
      <w:pPr>
        <w:pStyle w:val="79"/>
        <w:ind w:firstLine="480"/>
      </w:pPr>
      <w:r>
        <w:t>综上分析，由污染途径及对应措施分析可知，项目对可能产生地下水影响的各项途径均进行了有效预防，在确保各项防渗措施得以落实，并加强维护和场区环境管理的前提下，可有效控制场区内的废水污染物下渗现象，避免污染地下水。因此，建设单位在认真严格落实</w:t>
      </w:r>
      <w:r>
        <w:rPr>
          <w:rFonts w:hint="eastAsia"/>
        </w:rPr>
        <w:t>“</w:t>
      </w:r>
      <w:r>
        <w:t>源头控制、分区防控、污染监控、应急响应</w:t>
      </w:r>
      <w:r>
        <w:rPr>
          <w:rFonts w:hint="eastAsia"/>
        </w:rPr>
        <w:t>”</w:t>
      </w:r>
      <w:r>
        <w:t>措施后，</w:t>
      </w:r>
      <w:r>
        <w:rPr>
          <w:rFonts w:hint="eastAsia"/>
        </w:rPr>
        <w:t>可有效防止污染地下水环境，措施可行。</w:t>
      </w:r>
    </w:p>
    <w:p>
      <w:pPr>
        <w:pStyle w:val="4"/>
      </w:pPr>
      <w:r>
        <w:t>噪声防治措施</w:t>
      </w:r>
      <w:bookmarkEnd w:id="211"/>
      <w:bookmarkEnd w:id="212"/>
      <w:bookmarkEnd w:id="213"/>
    </w:p>
    <w:p>
      <w:pPr>
        <w:ind w:firstLine="480"/>
      </w:pPr>
      <w:r>
        <w:rPr>
          <w:rFonts w:hint="eastAsia"/>
        </w:rPr>
        <w:t>项目</w:t>
      </w:r>
      <w:r>
        <w:t>噪声主要来源于猪舍风机、</w:t>
      </w:r>
      <w:r>
        <w:rPr>
          <w:rFonts w:hint="eastAsia"/>
        </w:rPr>
        <w:t>猪叫、水泵、风机</w:t>
      </w:r>
      <w:r>
        <w:t>等机械设备</w:t>
      </w:r>
      <w:r>
        <w:rPr>
          <w:rFonts w:hint="eastAsia"/>
        </w:rPr>
        <w:t>。</w:t>
      </w:r>
    </w:p>
    <w:p>
      <w:pPr>
        <w:ind w:firstLine="480"/>
        <w:rPr>
          <w:rFonts w:asciiTheme="minorEastAsia" w:hAnsiTheme="minorEastAsia" w:eastAsiaTheme="minorEastAsia"/>
          <w:b/>
          <w:szCs w:val="24"/>
        </w:rPr>
      </w:pPr>
      <w:r>
        <w:rPr>
          <w:rStyle w:val="73"/>
          <w:rFonts w:asciiTheme="minorEastAsia" w:hAnsiTheme="minorEastAsia" w:eastAsiaTheme="minorEastAsia"/>
          <w:b w:val="0"/>
          <w:bCs/>
          <w:sz w:val="24"/>
        </w:rPr>
        <w:t>噪声防治对策首先从声源上进行控制，其次采取有效的隔声、消声和吸声等控制措施，并从场区平面布置上综合考虑设备噪声对场区及周边环境的影响。</w:t>
      </w:r>
    </w:p>
    <w:p>
      <w:pPr>
        <w:ind w:firstLine="480"/>
      </w:pPr>
      <w:r>
        <w:rPr>
          <w:rFonts w:hint="eastAsia"/>
        </w:rPr>
        <w:t>项目在运行过程中对各类噪声采取如下防治措施：</w:t>
      </w:r>
    </w:p>
    <w:p>
      <w:pPr>
        <w:pStyle w:val="5"/>
      </w:pPr>
      <w:r>
        <w:rPr>
          <w:rFonts w:hint="eastAsia"/>
        </w:rPr>
        <w:t>猪舍</w:t>
      </w:r>
      <w:r>
        <w:t>猪叫降噪措施</w:t>
      </w:r>
    </w:p>
    <w:p>
      <w:pPr>
        <w:ind w:firstLine="480"/>
      </w:pPr>
      <w:r>
        <w:rPr>
          <w:rFonts w:hint="eastAsia"/>
        </w:rPr>
        <w:t>（1）尽可能满足猪只饮食需要，避免因饥饿或口渴而发出叫声；</w:t>
      </w:r>
    </w:p>
    <w:p>
      <w:pPr>
        <w:ind w:firstLine="480"/>
      </w:pPr>
      <w:r>
        <w:rPr>
          <w:rFonts w:hint="eastAsia"/>
        </w:rPr>
        <w:t>（2）猪只出栏时会产生突发性叫声，会对区域声环境产生一定的影响，但具有偶然性和间断性，影响短暂，应安排在白天，且避免午休时间，尽量采取赶猪上车；</w:t>
      </w:r>
    </w:p>
    <w:p>
      <w:pPr>
        <w:ind w:firstLine="480"/>
      </w:pPr>
      <w:r>
        <w:rPr>
          <w:rFonts w:hint="eastAsia"/>
        </w:rPr>
        <w:t>（3）合理布局猪舍，厂界设围墙，在厂区总平面设计中，充分考虑地形、声源方向性及猪舍噪声强弱，利用建筑物、绿化植被等对噪声的屏蔽、吸纳作用，进行合理布局，从而起到降低噪声影响的作用。</w:t>
      </w:r>
    </w:p>
    <w:p>
      <w:pPr>
        <w:pStyle w:val="5"/>
      </w:pPr>
      <w:r>
        <w:rPr>
          <w:rFonts w:hint="eastAsia"/>
        </w:rPr>
        <w:t>设备</w:t>
      </w:r>
      <w:r>
        <w:t>降噪措施</w:t>
      </w:r>
    </w:p>
    <w:p>
      <w:pPr>
        <w:ind w:firstLine="480"/>
      </w:pPr>
      <w:r>
        <w:rPr>
          <w:rFonts w:hint="eastAsia"/>
        </w:rPr>
        <w:t>1、</w:t>
      </w:r>
      <w:r>
        <w:t>从声源上降低噪声</w:t>
      </w:r>
    </w:p>
    <w:p>
      <w:pPr>
        <w:ind w:firstLine="480"/>
      </w:pPr>
      <w:r>
        <w:rPr>
          <w:rFonts w:hint="eastAsia"/>
        </w:rPr>
        <w:t>（1）设备选型：从设备选型入手，设备定货时向设备制造厂提出噪声限值，选择低噪、低转速风机，风机的产噪级别在85dB（A）以下。</w:t>
      </w:r>
    </w:p>
    <w:p>
      <w:pPr>
        <w:ind w:firstLine="480"/>
      </w:pPr>
      <w:r>
        <w:rPr>
          <w:rFonts w:hint="eastAsia"/>
        </w:rPr>
        <w:t>（2）隔声、消声：各类通风机、泵类、污水处理系统设备等产噪设备均设置于室内，可降低噪声的影响；在气动性噪声设备上安装相应的消声装置，如引风机应安装消声器。</w:t>
      </w:r>
    </w:p>
    <w:p>
      <w:pPr>
        <w:ind w:firstLine="480"/>
      </w:pPr>
      <w:r>
        <w:rPr>
          <w:rFonts w:hint="eastAsia"/>
        </w:rPr>
        <w:t>（3）减振与隔振：机械设备产生的噪声不仅能以空气为媒介向外传播，还有直接激发固体构件振动以弹性波的形式在基础、地板、墙壁、管道中传播，并在传播过程中向外辐射噪声，为了防止振动产生的噪声污染，各类设备采取基础减振措施。</w:t>
      </w:r>
    </w:p>
    <w:p>
      <w:pPr>
        <w:ind w:firstLine="480"/>
      </w:pPr>
      <w:r>
        <w:rPr>
          <w:rFonts w:hint="eastAsia"/>
        </w:rPr>
        <w:t>（</w:t>
      </w:r>
      <w:r>
        <w:t>4</w:t>
      </w:r>
      <w:r>
        <w:rPr>
          <w:rFonts w:hint="eastAsia"/>
        </w:rPr>
        <w:t>）</w:t>
      </w:r>
      <w:r>
        <w:t>对设备进行定期检修，加强润滑作用，保持设备良好的运转状态，尽量降低噪声</w:t>
      </w:r>
      <w:r>
        <w:rPr>
          <w:rFonts w:hint="eastAsia"/>
        </w:rPr>
        <w:t>。</w:t>
      </w:r>
    </w:p>
    <w:p>
      <w:pPr>
        <w:ind w:firstLine="480"/>
      </w:pPr>
      <w:r>
        <w:t>2</w:t>
      </w:r>
      <w:r>
        <w:rPr>
          <w:rFonts w:hint="eastAsia"/>
        </w:rPr>
        <w:t>、</w:t>
      </w:r>
      <w:r>
        <w:t>在噪声传播途径上降低噪声</w:t>
      </w:r>
    </w:p>
    <w:p>
      <w:pPr>
        <w:ind w:firstLine="480"/>
      </w:pPr>
      <w:r>
        <w:t>在场区周围及场内加强绿化，充分利用建筑的边角孔隙土地及不规划土地进行绿化，场区绿化应结合场区与猪舍之间的隔离、遮荫及防风需要进行。可根据当地实际种植能美化环境、净化空气的树种和花草</w:t>
      </w:r>
      <w:r>
        <w:rPr>
          <w:rFonts w:hint="eastAsia"/>
        </w:rPr>
        <w:t>，</w:t>
      </w:r>
      <w:r>
        <w:t>不宜种植有毒、飞絮的植物。</w:t>
      </w:r>
    </w:p>
    <w:p>
      <w:pPr>
        <w:pStyle w:val="5"/>
      </w:pPr>
      <w:r>
        <w:rPr>
          <w:rFonts w:hint="eastAsia"/>
        </w:rPr>
        <w:t>交通运输噪声防治措施</w:t>
      </w:r>
    </w:p>
    <w:p>
      <w:pPr>
        <w:ind w:firstLine="480"/>
      </w:pPr>
      <w:r>
        <w:rPr>
          <w:rFonts w:hint="eastAsia"/>
        </w:rPr>
        <w:t>①根据生产实际情况，合理调度汽车运输。</w:t>
      </w:r>
    </w:p>
    <w:p>
      <w:pPr>
        <w:ind w:firstLine="480"/>
      </w:pPr>
      <w:r>
        <w:rPr>
          <w:rFonts w:hint="eastAsia"/>
        </w:rPr>
        <w:t>②优化运输路线，使运输路线尽量选择距离居民敏感点较远、地域比较开阔的地段。</w:t>
      </w:r>
    </w:p>
    <w:p>
      <w:pPr>
        <w:ind w:firstLine="480"/>
      </w:pPr>
      <w:r>
        <w:rPr>
          <w:rFonts w:hint="eastAsia"/>
        </w:rPr>
        <w:t>③运输车辆应做到缓速行驶，禁止鸣笛，减少运输车辆进出猪场对周围声环境的影响。</w:t>
      </w:r>
    </w:p>
    <w:p>
      <w:pPr>
        <w:ind w:firstLine="480"/>
      </w:pPr>
      <w:r>
        <w:rPr>
          <w:rFonts w:hint="eastAsia"/>
        </w:rPr>
        <w:t>在采取了噪声治理措施后，本项目运行时各厂界噪声符合《工业企业厂界环境噪声排放标准》（GB12348-2008）2 类区标准要求，因此评价认为以上噪声治理措施可行。</w:t>
      </w:r>
    </w:p>
    <w:p>
      <w:pPr>
        <w:pStyle w:val="4"/>
      </w:pPr>
      <w:bookmarkStart w:id="215" w:name="_Toc18564"/>
      <w:bookmarkStart w:id="216" w:name="_Toc13733"/>
      <w:bookmarkStart w:id="217" w:name="_Toc22916"/>
      <w:r>
        <w:t>固体废物防治措施</w:t>
      </w:r>
      <w:bookmarkEnd w:id="215"/>
      <w:bookmarkEnd w:id="216"/>
      <w:bookmarkEnd w:id="217"/>
    </w:p>
    <w:p>
      <w:pPr>
        <w:ind w:firstLine="480"/>
      </w:pPr>
      <w:r>
        <w:rPr>
          <w:rFonts w:hint="eastAsia"/>
        </w:rPr>
        <w:t>本项目固体废物主要是猪粪、病死猪及分娩胎衣</w:t>
      </w:r>
      <w:r>
        <w:t>、</w:t>
      </w:r>
      <w:r>
        <w:rPr>
          <w:rFonts w:hint="eastAsia"/>
        </w:rPr>
        <w:t>医疗废物、废脱硫剂和员工生活垃圾等。</w:t>
      </w:r>
    </w:p>
    <w:p>
      <w:pPr>
        <w:pStyle w:val="5"/>
      </w:pPr>
      <w:r>
        <w:rPr>
          <w:rFonts w:hint="eastAsia"/>
        </w:rPr>
        <w:t>猪粪</w:t>
      </w:r>
    </w:p>
    <w:p>
      <w:pPr>
        <w:ind w:firstLine="480"/>
      </w:pPr>
      <w:r>
        <w:rPr>
          <w:rFonts w:hint="eastAsia"/>
        </w:rPr>
        <w:t>根据《畜禽养殖业污染物防治技术规范》（</w:t>
      </w:r>
      <w:r>
        <w:t>HJ/T81-2001</w:t>
      </w:r>
      <w:r>
        <w:rPr>
          <w:rFonts w:hint="eastAsia"/>
        </w:rPr>
        <w:t>）要求，畜禽粪便贮存应满足以下要求：畜禽养殖场产生的畜禽粪便应设置专门的贮存设施，其恶臭及污染物排放应符合《畜禽养殖业污染物排放标准》；贮存设施的位置必须远离各类功能地表水体（距离不得小于</w:t>
      </w:r>
      <w:r>
        <w:t>400m</w:t>
      </w:r>
      <w:r>
        <w:rPr>
          <w:rFonts w:hint="eastAsia"/>
        </w:rPr>
        <w:t>），并应设在养殖场生产及生活管理区的常年主导风向的下风向或侧风向；贮存设施应采用有效的防渗处理工艺，防止畜禽粪便污染地下水；贮存设施应采取设置顶盖等防止降雨（水）进入的措施。</w:t>
      </w:r>
    </w:p>
    <w:p>
      <w:pPr>
        <w:ind w:firstLine="480"/>
      </w:pPr>
      <w:r>
        <w:rPr>
          <w:rFonts w:hint="eastAsia" w:ascii="宋体" w:hAnsi="Calibri" w:cs="宋体"/>
          <w:kern w:val="0"/>
          <w:szCs w:val="24"/>
        </w:rPr>
        <w:t>项目猪粪的产生</w:t>
      </w:r>
      <w:r>
        <w:t>2263t/a</w:t>
      </w:r>
      <w:r>
        <w:rPr>
          <w:rFonts w:hint="eastAsia"/>
        </w:rPr>
        <w:t>（</w:t>
      </w:r>
      <w:r>
        <w:t>6.2t/d</w:t>
      </w:r>
      <w:r>
        <w:rPr>
          <w:rFonts w:hint="eastAsia"/>
        </w:rPr>
        <w:t>），项目采用干清粪工艺，猪舍采用全漏缝地板，猪粪清理至集粪池，经</w:t>
      </w:r>
      <w:r>
        <w:t>固液分离后</w:t>
      </w:r>
      <w:r>
        <w:rPr>
          <w:rFonts w:hint="eastAsia"/>
        </w:rPr>
        <w:t>含水量较低的固粪送至堆粪棚临时堆存后袋装出售给有机肥厂作为原料，残余粪尿进入污水处理设施处理，废水处理池及管道均采取防渗措施，可避免废水下渗。</w:t>
      </w:r>
    </w:p>
    <w:p>
      <w:pPr>
        <w:ind w:firstLine="480"/>
      </w:pPr>
      <w:r>
        <w:rPr>
          <w:rFonts w:hint="eastAsia"/>
        </w:rPr>
        <w:t>项目拟在养殖场用地集粪池南侧修建</w:t>
      </w:r>
      <w:r>
        <w:t>300m</w:t>
      </w:r>
      <w:r>
        <w:rPr>
          <w:vertAlign w:val="superscript"/>
        </w:rPr>
        <w:t>2</w:t>
      </w:r>
      <w:r>
        <w:rPr>
          <w:rFonts w:hint="eastAsia"/>
        </w:rPr>
        <w:t>的堆粪棚，四周设置</w:t>
      </w:r>
      <w:r>
        <w:t>2m</w:t>
      </w:r>
      <w:r>
        <w:rPr>
          <w:rFonts w:hint="eastAsia"/>
        </w:rPr>
        <w:t>高的防渗混凝土围墙，地面采用混凝土防渗地面，最大容积约</w:t>
      </w:r>
      <w:r>
        <w:t>150</w:t>
      </w:r>
      <w:r>
        <w:rPr>
          <w:rFonts w:hint="eastAsia"/>
        </w:rPr>
        <w:t>m</w:t>
      </w:r>
      <w:r>
        <w:rPr>
          <w:rFonts w:hint="eastAsia"/>
          <w:vertAlign w:val="superscript"/>
        </w:rPr>
        <w:t>3</w:t>
      </w:r>
      <w:r>
        <w:rPr>
          <w:rFonts w:hint="eastAsia"/>
        </w:rPr>
        <w:t>，根据查阅资料显示：每立方米干猪粪的质量约0.9吨，即项目干粪最大可贮存养殖场约</w:t>
      </w:r>
      <w:r>
        <w:t>27</w:t>
      </w:r>
      <w:r>
        <w:rPr>
          <w:rFonts w:hint="eastAsia"/>
        </w:rPr>
        <w:t>天产生的干粪便（约</w:t>
      </w:r>
      <w:r>
        <w:t>135</w:t>
      </w:r>
      <w:r>
        <w:rPr>
          <w:rFonts w:hint="eastAsia"/>
        </w:rPr>
        <w:t>t）。养殖场产生的干粪由汽车定期清运至有机肥厂作为有机肥生产原料，</w:t>
      </w:r>
      <w:r>
        <w:t>夏季约</w:t>
      </w:r>
      <w:r>
        <w:rPr>
          <w:rFonts w:hint="eastAsia"/>
        </w:rPr>
        <w:t>每3天</w:t>
      </w:r>
      <w:r>
        <w:t>一次，其余季节</w:t>
      </w:r>
      <w:r>
        <w:rPr>
          <w:rFonts w:hint="eastAsia"/>
        </w:rPr>
        <w:t>每5天</w:t>
      </w:r>
      <w:r>
        <w:t>一次，</w:t>
      </w:r>
    </w:p>
    <w:p>
      <w:pPr>
        <w:ind w:firstLine="480"/>
      </w:pPr>
      <w:r>
        <w:rPr>
          <w:rFonts w:hint="eastAsia"/>
        </w:rPr>
        <w:t>评价要求：干粪出厂前应袋装密闭收集，应选用全封闭运输车辆进行运输，并对每次出场运输车辆进行消毒、喷洒除臭剂、做好防渗、防雨、防撒落处理，运输路线尽量避开集中居民区、城镇区、饮用水源保护区等区域，在经过居民及其它需要特殊保护的路段，应禁止鸣笛并减速行驶，合理安排运输时间，避开休息及中高考期间运输作业，减少对运输沿线的环境影响。</w:t>
      </w:r>
    </w:p>
    <w:p>
      <w:pPr>
        <w:pStyle w:val="5"/>
      </w:pPr>
      <w:r>
        <w:rPr>
          <w:rFonts w:hint="eastAsia"/>
        </w:rPr>
        <w:t>病死</w:t>
      </w:r>
      <w:r>
        <w:t>猪及分娩胎衣</w:t>
      </w:r>
    </w:p>
    <w:p>
      <w:pPr>
        <w:ind w:firstLine="480"/>
      </w:pPr>
      <w:r>
        <w:rPr>
          <w:rFonts w:hint="eastAsia"/>
        </w:rPr>
        <w:t>养殖场区病死猪尸体如果处置不合理，会对环境造成重大影响。根据《病害动物和病害动物产品生物安全处理规程》（GB 16548-2006）规定，对病死猪尸体宜采用生物安全处理。生物安全处理是通过用焚毁、化制、掩埋或其它物理、化学、生物学方法将病害动物尸体或者病害动物产品或附属物进行处理，以彻底消除其所携带的病原体，以达到消除病害因素，保障人畜健康安全的目的。</w:t>
      </w:r>
    </w:p>
    <w:p>
      <w:pPr>
        <w:ind w:firstLine="480"/>
      </w:pPr>
      <w:r>
        <w:rPr>
          <w:rFonts w:hint="eastAsia"/>
        </w:rPr>
        <w:t>陕西省人民政府办公厅《关于建立病死畜禽无害化处理机制的实施意见》</w:t>
      </w:r>
      <w:r>
        <w:t>(</w:t>
      </w:r>
      <w:r>
        <w:rPr>
          <w:rFonts w:hint="eastAsia"/>
        </w:rPr>
        <w:t>陕政办发〔</w:t>
      </w:r>
      <w:r>
        <w:t>2015</w:t>
      </w:r>
      <w:r>
        <w:rPr>
          <w:rFonts w:hint="eastAsia"/>
        </w:rPr>
        <w:t>〕</w:t>
      </w:r>
      <w:r>
        <w:t xml:space="preserve">55 </w:t>
      </w:r>
      <w:r>
        <w:rPr>
          <w:rFonts w:hint="eastAsia"/>
        </w:rPr>
        <w:t>号</w:t>
      </w:r>
      <w:r>
        <w:t>)</w:t>
      </w:r>
      <w:r>
        <w:rPr>
          <w:rFonts w:hint="eastAsia"/>
        </w:rPr>
        <w:t>中指出：“畜禽饲养、屠宰、运输、销售经营主体是病死畜禽无害化处理的第一责任人，要严格按照动物防疫法律法规，及时对病死畜禽进行无害化处理并报告当地乡镇政府（街道办事处）和畜牧兽医部门，严禁抛弃、收购、贩卖、屠宰、加工病死畜禽。鼓励大型养殖场、屠宰场建设病死畜禽无害化处理设施，并可接受委托，有偿对地方政府组织收集及其他生产经营者的病死畜禽进行无害化处理，确保清洁安全，不污染环境。”、“各市、县（市、区）根据当地畜禽养殖、疫病发生和畜禽死亡等情况，科学制定病死畜禽无害化处理体系建设规划，加快建设覆盖饲养、屠宰、经营、运输等各环节的病死畜禽无害化处理场所，所有规模养殖场户、屠宰场等纳入无害化处理体系，</w:t>
      </w:r>
      <w:r>
        <w:t xml:space="preserve">2020 </w:t>
      </w:r>
      <w:r>
        <w:rPr>
          <w:rFonts w:hint="eastAsia"/>
        </w:rPr>
        <w:t>年前基本实现全省病死畜禽无害化处理。鼓励跨行政区域建设病死畜禽专业无害化处理场，国家生猪调出大县和年饲养量在</w:t>
      </w:r>
      <w:r>
        <w:t xml:space="preserve">5000 </w:t>
      </w:r>
      <w:r>
        <w:rPr>
          <w:rFonts w:hint="eastAsia"/>
        </w:rPr>
        <w:t>万只以上的家禽养殖县（市、区），原则上都要建立专业无害化处理场，其他养殖密集地区要依托养殖场、屠宰场、专业合作组织和乡镇畜牧兽医站等，建设病死畜禽收集网点，配备必要的运输工具。”</w:t>
      </w:r>
    </w:p>
    <w:p>
      <w:pPr>
        <w:ind w:firstLine="480"/>
      </w:pPr>
      <w:r>
        <w:t>项目病死猪产生量为2.86t/a，分娩废物</w:t>
      </w:r>
      <w:r>
        <w:rPr>
          <w:rFonts w:hint="eastAsia"/>
        </w:rPr>
        <w:t>2.76</w:t>
      </w:r>
      <w:r>
        <w:t>t/a，病死猪及分娩废物运至填埋井进行安全填埋。</w:t>
      </w:r>
    </w:p>
    <w:p>
      <w:pPr>
        <w:ind w:firstLine="480"/>
      </w:pPr>
      <w:r>
        <w:rPr>
          <w:rFonts w:hint="eastAsia"/>
        </w:rPr>
        <w:t>根据《畜禽养殖业污染治理工程技术规范》（HJ497-2009）要求，不具备焚烧条件的养殖场应设置两个以上安全填埋井，用于处置病死猪及分娩废物。</w:t>
      </w:r>
    </w:p>
    <w:p>
      <w:pPr>
        <w:ind w:firstLine="480"/>
      </w:pPr>
      <w:r>
        <w:rPr>
          <w:rFonts w:hint="eastAsia"/>
        </w:rPr>
        <w:t>《畜禽养殖业污染物防治技术规范》（HJ/T81-2001）中指出：</w:t>
      </w:r>
    </w:p>
    <w:p>
      <w:pPr>
        <w:ind w:firstLine="480"/>
      </w:pPr>
      <w:r>
        <w:rPr>
          <w:rFonts w:hint="eastAsia"/>
        </w:rPr>
        <w:t>①病死畜禽尸体要及时处理，严禁随意丢弃，严禁出售或作为饲料再利用。</w:t>
      </w:r>
    </w:p>
    <w:p>
      <w:pPr>
        <w:ind w:firstLine="480"/>
      </w:pPr>
      <w:r>
        <w:rPr>
          <w:rFonts w:hint="eastAsia"/>
        </w:rPr>
        <w:t>②不具备焚烧条件的养殖场应设置两个以上安全填埋井，填埋井应为混凝土结构，深度大于2m，直径1m，井口加盖密封。进行填埋时，在每次投入畜禽尸体后，应覆盖一层厚度大于10cm的熟石灰消毒，经填满后，需用粘土填埋压实并封口。</w:t>
      </w:r>
    </w:p>
    <w:p>
      <w:pPr>
        <w:ind w:firstLine="480"/>
      </w:pPr>
      <w:r>
        <w:rPr>
          <w:rFonts w:hint="eastAsia"/>
        </w:rPr>
        <w:t>评价要求企业填埋井建设及填埋时应严格按照《畜禽养殖业污染治理工程技术规范》（HJ497-2009）和《畜禽养殖业污染物防治技术规范》要求进行，根据</w:t>
      </w:r>
      <w:r>
        <w:t>现场调查</w:t>
      </w:r>
      <w:r>
        <w:rPr>
          <w:rFonts w:hint="eastAsia"/>
        </w:rPr>
        <w:t>，</w:t>
      </w:r>
      <w:r>
        <w:t>建设单位已建成</w:t>
      </w:r>
      <w:r>
        <w:rPr>
          <w:rFonts w:hint="eastAsia"/>
        </w:rPr>
        <w:t>1个</w:t>
      </w:r>
      <w:r>
        <w:t>安全填埋井，本次</w:t>
      </w:r>
      <w:r>
        <w:rPr>
          <w:rFonts w:hint="eastAsia"/>
        </w:rPr>
        <w:t>环评</w:t>
      </w:r>
      <w:r>
        <w:t>要求新增</w:t>
      </w:r>
      <w:r>
        <w:rPr>
          <w:rFonts w:hint="eastAsia"/>
        </w:rPr>
        <w:t>1个</w:t>
      </w:r>
      <w:r>
        <w:t>填埋井，共建设</w:t>
      </w:r>
      <w:r>
        <w:rPr>
          <w:rFonts w:hint="eastAsia"/>
        </w:rPr>
        <w:t>2个</w:t>
      </w:r>
      <w:r>
        <w:t>安全填埋井</w:t>
      </w:r>
      <w:r>
        <w:rPr>
          <w:rFonts w:hint="eastAsia"/>
        </w:rPr>
        <w:t>，填埋井应为混凝土结构，井口加盖密封。每个填埋井深度</w:t>
      </w:r>
      <w:r>
        <w:t>5</w:t>
      </w:r>
      <w:r>
        <w:rPr>
          <w:rFonts w:hint="eastAsia"/>
        </w:rPr>
        <w:t>m，直径</w:t>
      </w:r>
      <w:r>
        <w:t>3</w:t>
      </w:r>
      <w:r>
        <w:rPr>
          <w:rFonts w:hint="eastAsia"/>
        </w:rPr>
        <w:t>m，容积</w:t>
      </w:r>
      <w:r>
        <w:t>35</w:t>
      </w:r>
      <w:r>
        <w:rPr>
          <w:rFonts w:hint="eastAsia"/>
        </w:rPr>
        <w:t>m</w:t>
      </w:r>
      <w:r>
        <w:rPr>
          <w:rFonts w:hint="eastAsia"/>
          <w:vertAlign w:val="superscript"/>
        </w:rPr>
        <w:t>3</w:t>
      </w:r>
      <w:r>
        <w:rPr>
          <w:rFonts w:hint="eastAsia"/>
        </w:rPr>
        <w:t>。进行填埋时，在每次投入死尸后，应覆盖一层厚度大于10cm的熟石灰。井填满后，须用粘土填埋压实并封口。</w:t>
      </w:r>
    </w:p>
    <w:p>
      <w:pPr>
        <w:ind w:firstLine="480"/>
      </w:pPr>
      <w:r>
        <w:rPr>
          <w:rFonts w:hint="eastAsia"/>
        </w:rPr>
        <w:t>填埋井采用混凝土结构并采用土工膜做好防渗措施，对填埋点、运输车辆、工具等进行严格的消毒。同时填埋点应设有害物质标志，以作警示，并对周围进行绿化。同时要求场区配置一套常规防疫检测设备。</w:t>
      </w:r>
    </w:p>
    <w:p>
      <w:pPr>
        <w:ind w:firstLine="480"/>
      </w:pPr>
      <w:r>
        <w:rPr>
          <w:rFonts w:hint="eastAsia"/>
        </w:rPr>
        <w:t>此外，评价要求本工程被传染病感染的病猪应及时送至场区病猪隔离舍经兽医检查，若不能救治，要及时上报卫生检疫部门，由其委托有资质单位按《畜禽病害肉尸及其产品无害化处理规程》（GB16548－1996）进行无害化处理。本项目病猪隔离舍应远离食堂、水源和其他公共场所。定期对病猪隔离舍进行全面消毒。做好各方面的防疫工作，防止猪群之间相互传染。</w:t>
      </w:r>
    </w:p>
    <w:p>
      <w:pPr>
        <w:pStyle w:val="5"/>
      </w:pPr>
      <w:r>
        <w:rPr>
          <w:rFonts w:hint="eastAsia"/>
        </w:rPr>
        <w:t>医疗</w:t>
      </w:r>
      <w:r>
        <w:t>废物</w:t>
      </w:r>
    </w:p>
    <w:p>
      <w:pPr>
        <w:ind w:firstLine="480"/>
      </w:pPr>
      <w:r>
        <w:rPr>
          <w:rFonts w:hint="eastAsia"/>
        </w:rPr>
        <w:t>猪只防疫、消毒会产生废疫苗瓶、废消毒剂瓶等医疗废物，属于危险废物（</w:t>
      </w:r>
      <w:r>
        <w:t>HW01</w:t>
      </w:r>
      <w:r>
        <w:rPr>
          <w:rFonts w:hint="eastAsia"/>
        </w:rPr>
        <w:t>，</w:t>
      </w:r>
      <w:r>
        <w:t>841-001-01</w:t>
      </w:r>
      <w:r>
        <w:rPr>
          <w:rFonts w:hint="eastAsia"/>
        </w:rPr>
        <w:t>）。应按照《医疗废物管理条例》（国务院令第</w:t>
      </w:r>
      <w:r>
        <w:t xml:space="preserve">380 </w:t>
      </w:r>
      <w:r>
        <w:rPr>
          <w:rFonts w:hint="eastAsia"/>
        </w:rPr>
        <w:t>号）有关要求进行处置。</w:t>
      </w:r>
    </w:p>
    <w:p>
      <w:pPr>
        <w:ind w:firstLine="480"/>
      </w:pPr>
      <w:r>
        <w:rPr>
          <w:rFonts w:hint="eastAsia"/>
        </w:rPr>
        <w:t>①项目应当及时收集产生的医疗废物，并按照类别分置于防渗漏、防锐器穿透的专用包装物或者密闭的容器内。医疗废物专用包装物、容器，应当有明显的警示标识和警示说明。医疗废物专用包装物、容器的材质、规格、性能等指标符合《医疗废物专用包装物、容器标准和警示标识的规定》的要求。</w:t>
      </w:r>
    </w:p>
    <w:p>
      <w:pPr>
        <w:ind w:firstLine="480"/>
      </w:pPr>
      <w:r>
        <w:rPr>
          <w:rFonts w:hint="eastAsia"/>
        </w:rPr>
        <w:t>②项目应当建立医疗废物的暂时贮存设施、设备，不得露天存放医疗废物；医疗废物的暂时贮存设施、设备，应当远离医疗区和人员活动区，并设置明显的警示标识和防渗漏、防鼠、防蚊蝇、防蟑螂、防盗以及预防儿童接触等安全措施。医疗废物的暂时贮存设施、设备应当定期消毒和清洁。</w:t>
      </w:r>
    </w:p>
    <w:p>
      <w:pPr>
        <w:ind w:firstLine="480"/>
      </w:pPr>
      <w:r>
        <w:rPr>
          <w:rFonts w:hint="eastAsia"/>
        </w:rPr>
        <w:t>③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露。</w:t>
      </w:r>
    </w:p>
    <w:p>
      <w:pPr>
        <w:ind w:firstLine="480"/>
      </w:pPr>
      <w:r>
        <w:rPr>
          <w:rFonts w:hint="eastAsia"/>
        </w:rPr>
        <w:t>④建设单位应将医疗废物管理纳入到日常管理工作，根据环保及卫生防疫要求制定相应的管理制度并落实到具体科室，落实医疗废物管理的具体负责人，指定专人负责本单位所产生的医疗废物的统一收集、包装、贮存和转移工作。按医疗废物分类及医疗废物包装要求分类收集本单位所产生的医疗废物，并按照要求进行妥善包装，产生的医疗废物经消毒、毁形后放置在专门的收集容器内。</w:t>
      </w:r>
    </w:p>
    <w:p>
      <w:pPr>
        <w:ind w:firstLine="480"/>
      </w:pPr>
      <w:r>
        <w:rPr>
          <w:rFonts w:hint="eastAsia"/>
        </w:rPr>
        <w:t>⑤建设单位对从事医疗废物收集、运送、贮存、处置等工作人员和管理人员，进行相关法律和专业技术、安全防护措施以及紧急处理等知识的培训。</w:t>
      </w:r>
    </w:p>
    <w:p>
      <w:pPr>
        <w:ind w:firstLine="480"/>
      </w:pPr>
      <w:r>
        <w:rPr>
          <w:rFonts w:hint="eastAsia"/>
        </w:rPr>
        <w:t>⑥采取有效的职业卫生防护措施，为从事医疗废物收集、运送、贮存、处置等工作的人员和管理人员、配备必要的防护用品、定期进行健康检查；必要时，对有关人员进行免疫接种，防止其受到健康损害。</w:t>
      </w:r>
    </w:p>
    <w:p>
      <w:pPr>
        <w:ind w:firstLine="480"/>
      </w:pPr>
      <w:r>
        <w:rPr>
          <w:rFonts w:hint="eastAsia"/>
        </w:rPr>
        <w:t>⑦在医疗废物的处理过程中实行“转移联单制度”登记造册，填写和保存转移联单。</w:t>
      </w:r>
    </w:p>
    <w:p>
      <w:pPr>
        <w:ind w:firstLine="480"/>
      </w:pPr>
      <w:r>
        <w:rPr>
          <w:rFonts w:hint="eastAsia"/>
        </w:rPr>
        <w:t>⑧医疗废物必须与生活垃圾存放地分开；应配备由医疗废物收集专用箱，在填埋井北侧设一间医疗废物暂存间，用于项目医疗废物暂时贮存。项目医疗废物由专人收集后在医疗废物暂存间储存，由有资质单位统一收集处置。</w:t>
      </w:r>
    </w:p>
    <w:p>
      <w:pPr>
        <w:ind w:firstLine="480"/>
      </w:pPr>
      <w:r>
        <w:rPr>
          <w:rFonts w:hint="eastAsia"/>
        </w:rPr>
        <w:t>此外，为了防止危险废物对区域环境的影响，环评提出以下要求：</w:t>
      </w:r>
    </w:p>
    <w:p>
      <w:pPr>
        <w:ind w:firstLine="480"/>
      </w:pPr>
      <w:r>
        <w:rPr>
          <w:rFonts w:hint="eastAsia"/>
        </w:rPr>
        <w:t>1）医疗废物应由专用容器收集，贮存容器应符合下列要求：</w:t>
      </w:r>
    </w:p>
    <w:p>
      <w:pPr>
        <w:ind w:firstLine="480"/>
      </w:pPr>
      <w:r>
        <w:rPr>
          <w:rFonts w:hint="eastAsia"/>
        </w:rPr>
        <w:t>①应使用符合国家标准的容器盛装危险废物。</w:t>
      </w:r>
    </w:p>
    <w:p>
      <w:pPr>
        <w:ind w:firstLine="480"/>
      </w:pPr>
      <w:r>
        <w:rPr>
          <w:rFonts w:hint="eastAsia"/>
        </w:rPr>
        <w:t>②贮存容器必须具有耐腐蚀、耐压、密封和不与所贮存的废物发生反应等特性。</w:t>
      </w:r>
    </w:p>
    <w:p>
      <w:pPr>
        <w:ind w:firstLine="480"/>
      </w:pPr>
      <w:r>
        <w:rPr>
          <w:rFonts w:hint="eastAsia"/>
        </w:rPr>
        <w:t>③贮存容器应保证完好无损并具有明显标志。</w:t>
      </w:r>
    </w:p>
    <w:p>
      <w:pPr>
        <w:ind w:firstLine="480"/>
      </w:pPr>
      <w:r>
        <w:t>2</w:t>
      </w:r>
      <w:r>
        <w:rPr>
          <w:rFonts w:hint="eastAsia"/>
        </w:rPr>
        <w:t>）设置专用的危险废物贮存场所，贮存场所应符合下列要求：</w:t>
      </w:r>
    </w:p>
    <w:p>
      <w:pPr>
        <w:ind w:firstLine="480"/>
      </w:pPr>
      <w:r>
        <w:rPr>
          <w:rFonts w:hint="eastAsia"/>
        </w:rPr>
        <w:t>①贮存场所必须符合《危险废物贮存污染控制标准》（</w:t>
      </w:r>
      <w:r>
        <w:t>GB18597-2001</w:t>
      </w:r>
      <w:r>
        <w:rPr>
          <w:rFonts w:hint="eastAsia"/>
        </w:rPr>
        <w:t>）及修改单中有关规定，有符合《环境保护图形标志</w:t>
      </w:r>
      <w:r>
        <w:t>-</w:t>
      </w:r>
      <w:r>
        <w:rPr>
          <w:rFonts w:hint="eastAsia"/>
        </w:rPr>
        <w:t>固体废物贮存（处置）场》（</w:t>
      </w:r>
      <w:r>
        <w:t>GB15562.2-1995</w:t>
      </w:r>
      <w:r>
        <w:rPr>
          <w:rFonts w:hint="eastAsia"/>
        </w:rPr>
        <w:t>）的专用标志。</w:t>
      </w:r>
    </w:p>
    <w:p>
      <w:pPr>
        <w:ind w:firstLine="480"/>
      </w:pPr>
      <w:r>
        <w:rPr>
          <w:rFonts w:hint="eastAsia"/>
        </w:rPr>
        <w:t>②存放医疗废物时，不相容的医疗废物必须分开存放，并设有隔离间隔隔断。</w:t>
      </w:r>
    </w:p>
    <w:p>
      <w:pPr>
        <w:ind w:firstLine="480"/>
      </w:pPr>
      <w:r>
        <w:rPr>
          <w:rFonts w:hint="eastAsia"/>
        </w:rPr>
        <w:t>③应建有堵截泄漏的裙角，地面与裙角要用兼顾防渗的材料建造，建筑材料必须与危险废物相容。</w:t>
      </w:r>
    </w:p>
    <w:p>
      <w:pPr>
        <w:ind w:firstLine="480"/>
      </w:pPr>
      <w:r>
        <w:rPr>
          <w:rFonts w:hint="eastAsia"/>
        </w:rPr>
        <w:t>④应有安全照明观察窗口，并应设有应急防护设施。</w:t>
      </w:r>
    </w:p>
    <w:p>
      <w:pPr>
        <w:ind w:firstLine="480"/>
      </w:pPr>
      <w:r>
        <w:rPr>
          <w:rFonts w:hint="eastAsia"/>
        </w:rPr>
        <w:t>⑤应有隔离设施、报警装置和防风、防晒、防雨设施以及消防设施。</w:t>
      </w:r>
    </w:p>
    <w:p>
      <w:pPr>
        <w:ind w:firstLine="480"/>
      </w:pPr>
      <w:r>
        <w:rPr>
          <w:rFonts w:hint="eastAsia"/>
        </w:rPr>
        <w:t>⑥用于存放装载液体、半固体危险废物容器的地方，必须有耐腐蚀的硬化地面，且表面无裂隙。</w:t>
      </w:r>
    </w:p>
    <w:p>
      <w:pPr>
        <w:ind w:firstLine="480"/>
      </w:pPr>
      <w:r>
        <w:rPr>
          <w:rFonts w:hint="eastAsia"/>
        </w:rPr>
        <w:t>⑦贮存库容量的设计应考虑工艺运行的要求并应满足设备大修（一般以</w:t>
      </w:r>
      <w:r>
        <w:t>15</w:t>
      </w:r>
      <w:r>
        <w:rPr>
          <w:rFonts w:hint="eastAsia"/>
        </w:rPr>
        <w:t>天为宜）。</w:t>
      </w:r>
    </w:p>
    <w:p>
      <w:pPr>
        <w:ind w:firstLine="480"/>
      </w:pPr>
      <w:r>
        <w:rPr>
          <w:rFonts w:hint="eastAsia"/>
        </w:rPr>
        <w:t>⑧危废暂存间采取重点防渗措施，等效黏土防渗层</w:t>
      </w:r>
      <w:r>
        <w:t>Mb</w:t>
      </w:r>
      <w:r>
        <w:rPr>
          <w:rFonts w:hint="eastAsia"/>
        </w:rPr>
        <w:t>≥</w:t>
      </w:r>
      <w:r>
        <w:t>6.0m</w:t>
      </w:r>
      <w:r>
        <w:rPr>
          <w:rFonts w:hint="eastAsia"/>
        </w:rPr>
        <w:t>，</w:t>
      </w:r>
      <w:r>
        <w:t>K</w:t>
      </w:r>
      <w:r>
        <w:rPr>
          <w:rFonts w:hint="eastAsia"/>
        </w:rPr>
        <w:t>≤</w:t>
      </w:r>
      <w:r>
        <w:t>1</w:t>
      </w:r>
      <w:r>
        <w:rPr>
          <w:rFonts w:hint="eastAsia"/>
        </w:rPr>
        <w:t>×</w:t>
      </w:r>
      <w:r>
        <w:t>10</w:t>
      </w:r>
      <w:r>
        <w:rPr>
          <w:vertAlign w:val="superscript"/>
        </w:rPr>
        <w:t>-7</w:t>
      </w:r>
      <w:r>
        <w:t>cm/s</w:t>
      </w:r>
      <w:r>
        <w:rPr>
          <w:rFonts w:hint="eastAsia"/>
        </w:rPr>
        <w:t>，或参照《危险废物填埋污染控制标准》</w:t>
      </w:r>
      <w:r>
        <w:t>(GB18598-2019)</w:t>
      </w:r>
      <w:r>
        <w:rPr>
          <w:rFonts w:hint="eastAsia"/>
        </w:rPr>
        <w:t>。</w:t>
      </w:r>
    </w:p>
    <w:p>
      <w:pPr>
        <w:ind w:firstLine="480"/>
      </w:pPr>
      <w:r>
        <w:rPr>
          <w:rFonts w:hint="eastAsia"/>
        </w:rPr>
        <w:t>3）危险废物的运输应符合下列要求：</w:t>
      </w:r>
    </w:p>
    <w:p>
      <w:pPr>
        <w:ind w:firstLine="480"/>
      </w:pPr>
      <w:r>
        <w:rPr>
          <w:rFonts w:hint="eastAsia"/>
        </w:rPr>
        <w:t>①危险废物全过程的管理制度：转移联单管理制度；职业健康、安全、环保管理体系（HSE），处置厂（场）的管理人员应参加环保管理部门的岗位培训，合格后上岗；制定档案管理制度。</w:t>
      </w:r>
    </w:p>
    <w:p>
      <w:pPr>
        <w:ind w:firstLine="480"/>
      </w:pPr>
      <w:r>
        <w:rPr>
          <w:rFonts w:hint="eastAsia"/>
        </w:rPr>
        <w:t>②危险废物运输车辆须经过主管单位检查，并持有关单位签发的许可证，负责运输的司机应通过培训，持有证明文件。</w:t>
      </w:r>
    </w:p>
    <w:p>
      <w:pPr>
        <w:ind w:firstLine="480"/>
      </w:pPr>
      <w:r>
        <w:rPr>
          <w:rFonts w:hint="eastAsia"/>
        </w:rPr>
        <w:t>③载有危险废物的车辆必须有明显的标志或适当的危险符号，以引起注意。</w:t>
      </w:r>
    </w:p>
    <w:p>
      <w:pPr>
        <w:ind w:firstLine="480"/>
      </w:pPr>
      <w:r>
        <w:rPr>
          <w:rFonts w:hint="eastAsia"/>
        </w:rPr>
        <w:t>④载有危险废物的车辆在公路上行驶时，需持有运输许可证，其上应注明废物来源、性质及运往地点，必要时须有专门单位人员负责押运。</w:t>
      </w:r>
    </w:p>
    <w:p>
      <w:pPr>
        <w:ind w:firstLine="480"/>
      </w:pPr>
      <w:r>
        <w:rPr>
          <w:rFonts w:hint="eastAsia"/>
        </w:rPr>
        <w:t>⑤危险废物运输单位应事先需作出周密的运输计划和行驶路线，其中包括废物泄漏情况下的有效应急措施。</w:t>
      </w:r>
    </w:p>
    <w:p>
      <w:pPr>
        <w:ind w:firstLine="480"/>
      </w:pPr>
      <w:r>
        <w:rPr>
          <w:rFonts w:hint="eastAsia"/>
        </w:rPr>
        <w:t>⑥避免各类固体废物在装载、搬移或运输途中出现渗漏、溢出、抛洒造成的二次污染，同时应注意收集后尽量压实以减少固体废物体积、提高固体废物装载的效率。</w:t>
      </w:r>
    </w:p>
    <w:p>
      <w:pPr>
        <w:pStyle w:val="5"/>
      </w:pPr>
      <w:r>
        <w:rPr>
          <w:rFonts w:hint="eastAsia"/>
        </w:rPr>
        <w:t>废脱硫剂</w:t>
      </w:r>
      <w:r>
        <w:t>和生活垃圾</w:t>
      </w:r>
    </w:p>
    <w:p>
      <w:pPr>
        <w:ind w:firstLine="480"/>
      </w:pPr>
      <w:r>
        <w:rPr>
          <w:rFonts w:hint="eastAsia"/>
        </w:rPr>
        <w:t>本项目采用干法脱硫（氧化铁），脱硫剂每半年更换一次，废脱硫剂属于一般固废，可由生产厂家回收再生处理。生活</w:t>
      </w:r>
      <w:r>
        <w:t>垃圾</w:t>
      </w:r>
      <w:r>
        <w:rPr>
          <w:rFonts w:hint="eastAsia"/>
        </w:rPr>
        <w:t>收集后与附近村庄生活垃圾一起处理。</w:t>
      </w:r>
    </w:p>
    <w:p>
      <w:pPr>
        <w:pStyle w:val="79"/>
        <w:ind w:firstLine="480"/>
      </w:pPr>
      <w:bookmarkStart w:id="218" w:name="7.2.6_风险防范措施"/>
      <w:bookmarkEnd w:id="218"/>
      <w:r>
        <w:rPr>
          <w:rFonts w:hint="eastAsia"/>
        </w:rPr>
        <w:t>综上所述</w:t>
      </w:r>
      <w:r>
        <w:rPr>
          <w:rFonts w:hint="eastAsia"/>
          <w:spacing w:val="-29"/>
        </w:rPr>
        <w:t>，</w:t>
      </w:r>
      <w:r>
        <w:rPr>
          <w:rFonts w:hint="eastAsia"/>
        </w:rPr>
        <w:t>项目采取环评提出的措施后</w:t>
      </w:r>
      <w:r>
        <w:rPr>
          <w:rFonts w:hint="eastAsia"/>
          <w:spacing w:val="-29"/>
        </w:rPr>
        <w:t>，</w:t>
      </w:r>
      <w:r>
        <w:rPr>
          <w:rFonts w:hint="eastAsia"/>
        </w:rPr>
        <w:t>本项目固体废物均能得到合理处置，从环境保护角度分析，措施可行。</w:t>
      </w:r>
    </w:p>
    <w:p>
      <w:pPr>
        <w:pStyle w:val="4"/>
      </w:pPr>
      <w:r>
        <w:rPr>
          <w:rFonts w:hint="eastAsia"/>
        </w:rPr>
        <w:t>风险</w:t>
      </w:r>
      <w:r>
        <w:t>防范措施</w:t>
      </w:r>
    </w:p>
    <w:p>
      <w:pPr>
        <w:ind w:firstLine="480"/>
      </w:pPr>
      <w:r>
        <w:rPr>
          <w:rFonts w:hint="eastAsia"/>
        </w:rPr>
        <w:t>1、沼气泄漏事故风险防范措施</w:t>
      </w:r>
    </w:p>
    <w:p>
      <w:pPr>
        <w:ind w:firstLine="480"/>
      </w:pPr>
      <w:r>
        <w:rPr>
          <w:rFonts w:hint="eastAsia"/>
        </w:rPr>
        <w:t>（1）在沼气脱硫</w:t>
      </w:r>
      <w:r>
        <w:t>装置</w:t>
      </w:r>
      <w:r>
        <w:rPr>
          <w:rFonts w:hint="eastAsia"/>
        </w:rPr>
        <w:t>出口管线上设置消焰器（阻火器），此外，在所有沼气系统与外界连通部位（如：与真空压力安全阀、机械排气阀连接安装）都安装消焰器。消焰器内部填充了金属填料，当火焰通过消焰器填料间缝隙时，热量被吸收，气体温度降至燃点以下，达到消焰目的。</w:t>
      </w:r>
    </w:p>
    <w:p>
      <w:pPr>
        <w:ind w:firstLine="480"/>
      </w:pPr>
      <w:r>
        <w:rPr>
          <w:rFonts w:hint="eastAsia"/>
        </w:rPr>
        <w:t>（</w:t>
      </w:r>
      <w:r>
        <w:t>2</w:t>
      </w:r>
      <w:r>
        <w:rPr>
          <w:rFonts w:hint="eastAsia"/>
        </w:rPr>
        <w:t>）制订详细的操作规程及岗位安全作业指导书，并严格监督落实。</w:t>
      </w:r>
    </w:p>
    <w:p>
      <w:pPr>
        <w:ind w:firstLine="480"/>
      </w:pPr>
      <w:r>
        <w:rPr>
          <w:rFonts w:hint="eastAsia"/>
        </w:rPr>
        <w:t>（</w:t>
      </w:r>
      <w:r>
        <w:t>3</w:t>
      </w:r>
      <w:r>
        <w:rPr>
          <w:rFonts w:hint="eastAsia"/>
        </w:rPr>
        <w:t>）强化安全管理，强化职工风险意识。</w:t>
      </w:r>
    </w:p>
    <w:p>
      <w:pPr>
        <w:ind w:firstLine="480"/>
      </w:pPr>
      <w:r>
        <w:rPr>
          <w:rFonts w:hint="eastAsia"/>
        </w:rPr>
        <w:t>2、废水事故排放风险防范措施</w:t>
      </w:r>
    </w:p>
    <w:p>
      <w:pPr>
        <w:ind w:firstLine="480"/>
      </w:pPr>
      <w:r>
        <w:rPr>
          <w:rFonts w:hint="eastAsia"/>
        </w:rPr>
        <w:t>本项目污水</w:t>
      </w:r>
      <w:r>
        <w:t>处理构筑物</w:t>
      </w:r>
      <w:r>
        <w:rPr>
          <w:rFonts w:hint="eastAsia"/>
        </w:rPr>
        <w:t>采用HDPE+混凝土防渗，渗透系数为1.00×10</w:t>
      </w:r>
      <w:r>
        <w:rPr>
          <w:rFonts w:hint="eastAsia"/>
          <w:vertAlign w:val="superscript"/>
        </w:rPr>
        <w:t>-10</w:t>
      </w:r>
      <w:r>
        <w:rPr>
          <w:rFonts w:hint="eastAsia"/>
        </w:rPr>
        <w:t>cm/s，废水输送管道应做到防泄漏、跑冒等。</w:t>
      </w:r>
    </w:p>
    <w:p>
      <w:pPr>
        <w:ind w:firstLine="480"/>
      </w:pPr>
      <w:r>
        <w:rPr>
          <w:rFonts w:hint="eastAsia"/>
        </w:rPr>
        <w:t>在事故</w:t>
      </w:r>
      <w:r>
        <w:t>发生</w:t>
      </w:r>
      <w:r>
        <w:rPr>
          <w:rFonts w:hint="eastAsia"/>
        </w:rPr>
        <w:t>时</w:t>
      </w:r>
      <w:r>
        <w:t>，通过管网将事故废水直接</w:t>
      </w:r>
      <w:r>
        <w:rPr>
          <w:rFonts w:hint="eastAsia"/>
        </w:rPr>
        <w:t>引</w:t>
      </w:r>
      <w:r>
        <w:t>至暂存</w:t>
      </w:r>
      <w:r>
        <w:rPr>
          <w:rFonts w:hint="eastAsia"/>
        </w:rPr>
        <w:t>池（</w:t>
      </w:r>
      <w:r>
        <w:t>2800</w:t>
      </w:r>
      <w:r>
        <w:rPr>
          <w:rFonts w:hint="eastAsia"/>
        </w:rPr>
        <w:t>m</w:t>
      </w:r>
      <w:r>
        <w:rPr>
          <w:rFonts w:hint="eastAsia"/>
          <w:vertAlign w:val="superscript"/>
        </w:rPr>
        <w:t>3</w:t>
      </w:r>
      <w:r>
        <w:rPr>
          <w:rFonts w:hint="eastAsia"/>
        </w:rPr>
        <w:t>），</w:t>
      </w:r>
      <w:r>
        <w:t>在事故结束后再将污水送至处理系统</w:t>
      </w:r>
      <w:r>
        <w:rPr>
          <w:rFonts w:hint="eastAsia"/>
        </w:rPr>
        <w:t>进行</w:t>
      </w:r>
      <w:r>
        <w:t>处理，暂存池容积能容纳足够数量的事故水，</w:t>
      </w:r>
      <w:r>
        <w:rPr>
          <w:rFonts w:hint="eastAsia"/>
        </w:rPr>
        <w:t>应采取防雨淋、防渗、防漏措施，暂存池高度应高于周围地平，并在四周设截水沟，防止径流雨水渗入。在采取相应措施后，该类风险是可以接受的。</w:t>
      </w:r>
    </w:p>
    <w:p>
      <w:pPr>
        <w:ind w:firstLine="480"/>
      </w:pPr>
      <w:r>
        <w:rPr>
          <w:rFonts w:hint="eastAsia"/>
        </w:rPr>
        <w:t>3、疾病防疫措施</w:t>
      </w:r>
    </w:p>
    <w:p>
      <w:pPr>
        <w:ind w:firstLine="480"/>
      </w:pPr>
      <w:r>
        <w:rPr>
          <w:rFonts w:hint="eastAsia"/>
        </w:rPr>
        <w:t>在生产中应坚持“防病重于治病”的方针。引种时均进行了检疫、隔离、消毒；进行养猪场疾病的化验与预测；并按时对生猪进行疫苗的注射、药物预防等等。</w:t>
      </w:r>
    </w:p>
    <w:p>
      <w:pPr>
        <w:ind w:firstLine="480"/>
      </w:pPr>
      <w:r>
        <w:rPr>
          <w:rFonts w:hint="eastAsia"/>
        </w:rPr>
        <w:t>综上所述，采取以上风险防范措施后，评价认为该风险是可以接受的，风险防范措施可行。</w:t>
      </w:r>
    </w:p>
    <w:p>
      <w:pPr>
        <w:pStyle w:val="4"/>
      </w:pPr>
      <w:bookmarkStart w:id="219" w:name="_Toc23560"/>
      <w:bookmarkStart w:id="220" w:name="_Toc20237"/>
      <w:bookmarkStart w:id="221" w:name="_Toc13937"/>
      <w:bookmarkStart w:id="222" w:name="_Toc384552418"/>
      <w:bookmarkStart w:id="223" w:name="_Toc387133329"/>
      <w:bookmarkStart w:id="224" w:name="_Toc382810927"/>
      <w:bookmarkStart w:id="225" w:name="_Toc364090204"/>
      <w:r>
        <w:t>生态环境</w:t>
      </w:r>
      <w:bookmarkEnd w:id="219"/>
      <w:bookmarkEnd w:id="220"/>
      <w:bookmarkEnd w:id="221"/>
      <w:bookmarkEnd w:id="222"/>
      <w:bookmarkEnd w:id="223"/>
      <w:bookmarkEnd w:id="224"/>
      <w:bookmarkEnd w:id="225"/>
      <w:r>
        <w:rPr>
          <w:rFonts w:hint="eastAsia"/>
        </w:rPr>
        <w:t>措施</w:t>
      </w:r>
    </w:p>
    <w:p>
      <w:pPr>
        <w:ind w:firstLine="480"/>
      </w:pPr>
      <w:r>
        <w:t>为进一步降低工程排污对环境的影响，充分发挥绿化带的作用和功能，结合本工程平面布置特点，评价提出以下要求和措施：</w:t>
      </w:r>
    </w:p>
    <w:p>
      <w:pPr>
        <w:ind w:firstLine="480"/>
      </w:pPr>
      <w:r>
        <w:t>（1）针对工程主要运输路线，要求企业对道路实施绿化，以高大树冠及乔木结合形成隔离带以遮荫、抑尘。</w:t>
      </w:r>
    </w:p>
    <w:p>
      <w:pPr>
        <w:ind w:firstLine="480"/>
      </w:pPr>
      <w:r>
        <w:t>（2）</w:t>
      </w:r>
      <w:r>
        <w:rPr>
          <w:rFonts w:hint="eastAsia"/>
        </w:rPr>
        <w:t>办公区</w:t>
      </w:r>
      <w:r>
        <w:t>应</w:t>
      </w:r>
      <w:r>
        <w:rPr>
          <w:rFonts w:hint="eastAsia"/>
        </w:rPr>
        <w:t>加强</w:t>
      </w:r>
      <w:r>
        <w:t>绿化美化。绿化方式为灌、乔、草立体植物种植为主，并结合四季花卉植物形成良好景观。猪舍四周空闲地带以灌木绿篱、草皮种植结合代替裸地。</w:t>
      </w:r>
    </w:p>
    <w:p>
      <w:pPr>
        <w:ind w:firstLine="480"/>
      </w:pPr>
      <w:r>
        <w:t>（3）植物物种以适宜当地生长的土生物种</w:t>
      </w:r>
      <w:r>
        <w:rPr>
          <w:rFonts w:hint="eastAsia"/>
        </w:rPr>
        <w:t>为主</w:t>
      </w:r>
      <w:r>
        <w:t>。</w:t>
      </w:r>
    </w:p>
    <w:p>
      <w:pPr>
        <w:ind w:firstLine="480"/>
      </w:pPr>
      <w:r>
        <w:t>（4）采取严格的运营期污染控制方案，减小工程污染排放对生态的影响。</w:t>
      </w:r>
    </w:p>
    <w:p>
      <w:pPr>
        <w:ind w:firstLine="480"/>
      </w:pPr>
      <w:r>
        <w:t>（5）从区域生态状况和有关的政策要求出发，</w:t>
      </w:r>
      <w:r>
        <w:rPr>
          <w:rFonts w:hint="eastAsia"/>
        </w:rPr>
        <w:t>本</w:t>
      </w:r>
      <w:r>
        <w:t>评价要求企业应</w:t>
      </w:r>
      <w:r>
        <w:rPr>
          <w:rFonts w:hint="eastAsia"/>
        </w:rPr>
        <w:t>以 “</w:t>
      </w:r>
      <w:r>
        <w:t>建设本地区生态模范企业</w:t>
      </w:r>
      <w:r>
        <w:rPr>
          <w:rFonts w:hint="eastAsia"/>
        </w:rPr>
        <w:t>”</w:t>
      </w:r>
      <w:r>
        <w:t>为目标，将环境保护与生态建设放在与经营利益同等重要的位置，进行绿化、美化及协调性的景观设计，为区域生态建设作出典范。</w:t>
      </w:r>
    </w:p>
    <w:p>
      <w:pPr>
        <w:ind w:firstLine="480"/>
      </w:pPr>
    </w:p>
    <w:p>
      <w:pPr>
        <w:ind w:firstLine="480"/>
      </w:pPr>
    </w:p>
    <w:p>
      <w:pPr>
        <w:ind w:firstLine="480"/>
        <w:sectPr>
          <w:headerReference r:id="rId55" w:type="default"/>
          <w:headerReference r:id="rId56" w:type="even"/>
          <w:type w:val="oddPage"/>
          <w:pgSz w:w="11906" w:h="16838"/>
          <w:pgMar w:top="1440" w:right="1800" w:bottom="1440" w:left="1800" w:header="992" w:footer="992" w:gutter="0"/>
          <w:pgNumType w:fmt="numberInDash"/>
          <w:cols w:space="425" w:num="1"/>
          <w:docGrid w:type="lines" w:linePitch="326" w:charSpace="0"/>
        </w:sectPr>
      </w:pPr>
    </w:p>
    <w:p>
      <w:pPr>
        <w:pStyle w:val="2"/>
      </w:pPr>
      <w:bookmarkStart w:id="226" w:name="_Toc108422252"/>
      <w:bookmarkStart w:id="227" w:name="_Toc488102184"/>
      <w:r>
        <w:rPr>
          <w:rFonts w:hint="eastAsia"/>
        </w:rPr>
        <w:t>环境影响经济损益分析</w:t>
      </w:r>
      <w:bookmarkEnd w:id="226"/>
      <w:bookmarkEnd w:id="227"/>
    </w:p>
    <w:p>
      <w:pPr>
        <w:ind w:firstLine="480"/>
        <w:rPr>
          <w:kern w:val="0"/>
        </w:rPr>
      </w:pPr>
      <w:r>
        <w:rPr>
          <w:rFonts w:hint="eastAsia"/>
          <w:kern w:val="0"/>
        </w:rPr>
        <w:t>环境经济损益分析是环境影响评价的一项重要工作内容，其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评价环境经济损益分析，采用定性与半定量相结合的方法进行简要的分析。</w:t>
      </w:r>
    </w:p>
    <w:p>
      <w:pPr>
        <w:pStyle w:val="3"/>
      </w:pPr>
      <w:bookmarkStart w:id="228" w:name="_Toc488102185"/>
      <w:bookmarkStart w:id="229" w:name="_Toc5296"/>
      <w:bookmarkStart w:id="230" w:name="_Toc30952"/>
      <w:bookmarkStart w:id="231" w:name="_Toc384552436"/>
      <w:bookmarkStart w:id="232" w:name="_Toc8880"/>
      <w:bookmarkStart w:id="233" w:name="_Toc387133347"/>
      <w:bookmarkStart w:id="234" w:name="_Toc382810945"/>
      <w:bookmarkStart w:id="235" w:name="_Toc108422253"/>
      <w:r>
        <w:t>社会效益分析</w:t>
      </w:r>
      <w:bookmarkEnd w:id="228"/>
      <w:bookmarkEnd w:id="229"/>
      <w:bookmarkEnd w:id="230"/>
      <w:bookmarkEnd w:id="231"/>
      <w:bookmarkEnd w:id="232"/>
      <w:bookmarkEnd w:id="233"/>
      <w:bookmarkEnd w:id="234"/>
      <w:bookmarkEnd w:id="235"/>
    </w:p>
    <w:p>
      <w:pPr>
        <w:tabs>
          <w:tab w:val="left" w:pos="2709"/>
        </w:tabs>
        <w:ind w:firstLine="480"/>
      </w:pPr>
      <w:r>
        <w:rPr>
          <w:rFonts w:hint="eastAsia"/>
        </w:rPr>
        <w:t>项目的建设，不仅将提高旬阳市生猪产业的科技含量和生猪的产品质量，还可带动当地广大农民尽快尽早脱贫致富。该项目的建设将有效解决“三农”问题，有利于经济收入，加快农民脱贫致富奔小康的步伐；有利于促进农业养殖经济；有利于增加当地劳动就业机会，扩大农村剩余劳动力的转移；有利于提高生猪产品质量，提高市场竞争力。</w:t>
      </w:r>
    </w:p>
    <w:p>
      <w:pPr>
        <w:tabs>
          <w:tab w:val="left" w:pos="2709"/>
        </w:tabs>
        <w:ind w:firstLine="480"/>
      </w:pPr>
      <w:r>
        <w:rPr>
          <w:rFonts w:hint="eastAsia"/>
        </w:rPr>
        <w:t>该项目的实施可带动当地其他种植业、运输业等行业的发展，形成养殖产业链，将会对繁荣区域经济起到积极的作用。</w:t>
      </w:r>
    </w:p>
    <w:p>
      <w:pPr>
        <w:pStyle w:val="3"/>
      </w:pPr>
      <w:bookmarkStart w:id="236" w:name="_Toc108422254"/>
      <w:bookmarkStart w:id="237" w:name="_Toc488102186"/>
      <w:bookmarkStart w:id="238" w:name="_Toc22124"/>
      <w:bookmarkStart w:id="239" w:name="_Toc384552437"/>
      <w:bookmarkStart w:id="240" w:name="_Toc23610"/>
      <w:bookmarkStart w:id="241" w:name="_Toc29090"/>
      <w:bookmarkStart w:id="242" w:name="_Toc387133348"/>
      <w:bookmarkStart w:id="243" w:name="_Toc382810946"/>
      <w:r>
        <w:t>经济效益</w:t>
      </w:r>
      <w:bookmarkEnd w:id="236"/>
      <w:bookmarkEnd w:id="237"/>
      <w:bookmarkEnd w:id="238"/>
      <w:bookmarkEnd w:id="239"/>
      <w:bookmarkEnd w:id="240"/>
      <w:bookmarkEnd w:id="241"/>
      <w:bookmarkEnd w:id="242"/>
      <w:bookmarkEnd w:id="243"/>
    </w:p>
    <w:p>
      <w:pPr>
        <w:ind w:firstLine="480"/>
        <w:rPr>
          <w:bCs/>
        </w:rPr>
      </w:pPr>
      <w:r>
        <w:rPr>
          <w:bCs/>
        </w:rPr>
        <w:t>本项目总投资</w:t>
      </w:r>
      <w:r>
        <w:rPr>
          <w:rFonts w:hint="eastAsia"/>
        </w:rPr>
        <w:t>2985</w:t>
      </w:r>
      <w:r>
        <w:rPr>
          <w:bCs/>
        </w:rPr>
        <w:t>万元，运营后年出栏生猪11</w:t>
      </w:r>
      <w:r>
        <w:rPr>
          <w:rFonts w:hint="eastAsia"/>
          <w:bCs/>
        </w:rPr>
        <w:t>000</w:t>
      </w:r>
      <w:r>
        <w:rPr>
          <w:bCs/>
        </w:rPr>
        <w:t>头</w:t>
      </w:r>
      <w:r>
        <w:rPr>
          <w:rFonts w:hint="eastAsia"/>
          <w:bCs/>
        </w:rPr>
        <w:t>（其中</w:t>
      </w:r>
      <w:r>
        <w:rPr>
          <w:bCs/>
        </w:rPr>
        <w:t>育肥猪</w:t>
      </w:r>
      <w:r>
        <w:rPr>
          <w:rFonts w:hint="eastAsia"/>
          <w:bCs/>
        </w:rPr>
        <w:t>8000头</w:t>
      </w:r>
      <w:r>
        <w:rPr>
          <w:bCs/>
        </w:rPr>
        <w:t>，保育猪</w:t>
      </w:r>
      <w:r>
        <w:rPr>
          <w:rFonts w:hint="eastAsia"/>
          <w:bCs/>
        </w:rPr>
        <w:t>3000头）</w:t>
      </w:r>
      <w:r>
        <w:rPr>
          <w:bCs/>
        </w:rPr>
        <w:t>，年可实现销售收入</w:t>
      </w:r>
      <w:r>
        <w:rPr>
          <w:rFonts w:hint="eastAsia"/>
          <w:bCs/>
        </w:rPr>
        <w:t>360</w:t>
      </w:r>
      <w:r>
        <w:rPr>
          <w:bCs/>
        </w:rPr>
        <w:t>0万元，项目实施后具有较好的经济效益。本工程的建设具有产业链效益，能够带动一方经济的快速发展，并能促进饲料加工、种植业、养殖业等相关行业的发展。</w:t>
      </w:r>
    </w:p>
    <w:p>
      <w:pPr>
        <w:pStyle w:val="3"/>
      </w:pPr>
      <w:bookmarkStart w:id="244" w:name="_Toc108422255"/>
      <w:bookmarkStart w:id="245" w:name="_Toc488102187"/>
      <w:bookmarkStart w:id="246" w:name="_Toc468920661"/>
      <w:r>
        <w:t>环境效益分析</w:t>
      </w:r>
      <w:bookmarkEnd w:id="244"/>
      <w:bookmarkEnd w:id="245"/>
      <w:bookmarkEnd w:id="246"/>
    </w:p>
    <w:p>
      <w:pPr>
        <w:pStyle w:val="4"/>
      </w:pPr>
      <w:bookmarkStart w:id="247" w:name="_Toc8526"/>
      <w:bookmarkStart w:id="248" w:name="_Toc357926852"/>
      <w:bookmarkStart w:id="249" w:name="_Toc382810950"/>
      <w:bookmarkStart w:id="250" w:name="_Toc384552441"/>
      <w:bookmarkStart w:id="251" w:name="_Toc364090222"/>
      <w:bookmarkStart w:id="252" w:name="_Toc387133352"/>
      <w:bookmarkStart w:id="253" w:name="_Toc27699"/>
      <w:bookmarkStart w:id="254" w:name="_Toc1284"/>
      <w:r>
        <w:t>环保费用</w:t>
      </w:r>
      <w:bookmarkEnd w:id="247"/>
      <w:bookmarkEnd w:id="248"/>
      <w:bookmarkEnd w:id="249"/>
      <w:bookmarkEnd w:id="250"/>
      <w:bookmarkEnd w:id="251"/>
      <w:bookmarkEnd w:id="252"/>
      <w:bookmarkEnd w:id="253"/>
      <w:bookmarkEnd w:id="254"/>
    </w:p>
    <w:p>
      <w:pPr>
        <w:ind w:firstLine="480"/>
      </w:pPr>
      <w:r>
        <w:t>环保费用包括环保设施投资</w:t>
      </w:r>
      <w:r>
        <w:rPr>
          <w:rFonts w:hint="eastAsia"/>
        </w:rPr>
        <w:t>、环保设施折旧费、环保设施</w:t>
      </w:r>
      <w:r>
        <w:t>运行费用</w:t>
      </w:r>
      <w:r>
        <w:rPr>
          <w:rFonts w:hint="eastAsia"/>
        </w:rPr>
        <w:t>及环保管理费用。</w:t>
      </w:r>
    </w:p>
    <w:p>
      <w:pPr>
        <w:pStyle w:val="5"/>
      </w:pPr>
      <w:r>
        <w:t>环保设施</w:t>
      </w:r>
      <w:r>
        <w:rPr>
          <w:rFonts w:hint="eastAsia"/>
        </w:rPr>
        <w:t>建设</w:t>
      </w:r>
      <w:r>
        <w:t>投资费用</w:t>
      </w:r>
    </w:p>
    <w:p>
      <w:pPr>
        <w:ind w:firstLine="480"/>
      </w:pPr>
      <w:r>
        <w:t>为控制和减轻对周围环境的污染，</w:t>
      </w:r>
      <w:r>
        <w:rPr>
          <w:rFonts w:hint="eastAsia"/>
        </w:rPr>
        <w:t>本项目环保投资主要包括废水治理、废气治理、噪声治理、固废物治理、监测及绿化等，项目</w:t>
      </w:r>
      <w:r>
        <w:t>总投资</w:t>
      </w:r>
      <w:r>
        <w:rPr>
          <w:rFonts w:hint="eastAsia"/>
        </w:rPr>
        <w:t>2985万元</w:t>
      </w:r>
      <w:r>
        <w:t>，环保</w:t>
      </w:r>
      <w:r>
        <w:rPr>
          <w:rFonts w:hint="eastAsia"/>
        </w:rPr>
        <w:t>设施建设</w:t>
      </w:r>
      <w:r>
        <w:t>投资</w:t>
      </w:r>
      <w:r>
        <w:rPr>
          <w:rFonts w:hint="eastAsia"/>
        </w:rPr>
        <w:t>费用C</w:t>
      </w:r>
      <w:r>
        <w:rPr>
          <w:rFonts w:hint="eastAsia"/>
          <w:vertAlign w:val="subscript"/>
        </w:rPr>
        <w:t>0</w:t>
      </w:r>
      <w:r>
        <w:t>约290.5万元，约占投资总额的9.73%，环保设施投资汇总表见表8.3-1。</w:t>
      </w:r>
    </w:p>
    <w:p>
      <w:pPr>
        <w:pStyle w:val="41"/>
        <w:rPr>
          <w:kern w:val="0"/>
        </w:rPr>
      </w:pPr>
      <w:bookmarkStart w:id="255" w:name="_Toc364090223"/>
      <w:bookmarkStart w:id="256" w:name="_Toc363658454"/>
      <w:bookmarkStart w:id="257" w:name="_Toc353440758"/>
      <w:bookmarkStart w:id="258" w:name="_Toc363658742"/>
      <w:bookmarkStart w:id="259" w:name="_Toc353440303"/>
      <w:bookmarkStart w:id="260" w:name="_Toc353354470"/>
      <w:bookmarkStart w:id="261" w:name="_Toc357926853"/>
      <w:bookmarkStart w:id="262" w:name="_Toc353440530"/>
      <w:bookmarkStart w:id="263" w:name="_Toc353441163"/>
      <w:r>
        <w:rPr>
          <w:rFonts w:hint="eastAsia"/>
        </w:rPr>
        <w:t>表</w:t>
      </w:r>
      <w:r>
        <w:fldChar w:fldCharType="begin"/>
      </w:r>
      <w:r>
        <w:rPr>
          <w:rFonts w:hint="eastAsia"/>
        </w:rPr>
        <w:instrText xml:space="preserve">STYLEREF 2 \s</w:instrText>
      </w:r>
      <w:r>
        <w:fldChar w:fldCharType="separate"/>
      </w:r>
      <w:r>
        <w:t>8.3</w:t>
      </w:r>
      <w:r>
        <w:fldChar w:fldCharType="end"/>
      </w:r>
      <w:r>
        <w:noBreakHyphen/>
      </w:r>
      <w:r>
        <w:fldChar w:fldCharType="begin"/>
      </w:r>
      <w:r>
        <w:rPr>
          <w:rFonts w:hint="eastAsia"/>
        </w:rPr>
        <w:instrText xml:space="preserve">SEQ 表 \* ARABIC \s 2</w:instrText>
      </w:r>
      <w:r>
        <w:fldChar w:fldCharType="separate"/>
      </w:r>
      <w:r>
        <w:t>1</w:t>
      </w:r>
      <w:r>
        <w:fldChar w:fldCharType="end"/>
      </w:r>
      <w:r>
        <w:rPr>
          <w:rFonts w:hint="eastAsia" w:ascii="宋体" w:hAnsi="宋体" w:eastAsia="宋体" w:cs="宋体"/>
        </w:rPr>
        <w:t>环保设施投资汇总表</w:t>
      </w:r>
      <w:r>
        <w:rPr>
          <w:rFonts w:hint="eastAsia" w:ascii="宋体" w:hAnsi="宋体" w:eastAsia="宋体" w:cs="宋体"/>
          <w:kern w:val="0"/>
        </w:rPr>
        <w:t>环境保护投资</w:t>
      </w:r>
      <w:bookmarkEnd w:id="255"/>
      <w:bookmarkEnd w:id="256"/>
      <w:bookmarkEnd w:id="257"/>
      <w:bookmarkEnd w:id="258"/>
      <w:bookmarkEnd w:id="259"/>
      <w:bookmarkEnd w:id="260"/>
      <w:bookmarkEnd w:id="261"/>
      <w:bookmarkEnd w:id="262"/>
      <w:bookmarkEnd w:id="263"/>
    </w:p>
    <w:tbl>
      <w:tblPr>
        <w:tblStyle w:val="27"/>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7"/>
        <w:gridCol w:w="1985"/>
        <w:gridCol w:w="4678"/>
        <w:gridCol w:w="11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667" w:type="dxa"/>
            <w:vAlign w:val="center"/>
          </w:tcPr>
          <w:p>
            <w:pPr>
              <w:pStyle w:val="40"/>
            </w:pPr>
            <w:r>
              <w:t>污染</w:t>
            </w:r>
          </w:p>
          <w:p>
            <w:pPr>
              <w:pStyle w:val="40"/>
            </w:pPr>
            <w:r>
              <w:t>类型</w:t>
            </w:r>
          </w:p>
        </w:tc>
        <w:tc>
          <w:tcPr>
            <w:tcW w:w="1985" w:type="dxa"/>
            <w:vAlign w:val="center"/>
          </w:tcPr>
          <w:p>
            <w:pPr>
              <w:pStyle w:val="40"/>
            </w:pPr>
            <w:r>
              <w:t>治理对象</w:t>
            </w:r>
          </w:p>
        </w:tc>
        <w:tc>
          <w:tcPr>
            <w:tcW w:w="4678" w:type="dxa"/>
            <w:vAlign w:val="center"/>
          </w:tcPr>
          <w:p>
            <w:pPr>
              <w:pStyle w:val="40"/>
            </w:pPr>
            <w:r>
              <w:t>环保设施</w:t>
            </w:r>
          </w:p>
        </w:tc>
        <w:tc>
          <w:tcPr>
            <w:tcW w:w="1175" w:type="dxa"/>
            <w:vAlign w:val="center"/>
          </w:tcPr>
          <w:p>
            <w:pPr>
              <w:pStyle w:val="40"/>
            </w:pPr>
            <w:r>
              <w:t>投资估算</w:t>
            </w:r>
            <w:r>
              <w:rPr>
                <w:rFonts w:hint="eastAsia"/>
              </w:rPr>
              <w:t>（</w:t>
            </w:r>
            <w:r>
              <w:t>万元</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Merge w:val="restart"/>
            <w:vAlign w:val="center"/>
          </w:tcPr>
          <w:p>
            <w:pPr>
              <w:pStyle w:val="40"/>
            </w:pPr>
            <w:r>
              <w:t>废气</w:t>
            </w:r>
          </w:p>
        </w:tc>
        <w:tc>
          <w:tcPr>
            <w:tcW w:w="1985" w:type="dxa"/>
            <w:vAlign w:val="center"/>
          </w:tcPr>
          <w:p>
            <w:pPr>
              <w:pStyle w:val="40"/>
            </w:pPr>
            <w:r>
              <w:t>猪舍恶臭</w:t>
            </w:r>
          </w:p>
        </w:tc>
        <w:tc>
          <w:tcPr>
            <w:tcW w:w="4678" w:type="dxa"/>
            <w:vAlign w:val="center"/>
          </w:tcPr>
          <w:p>
            <w:pPr>
              <w:pStyle w:val="40"/>
            </w:pPr>
            <w:r>
              <w:rPr>
                <w:rFonts w:eastAsiaTheme="minorEastAsia"/>
                <w:spacing w:val="-1"/>
                <w:kern w:val="0"/>
                <w:szCs w:val="21"/>
                <w:u w:color="000000"/>
              </w:rPr>
              <w:t>采用干清粪工艺</w:t>
            </w:r>
            <w:r>
              <w:rPr>
                <w:rFonts w:hint="eastAsia" w:eastAsiaTheme="minorEastAsia"/>
                <w:spacing w:val="-1"/>
                <w:kern w:val="0"/>
                <w:szCs w:val="21"/>
                <w:u w:color="000000"/>
              </w:rPr>
              <w:t>，</w:t>
            </w:r>
            <w:r>
              <w:rPr>
                <w:rFonts w:eastAsiaTheme="minorEastAsia"/>
                <w:spacing w:val="-1"/>
                <w:kern w:val="0"/>
                <w:szCs w:val="21"/>
                <w:u w:color="000000"/>
              </w:rPr>
              <w:t>及时清理猪舍、加强通风、饲料中添加EM、喷洒除臭剂、场区平面布置合理布局、加强场区绿化</w:t>
            </w:r>
          </w:p>
        </w:tc>
        <w:tc>
          <w:tcPr>
            <w:tcW w:w="1175" w:type="dxa"/>
            <w:vAlign w:val="center"/>
          </w:tcPr>
          <w:p>
            <w:pPr>
              <w:spacing w:line="240" w:lineRule="auto"/>
              <w:ind w:firstLine="0" w:firstLineChars="0"/>
              <w:jc w:val="center"/>
              <w:rPr>
                <w:sz w:val="21"/>
                <w:szCs w:val="21"/>
              </w:rPr>
            </w:pPr>
            <w:r>
              <w:rPr>
                <w:rFonts w:hint="eastAsia"/>
                <w:sz w:val="21"/>
                <w:szCs w:val="21"/>
              </w:rPr>
              <w:t>8</w:t>
            </w: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Merge w:val="continue"/>
            <w:vAlign w:val="center"/>
          </w:tcPr>
          <w:p>
            <w:pPr>
              <w:pStyle w:val="40"/>
            </w:pPr>
          </w:p>
        </w:tc>
        <w:tc>
          <w:tcPr>
            <w:tcW w:w="1985" w:type="dxa"/>
            <w:vAlign w:val="center"/>
          </w:tcPr>
          <w:p>
            <w:pPr>
              <w:pStyle w:val="40"/>
            </w:pPr>
            <w:r>
              <w:rPr>
                <w:rFonts w:hint="eastAsia"/>
              </w:rPr>
              <w:t>堆粪</w:t>
            </w:r>
            <w:r>
              <w:t>棚恶臭</w:t>
            </w:r>
          </w:p>
        </w:tc>
        <w:tc>
          <w:tcPr>
            <w:tcW w:w="4678" w:type="dxa"/>
            <w:vAlign w:val="center"/>
          </w:tcPr>
          <w:p>
            <w:pPr>
              <w:pStyle w:val="40"/>
            </w:pPr>
            <w:r>
              <w:t>喷洒除臭剂</w:t>
            </w:r>
          </w:p>
        </w:tc>
        <w:tc>
          <w:tcPr>
            <w:tcW w:w="1175" w:type="dxa"/>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Merge w:val="continue"/>
            <w:vAlign w:val="center"/>
          </w:tcPr>
          <w:p>
            <w:pPr>
              <w:pStyle w:val="40"/>
            </w:pPr>
          </w:p>
        </w:tc>
        <w:tc>
          <w:tcPr>
            <w:tcW w:w="1985" w:type="dxa"/>
            <w:vAlign w:val="center"/>
          </w:tcPr>
          <w:p>
            <w:pPr>
              <w:pStyle w:val="40"/>
            </w:pPr>
            <w:r>
              <w:rPr>
                <w:rFonts w:hint="eastAsia"/>
              </w:rPr>
              <w:t>污水</w:t>
            </w:r>
            <w:r>
              <w:t>处理区</w:t>
            </w:r>
            <w:r>
              <w:rPr>
                <w:rFonts w:hint="eastAsia"/>
              </w:rPr>
              <w:t>恶臭</w:t>
            </w:r>
          </w:p>
        </w:tc>
        <w:tc>
          <w:tcPr>
            <w:tcW w:w="4678" w:type="dxa"/>
            <w:vAlign w:val="center"/>
          </w:tcPr>
          <w:p>
            <w:pPr>
              <w:pStyle w:val="40"/>
            </w:pPr>
            <w:r>
              <w:rPr>
                <w:rFonts w:hint="eastAsia"/>
              </w:rPr>
              <w:t>池体</w:t>
            </w:r>
            <w:r>
              <w:t>密闭，喷洒除臭剂</w:t>
            </w:r>
            <w:r>
              <w:rPr>
                <w:rFonts w:hint="eastAsia"/>
              </w:rPr>
              <w:t>，加强绿化。</w:t>
            </w:r>
          </w:p>
        </w:tc>
        <w:tc>
          <w:tcPr>
            <w:tcW w:w="1175" w:type="dxa"/>
            <w:vAlign w:val="center"/>
          </w:tcPr>
          <w:p>
            <w:pPr>
              <w:spacing w:line="240" w:lineRule="auto"/>
              <w:ind w:firstLine="0" w:firstLineChars="0"/>
              <w:jc w:val="center"/>
              <w:rPr>
                <w:sz w:val="21"/>
                <w:szCs w:val="21"/>
              </w:rPr>
            </w:pPr>
            <w:r>
              <w:rPr>
                <w:rFonts w:hint="eastAsia"/>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Align w:val="center"/>
          </w:tcPr>
          <w:p>
            <w:pPr>
              <w:pStyle w:val="40"/>
            </w:pPr>
            <w:r>
              <w:t>废水</w:t>
            </w:r>
          </w:p>
        </w:tc>
        <w:tc>
          <w:tcPr>
            <w:tcW w:w="1985" w:type="dxa"/>
            <w:vAlign w:val="center"/>
          </w:tcPr>
          <w:p>
            <w:pPr>
              <w:pStyle w:val="40"/>
            </w:pPr>
            <w:r>
              <w:t>养殖废水、生活污水</w:t>
            </w:r>
          </w:p>
        </w:tc>
        <w:tc>
          <w:tcPr>
            <w:tcW w:w="4678" w:type="dxa"/>
            <w:vAlign w:val="center"/>
          </w:tcPr>
          <w:p>
            <w:pPr>
              <w:pStyle w:val="40"/>
            </w:pPr>
            <w:r>
              <w:t>污水处理设施，工艺为</w:t>
            </w:r>
            <w:r>
              <w:rPr>
                <w:rFonts w:hint="eastAsia"/>
              </w:rPr>
              <w:t>“集</w:t>
            </w:r>
            <w:r>
              <w:t>粪池</w:t>
            </w:r>
            <w:r>
              <w:rPr>
                <w:rFonts w:hint="eastAsia"/>
              </w:rPr>
              <w:t>+固液</w:t>
            </w:r>
            <w:r>
              <w:t>分离</w:t>
            </w:r>
            <w:r>
              <w:rPr>
                <w:rFonts w:hint="eastAsia"/>
              </w:rPr>
              <w:t>+厌氧</w:t>
            </w:r>
            <w:r>
              <w:t>发酵池处理</w:t>
            </w:r>
            <w:r>
              <w:rPr>
                <w:rFonts w:hint="eastAsia"/>
              </w:rPr>
              <w:t>”</w:t>
            </w:r>
            <w:r>
              <w:t>工艺</w:t>
            </w:r>
          </w:p>
        </w:tc>
        <w:tc>
          <w:tcPr>
            <w:tcW w:w="1175" w:type="dxa"/>
            <w:vAlign w:val="center"/>
          </w:tcPr>
          <w:p>
            <w:pPr>
              <w:spacing w:line="240" w:lineRule="auto"/>
              <w:ind w:firstLine="0" w:firstLineChars="0"/>
              <w:jc w:val="center"/>
              <w:rPr>
                <w:sz w:val="21"/>
                <w:szCs w:val="21"/>
              </w:rPr>
            </w:pPr>
            <w:r>
              <w:rPr>
                <w:sz w:val="21"/>
                <w:szCs w:val="21"/>
              </w:rPr>
              <w:t>15</w:t>
            </w:r>
            <w:r>
              <w:rPr>
                <w:rFonts w:hint="eastAsia"/>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Merge w:val="restart"/>
            <w:vAlign w:val="center"/>
          </w:tcPr>
          <w:p>
            <w:pPr>
              <w:pStyle w:val="40"/>
            </w:pPr>
            <w:r>
              <w:t>固废</w:t>
            </w:r>
          </w:p>
        </w:tc>
        <w:tc>
          <w:tcPr>
            <w:tcW w:w="1985" w:type="dxa"/>
            <w:vAlign w:val="center"/>
          </w:tcPr>
          <w:p>
            <w:pPr>
              <w:pStyle w:val="40"/>
            </w:pPr>
            <w:r>
              <w:t>生活垃圾</w:t>
            </w:r>
          </w:p>
        </w:tc>
        <w:tc>
          <w:tcPr>
            <w:tcW w:w="4678" w:type="dxa"/>
            <w:vAlign w:val="center"/>
          </w:tcPr>
          <w:p>
            <w:pPr>
              <w:pStyle w:val="40"/>
            </w:pPr>
            <w:r>
              <w:t>设垃圾收集点，进行防渗处理，收集后与附近村生活垃圾一起处理</w:t>
            </w:r>
            <w:r>
              <w:rPr>
                <w:rFonts w:hint="eastAsia"/>
              </w:rPr>
              <w:t>。</w:t>
            </w:r>
          </w:p>
        </w:tc>
        <w:tc>
          <w:tcPr>
            <w:tcW w:w="1175" w:type="dxa"/>
            <w:vAlign w:val="center"/>
          </w:tcPr>
          <w:p>
            <w:pPr>
              <w:spacing w:line="240" w:lineRule="auto"/>
              <w:ind w:firstLine="0" w:firstLineChars="0"/>
              <w:jc w:val="center"/>
              <w:rPr>
                <w:sz w:val="21"/>
                <w:szCs w:val="21"/>
              </w:rPr>
            </w:pPr>
            <w:r>
              <w:rPr>
                <w:sz w:val="21"/>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Merge w:val="continue"/>
            <w:vAlign w:val="center"/>
          </w:tcPr>
          <w:p>
            <w:pPr>
              <w:pStyle w:val="40"/>
            </w:pPr>
          </w:p>
        </w:tc>
        <w:tc>
          <w:tcPr>
            <w:tcW w:w="1985" w:type="dxa"/>
            <w:vAlign w:val="center"/>
          </w:tcPr>
          <w:p>
            <w:pPr>
              <w:pStyle w:val="40"/>
            </w:pPr>
            <w:r>
              <w:t>医疗废物</w:t>
            </w:r>
          </w:p>
        </w:tc>
        <w:tc>
          <w:tcPr>
            <w:tcW w:w="4678" w:type="dxa"/>
            <w:vAlign w:val="center"/>
          </w:tcPr>
          <w:p>
            <w:pPr>
              <w:pStyle w:val="40"/>
            </w:pPr>
            <w:r>
              <w:t>设</w:t>
            </w:r>
            <w:r>
              <w:rPr>
                <w:rFonts w:hint="eastAsia"/>
              </w:rPr>
              <w:t>危废暂存间（10m</w:t>
            </w:r>
            <w:r>
              <w:rPr>
                <w:rFonts w:hint="eastAsia"/>
                <w:vertAlign w:val="superscript"/>
              </w:rPr>
              <w:t>3</w:t>
            </w:r>
            <w:r>
              <w:rPr>
                <w:rFonts w:hint="eastAsia"/>
              </w:rPr>
              <w:t>）</w:t>
            </w:r>
            <w:r>
              <w:t>，交给有危废处理资质的单位处理</w:t>
            </w:r>
          </w:p>
        </w:tc>
        <w:tc>
          <w:tcPr>
            <w:tcW w:w="1175" w:type="dxa"/>
            <w:vAlign w:val="center"/>
          </w:tcPr>
          <w:p>
            <w:pPr>
              <w:spacing w:line="240" w:lineRule="auto"/>
              <w:ind w:firstLine="0" w:firstLineChars="0"/>
              <w:jc w:val="center"/>
              <w:rPr>
                <w:sz w:val="21"/>
                <w:szCs w:val="21"/>
              </w:rPr>
            </w:pPr>
            <w:r>
              <w:rPr>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Merge w:val="continue"/>
            <w:vAlign w:val="center"/>
          </w:tcPr>
          <w:p>
            <w:pPr>
              <w:pStyle w:val="40"/>
            </w:pPr>
          </w:p>
        </w:tc>
        <w:tc>
          <w:tcPr>
            <w:tcW w:w="1985" w:type="dxa"/>
            <w:vAlign w:val="center"/>
          </w:tcPr>
          <w:p>
            <w:pPr>
              <w:pStyle w:val="40"/>
              <w:rPr>
                <w:kern w:val="0"/>
                <w:szCs w:val="21"/>
                <w:u w:color="000000"/>
              </w:rPr>
            </w:pPr>
            <w:r>
              <w:rPr>
                <w:kern w:val="0"/>
                <w:szCs w:val="21"/>
                <w:u w:color="000000"/>
              </w:rPr>
              <w:t>沼气</w:t>
            </w:r>
            <w:r>
              <w:rPr>
                <w:rFonts w:hint="eastAsia"/>
                <w:kern w:val="0"/>
                <w:szCs w:val="21"/>
                <w:u w:color="000000"/>
              </w:rPr>
              <w:t>区</w:t>
            </w:r>
            <w:r>
              <w:rPr>
                <w:kern w:val="0"/>
                <w:szCs w:val="21"/>
                <w:u w:color="000000"/>
              </w:rPr>
              <w:t>废脱硫剂</w:t>
            </w:r>
          </w:p>
        </w:tc>
        <w:tc>
          <w:tcPr>
            <w:tcW w:w="4678" w:type="dxa"/>
            <w:vAlign w:val="center"/>
          </w:tcPr>
          <w:p>
            <w:pPr>
              <w:pStyle w:val="40"/>
              <w:rPr>
                <w:kern w:val="0"/>
                <w:szCs w:val="21"/>
                <w:u w:color="000000"/>
              </w:rPr>
            </w:pPr>
            <w:r>
              <w:rPr>
                <w:rFonts w:eastAsiaTheme="minorEastAsia"/>
                <w:szCs w:val="21"/>
              </w:rPr>
              <w:t>由生产厂家统一回收处置</w:t>
            </w:r>
          </w:p>
        </w:tc>
        <w:tc>
          <w:tcPr>
            <w:tcW w:w="1175" w:type="dxa"/>
            <w:vAlign w:val="center"/>
          </w:tcPr>
          <w:p>
            <w:pPr>
              <w:spacing w:line="240" w:lineRule="auto"/>
              <w:ind w:firstLine="0" w:firstLineChars="0"/>
              <w:jc w:val="center"/>
              <w:rPr>
                <w:sz w:val="21"/>
                <w:szCs w:val="21"/>
              </w:rPr>
            </w:pPr>
            <w:r>
              <w:rPr>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Merge w:val="continue"/>
            <w:vAlign w:val="center"/>
          </w:tcPr>
          <w:p>
            <w:pPr>
              <w:pStyle w:val="40"/>
            </w:pPr>
          </w:p>
        </w:tc>
        <w:tc>
          <w:tcPr>
            <w:tcW w:w="1985" w:type="dxa"/>
            <w:vAlign w:val="center"/>
          </w:tcPr>
          <w:p>
            <w:pPr>
              <w:pStyle w:val="40"/>
            </w:pPr>
            <w:r>
              <w:t>病死猪</w:t>
            </w:r>
            <w:r>
              <w:rPr>
                <w:rFonts w:hint="eastAsia"/>
              </w:rPr>
              <w:t>及分娩废物</w:t>
            </w:r>
          </w:p>
        </w:tc>
        <w:tc>
          <w:tcPr>
            <w:tcW w:w="4678" w:type="dxa"/>
            <w:vAlign w:val="center"/>
          </w:tcPr>
          <w:p>
            <w:pPr>
              <w:pStyle w:val="40"/>
              <w:rPr>
                <w:highlight w:val="yellow"/>
              </w:rPr>
            </w:pPr>
            <w:r>
              <w:t>2座</w:t>
            </w:r>
            <w:r>
              <w:rPr>
                <w:szCs w:val="21"/>
              </w:rPr>
              <w:t>35m</w:t>
            </w:r>
            <w:r>
              <w:rPr>
                <w:szCs w:val="21"/>
                <w:vertAlign w:val="superscript"/>
              </w:rPr>
              <w:t>3</w:t>
            </w:r>
            <w:r>
              <w:t>安全填埋井</w:t>
            </w:r>
          </w:p>
        </w:tc>
        <w:tc>
          <w:tcPr>
            <w:tcW w:w="1175" w:type="dxa"/>
            <w:vAlign w:val="center"/>
          </w:tcPr>
          <w:p>
            <w:pPr>
              <w:spacing w:line="240" w:lineRule="auto"/>
              <w:ind w:firstLine="0" w:firstLineChars="0"/>
              <w:jc w:val="center"/>
              <w:rPr>
                <w:sz w:val="21"/>
                <w:szCs w:val="21"/>
                <w:highlight w:val="yellow"/>
              </w:rPr>
            </w:pPr>
            <w:r>
              <w:rPr>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7" w:type="dxa"/>
            <w:vAlign w:val="center"/>
          </w:tcPr>
          <w:p>
            <w:pPr>
              <w:pStyle w:val="40"/>
            </w:pPr>
            <w:r>
              <w:t>噪声</w:t>
            </w:r>
          </w:p>
        </w:tc>
        <w:tc>
          <w:tcPr>
            <w:tcW w:w="1985" w:type="dxa"/>
            <w:vAlign w:val="center"/>
          </w:tcPr>
          <w:p>
            <w:pPr>
              <w:pStyle w:val="40"/>
            </w:pPr>
            <w:r>
              <w:rPr>
                <w:rFonts w:hint="eastAsia"/>
              </w:rPr>
              <w:t>污水</w:t>
            </w:r>
            <w:r>
              <w:t>处理设备、</w:t>
            </w:r>
          </w:p>
          <w:p>
            <w:pPr>
              <w:pStyle w:val="40"/>
            </w:pPr>
            <w:r>
              <w:t>风机、猪叫</w:t>
            </w:r>
          </w:p>
        </w:tc>
        <w:tc>
          <w:tcPr>
            <w:tcW w:w="4678" w:type="dxa"/>
            <w:vAlign w:val="center"/>
          </w:tcPr>
          <w:p>
            <w:pPr>
              <w:pStyle w:val="40"/>
            </w:pPr>
            <w:r>
              <w:t>减振垫、建筑隔声、</w:t>
            </w:r>
            <w:r>
              <w:rPr>
                <w:rFonts w:hint="eastAsia"/>
              </w:rPr>
              <w:t>消声</w:t>
            </w:r>
            <w:r>
              <w:t>、加强绿化</w:t>
            </w:r>
          </w:p>
        </w:tc>
        <w:tc>
          <w:tcPr>
            <w:tcW w:w="1175" w:type="dxa"/>
            <w:vAlign w:val="center"/>
          </w:tcPr>
          <w:p>
            <w:pPr>
              <w:spacing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652" w:type="dxa"/>
            <w:gridSpan w:val="2"/>
            <w:vAlign w:val="center"/>
          </w:tcPr>
          <w:p>
            <w:pPr>
              <w:pStyle w:val="40"/>
            </w:pPr>
            <w:r>
              <w:t>生态</w:t>
            </w:r>
          </w:p>
        </w:tc>
        <w:tc>
          <w:tcPr>
            <w:tcW w:w="4678" w:type="dxa"/>
            <w:vAlign w:val="center"/>
          </w:tcPr>
          <w:p>
            <w:pPr>
              <w:pStyle w:val="40"/>
            </w:pPr>
            <w:r>
              <w:t>绿化</w:t>
            </w:r>
          </w:p>
        </w:tc>
        <w:tc>
          <w:tcPr>
            <w:tcW w:w="1175" w:type="dxa"/>
            <w:vAlign w:val="center"/>
          </w:tcPr>
          <w:p>
            <w:pPr>
              <w:pStyle w:val="40"/>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652" w:type="dxa"/>
            <w:gridSpan w:val="2"/>
            <w:vAlign w:val="center"/>
          </w:tcPr>
          <w:p>
            <w:pPr>
              <w:pStyle w:val="40"/>
            </w:pPr>
            <w:r>
              <w:t>合计</w:t>
            </w:r>
          </w:p>
        </w:tc>
        <w:tc>
          <w:tcPr>
            <w:tcW w:w="4678" w:type="dxa"/>
            <w:vAlign w:val="center"/>
          </w:tcPr>
          <w:p>
            <w:pPr>
              <w:pStyle w:val="40"/>
            </w:pPr>
            <w:r>
              <w:t>/</w:t>
            </w:r>
          </w:p>
        </w:tc>
        <w:tc>
          <w:tcPr>
            <w:tcW w:w="1175" w:type="dxa"/>
            <w:vAlign w:val="center"/>
          </w:tcPr>
          <w:p>
            <w:pPr>
              <w:pStyle w:val="40"/>
            </w:pPr>
            <w:r>
              <w:t>290.5</w:t>
            </w:r>
          </w:p>
        </w:tc>
      </w:tr>
    </w:tbl>
    <w:p>
      <w:pPr>
        <w:pStyle w:val="5"/>
      </w:pPr>
      <w:r>
        <w:rPr>
          <w:rFonts w:hint="eastAsia"/>
        </w:rPr>
        <w:t>环保设施折旧费</w:t>
      </w:r>
    </w:p>
    <w:p>
      <w:pPr>
        <w:ind w:firstLine="480"/>
      </w:pPr>
      <w:r>
        <w:t>本项目环保设施投资折旧费由下式计算：</w:t>
      </w:r>
    </w:p>
    <w:p>
      <w:pPr>
        <w:ind w:firstLine="0" w:firstLineChars="0"/>
        <w:jc w:val="center"/>
      </w:pPr>
      <w:r>
        <w:t>C</w:t>
      </w:r>
      <w:r>
        <w:rPr>
          <w:vertAlign w:val="subscript"/>
        </w:rPr>
        <w:t>1</w:t>
      </w:r>
      <w:r>
        <w:t>＝A×C</w:t>
      </w:r>
      <w:r>
        <w:rPr>
          <w:vertAlign w:val="subscript"/>
        </w:rPr>
        <w:t>0</w:t>
      </w:r>
      <w:r>
        <w:t>/n＝</w:t>
      </w:r>
      <w:r>
        <w:rPr>
          <w:rFonts w:hint="eastAsia"/>
        </w:rPr>
        <w:t>11.4</w:t>
      </w:r>
      <w:r>
        <w:t>（万元/a）</w:t>
      </w:r>
    </w:p>
    <w:p>
      <w:pPr>
        <w:ind w:firstLine="480"/>
      </w:pPr>
      <w:r>
        <w:t>式中：</w:t>
      </w:r>
    </w:p>
    <w:p>
      <w:pPr>
        <w:ind w:firstLine="480"/>
      </w:pPr>
      <w:r>
        <w:t>A——固定资产形成率，取95%；</w:t>
      </w:r>
    </w:p>
    <w:p>
      <w:pPr>
        <w:ind w:firstLine="480"/>
      </w:pPr>
      <w:r>
        <w:t>C</w:t>
      </w:r>
      <w:r>
        <w:rPr>
          <w:vertAlign w:val="subscript"/>
        </w:rPr>
        <w:t>0</w:t>
      </w:r>
      <w:r>
        <w:t>——环保总投资（万元）；</w:t>
      </w:r>
    </w:p>
    <w:p>
      <w:pPr>
        <w:ind w:firstLine="480"/>
      </w:pPr>
      <w:r>
        <w:t>n ——折旧年限，取10年。</w:t>
      </w:r>
    </w:p>
    <w:p>
      <w:pPr>
        <w:pStyle w:val="5"/>
      </w:pPr>
      <w:r>
        <w:rPr>
          <w:rFonts w:hint="eastAsia"/>
        </w:rPr>
        <w:t>环保设施运行费</w:t>
      </w:r>
    </w:p>
    <w:p>
      <w:pPr>
        <w:ind w:firstLine="480"/>
      </w:pPr>
      <w:r>
        <w:rPr>
          <w:rFonts w:hint="eastAsia"/>
        </w:rPr>
        <w:t>环保运行费用就是维护环境保护设施正常运行时所消耗的费用。包括人工、电费、物资消耗、维修等。参照国内其它企业有关资料，环保设施的年运行费用（C</w:t>
      </w:r>
      <w:r>
        <w:rPr>
          <w:rFonts w:hint="eastAsia"/>
          <w:vertAlign w:val="subscript"/>
        </w:rPr>
        <w:t>2</w:t>
      </w:r>
      <w:r>
        <w:rPr>
          <w:rFonts w:hint="eastAsia"/>
        </w:rPr>
        <w:t>）可按环保投资的8%计算。</w:t>
      </w:r>
    </w:p>
    <w:p>
      <w:pPr>
        <w:ind w:firstLine="480"/>
        <w:jc w:val="center"/>
      </w:pPr>
      <w:r>
        <w:rPr>
          <w:rFonts w:hint="eastAsia"/>
        </w:rPr>
        <w:t>C</w:t>
      </w:r>
      <w:r>
        <w:rPr>
          <w:rFonts w:hint="eastAsia"/>
          <w:vertAlign w:val="subscript"/>
        </w:rPr>
        <w:t>2</w:t>
      </w:r>
      <w:r>
        <w:rPr>
          <w:rFonts w:hint="eastAsia"/>
        </w:rPr>
        <w:t>=C</w:t>
      </w:r>
      <w:r>
        <w:rPr>
          <w:rFonts w:hint="eastAsia"/>
          <w:vertAlign w:val="subscript"/>
        </w:rPr>
        <w:t>0</w:t>
      </w:r>
      <w:r>
        <w:rPr>
          <w:rFonts w:hint="eastAsia"/>
        </w:rPr>
        <w:t>×8%=9.6万元</w:t>
      </w:r>
    </w:p>
    <w:p>
      <w:pPr>
        <w:pStyle w:val="5"/>
      </w:pPr>
      <w:r>
        <w:rPr>
          <w:rFonts w:hint="eastAsia"/>
        </w:rPr>
        <w:t>环保管理费用</w:t>
      </w:r>
    </w:p>
    <w:p>
      <w:pPr>
        <w:ind w:firstLine="480"/>
      </w:pPr>
      <w:r>
        <w:rPr>
          <w:rFonts w:hint="eastAsia"/>
        </w:rPr>
        <w:t>环保管理费用（C</w:t>
      </w:r>
      <w:r>
        <w:rPr>
          <w:rFonts w:hint="eastAsia"/>
          <w:vertAlign w:val="subscript"/>
        </w:rPr>
        <w:t>3</w:t>
      </w:r>
      <w:r>
        <w:rPr>
          <w:rFonts w:hint="eastAsia"/>
        </w:rPr>
        <w:t>）包括管理部门的办公费、监测费、科研费等，按环保投资的5%计算。</w:t>
      </w:r>
    </w:p>
    <w:p>
      <w:pPr>
        <w:ind w:firstLine="480"/>
        <w:jc w:val="center"/>
      </w:pPr>
      <w:r>
        <w:rPr>
          <w:rFonts w:hint="eastAsia"/>
        </w:rPr>
        <w:t>C</w:t>
      </w:r>
      <w:r>
        <w:rPr>
          <w:rFonts w:hint="eastAsia"/>
          <w:vertAlign w:val="subscript"/>
        </w:rPr>
        <w:t>3</w:t>
      </w:r>
      <w:r>
        <w:rPr>
          <w:rFonts w:hint="eastAsia"/>
        </w:rPr>
        <w:t>=C</w:t>
      </w:r>
      <w:r>
        <w:rPr>
          <w:rFonts w:hint="eastAsia"/>
          <w:vertAlign w:val="subscript"/>
        </w:rPr>
        <w:t>0</w:t>
      </w:r>
      <w:r>
        <w:rPr>
          <w:rFonts w:hint="eastAsia"/>
        </w:rPr>
        <w:t>×5%=6万元</w:t>
      </w:r>
    </w:p>
    <w:p>
      <w:pPr>
        <w:ind w:firstLine="480"/>
      </w:pPr>
      <w:r>
        <w:rPr>
          <w:rFonts w:hint="eastAsia"/>
        </w:rPr>
        <w:t>则本项目环保支出总费用为：C=C</w:t>
      </w:r>
      <w:r>
        <w:rPr>
          <w:rFonts w:hint="eastAsia"/>
          <w:vertAlign w:val="subscript"/>
        </w:rPr>
        <w:t>1</w:t>
      </w:r>
      <w:r>
        <w:rPr>
          <w:rFonts w:hint="eastAsia"/>
        </w:rPr>
        <w:t>+C</w:t>
      </w:r>
      <w:r>
        <w:rPr>
          <w:rFonts w:hint="eastAsia"/>
          <w:vertAlign w:val="subscript"/>
        </w:rPr>
        <w:t>2</w:t>
      </w:r>
      <w:r>
        <w:rPr>
          <w:rFonts w:hint="eastAsia"/>
        </w:rPr>
        <w:t>+C</w:t>
      </w:r>
      <w:r>
        <w:rPr>
          <w:rFonts w:hint="eastAsia"/>
          <w:vertAlign w:val="subscript"/>
        </w:rPr>
        <w:t>3</w:t>
      </w:r>
      <w:r>
        <w:rPr>
          <w:rFonts w:hint="eastAsia"/>
        </w:rPr>
        <w:t>=27万元。本项目年</w:t>
      </w:r>
      <w:r>
        <w:rPr>
          <w:bCs/>
        </w:rPr>
        <w:t>销售收入</w:t>
      </w:r>
      <w:r>
        <w:rPr>
          <w:rFonts w:hint="eastAsia"/>
        </w:rPr>
        <w:t>3600万元，环保支出费用占</w:t>
      </w:r>
      <w:r>
        <w:rPr>
          <w:bCs/>
        </w:rPr>
        <w:t>销售收入</w:t>
      </w:r>
      <w:r>
        <w:rPr>
          <w:rFonts w:hint="eastAsia"/>
        </w:rPr>
        <w:t>的0.75%，在可接受范围之内。</w:t>
      </w:r>
    </w:p>
    <w:p>
      <w:pPr>
        <w:pStyle w:val="4"/>
      </w:pPr>
      <w:r>
        <w:rPr>
          <w:rFonts w:hint="eastAsia"/>
        </w:rPr>
        <w:t>环境</w:t>
      </w:r>
      <w:r>
        <w:t>保护费用分析</w:t>
      </w:r>
    </w:p>
    <w:p>
      <w:pPr>
        <w:pStyle w:val="79"/>
        <w:ind w:firstLine="480"/>
      </w:pPr>
      <w:r>
        <w:rPr>
          <w:rFonts w:hint="eastAsia"/>
        </w:rPr>
        <w:t>环境保护费用一般分为外部费用和内部费用，用下式表示：</w:t>
      </w:r>
    </w:p>
    <w:p>
      <w:pPr>
        <w:pStyle w:val="79"/>
        <w:ind w:firstLine="480"/>
        <w:jc w:val="center"/>
      </w:pPr>
      <w:r>
        <w:rPr>
          <w:rFonts w:hint="eastAsia"/>
        </w:rPr>
        <w:t>Et＝Et（O）＋Et（I）</w:t>
      </w:r>
    </w:p>
    <w:p>
      <w:pPr>
        <w:pStyle w:val="79"/>
        <w:ind w:firstLine="480"/>
      </w:pPr>
      <w:r>
        <w:rPr>
          <w:rFonts w:hint="eastAsia"/>
        </w:rPr>
        <w:t>式中：</w:t>
      </w:r>
    </w:p>
    <w:p>
      <w:pPr>
        <w:pStyle w:val="79"/>
        <w:ind w:firstLine="480"/>
      </w:pPr>
      <w:r>
        <w:rPr>
          <w:rFonts w:hint="eastAsia"/>
        </w:rPr>
        <w:t>Et—环境保护费用；</w:t>
      </w:r>
    </w:p>
    <w:p>
      <w:pPr>
        <w:pStyle w:val="79"/>
        <w:ind w:firstLine="480"/>
      </w:pPr>
      <w:r>
        <w:rPr>
          <w:rFonts w:hint="eastAsia"/>
        </w:rPr>
        <w:t>Et（O）—环境保护外部费用；</w:t>
      </w:r>
    </w:p>
    <w:p>
      <w:pPr>
        <w:pStyle w:val="79"/>
        <w:ind w:firstLine="480"/>
      </w:pPr>
      <w:r>
        <w:rPr>
          <w:rFonts w:hint="eastAsia"/>
        </w:rPr>
        <w:t>Et（I）—环境保护内部费用。</w:t>
      </w:r>
    </w:p>
    <w:p>
      <w:pPr>
        <w:pStyle w:val="79"/>
        <w:ind w:firstLine="480"/>
      </w:pPr>
      <w:r>
        <w:rPr>
          <w:rFonts w:hint="eastAsia"/>
        </w:rPr>
        <w:t>（1）环境保护外部费用的确定与估算</w:t>
      </w:r>
    </w:p>
    <w:p>
      <w:pPr>
        <w:pStyle w:val="79"/>
        <w:ind w:firstLine="480"/>
      </w:pPr>
      <w:r>
        <w:rPr>
          <w:rFonts w:hint="eastAsia"/>
        </w:rPr>
        <w:t>环境保护外部费用主要指建设项目为减缓其对周围环境或人群健康损害所付的费用。就项目而言，不存在这部分费用。</w:t>
      </w:r>
    </w:p>
    <w:p>
      <w:pPr>
        <w:pStyle w:val="79"/>
        <w:ind w:firstLine="480"/>
      </w:pPr>
      <w:r>
        <w:rPr>
          <w:rFonts w:hint="eastAsia"/>
        </w:rPr>
        <w:t>（2）环境保护内部费用确定与估算</w:t>
      </w:r>
    </w:p>
    <w:p>
      <w:pPr>
        <w:pStyle w:val="79"/>
        <w:ind w:firstLine="480"/>
      </w:pPr>
      <w:r>
        <w:rPr>
          <w:rFonts w:hint="eastAsia"/>
        </w:rPr>
        <w:t>内部费用是指项目运行过程中，建设单位为了防止环境污染而付出的环境保护费用，由基本建设费和运行费两部分构成。</w:t>
      </w:r>
    </w:p>
    <w:p>
      <w:pPr>
        <w:pStyle w:val="79"/>
        <w:ind w:firstLine="480"/>
      </w:pPr>
      <w:r>
        <w:rPr>
          <w:rFonts w:hint="eastAsia"/>
        </w:rPr>
        <w:t>环境保护基本建设费用即为环保工程费用，根据表8.</w:t>
      </w:r>
      <w:r>
        <w:t>3</w:t>
      </w:r>
      <w:r>
        <w:rPr>
          <w:rFonts w:hint="eastAsia"/>
        </w:rPr>
        <w:t>-1 可知，本项目各类环保基本费用</w:t>
      </w:r>
      <w:r>
        <w:t>为290.5</w:t>
      </w:r>
      <w:r>
        <w:rPr>
          <w:rFonts w:hint="eastAsia"/>
        </w:rPr>
        <w:t>万元</w:t>
      </w:r>
      <w:r>
        <w:t>，</w:t>
      </w:r>
      <w:r>
        <w:rPr>
          <w:rFonts w:hint="eastAsia"/>
        </w:rPr>
        <w:t>使用期按</w:t>
      </w:r>
      <w:r>
        <w:t xml:space="preserve">30 </w:t>
      </w:r>
      <w:r>
        <w:rPr>
          <w:rFonts w:hint="eastAsia"/>
        </w:rPr>
        <w:t>年计，则每年投入的环境保护基本建设费用为</w:t>
      </w:r>
      <w:r>
        <w:t>9.7</w:t>
      </w:r>
      <w:r>
        <w:rPr>
          <w:rFonts w:hint="eastAsia"/>
        </w:rPr>
        <w:t>万元</w:t>
      </w:r>
      <w:r>
        <w:t>/</w:t>
      </w:r>
      <w:r>
        <w:rPr>
          <w:rFonts w:hint="eastAsia"/>
        </w:rPr>
        <w:t>年。运行费用指企业各项环保工程、绿化、环保监测和管理等环境保护工程的运行、管理费用。按生产要素计算，运行费用主要由各项环保工程的折旧费、设备大修费、耗电费、材料消耗费、人员工资及福利费、设备维护费、运输费和管理费等，企业环保工程运行费用为4万元</w:t>
      </w:r>
      <w:r>
        <w:t>/</w:t>
      </w:r>
      <w:r>
        <w:rPr>
          <w:rFonts w:hint="eastAsia"/>
        </w:rPr>
        <w:t>年。</w:t>
      </w:r>
    </w:p>
    <w:p>
      <w:pPr>
        <w:pStyle w:val="79"/>
        <w:ind w:firstLine="480"/>
      </w:pPr>
      <w:r>
        <w:rPr>
          <w:rFonts w:hint="eastAsia"/>
        </w:rPr>
        <w:t>综上</w:t>
      </w:r>
      <w:r>
        <w:t>，项目</w:t>
      </w:r>
      <w:r>
        <w:rPr>
          <w:rFonts w:hint="eastAsia"/>
        </w:rPr>
        <w:t>环</w:t>
      </w:r>
      <w:r>
        <w:t>境保护费用</w:t>
      </w:r>
      <w:r>
        <w:rPr>
          <w:rFonts w:hint="eastAsia"/>
        </w:rPr>
        <w:t>为</w:t>
      </w:r>
      <w:r>
        <w:t>13.7</w:t>
      </w:r>
      <w:r>
        <w:rPr>
          <w:rFonts w:hint="eastAsia"/>
        </w:rPr>
        <w:t>万元/年。</w:t>
      </w:r>
    </w:p>
    <w:p>
      <w:pPr>
        <w:pStyle w:val="4"/>
      </w:pPr>
      <w:r>
        <w:rPr>
          <w:rFonts w:hint="eastAsia"/>
        </w:rPr>
        <w:t>环境</w:t>
      </w:r>
      <w:r>
        <w:t>污染损失分析</w:t>
      </w:r>
    </w:p>
    <w:p>
      <w:pPr>
        <w:pStyle w:val="79"/>
        <w:ind w:firstLine="480"/>
      </w:pPr>
      <w:r>
        <w:rPr>
          <w:rFonts w:hint="eastAsia"/>
        </w:rPr>
        <w:t>环境污染损失分析以经济形势反映出来，根据“三废”排放对环境造成的一切损失来确定，其主要包括三个方面，可用下式表示：</w:t>
      </w:r>
    </w:p>
    <w:p>
      <w:pPr>
        <w:pStyle w:val="79"/>
        <w:ind w:firstLine="480"/>
        <w:jc w:val="center"/>
      </w:pPr>
      <w:r>
        <w:t>WS=A+B+C</w:t>
      </w:r>
    </w:p>
    <w:p>
      <w:pPr>
        <w:pStyle w:val="79"/>
        <w:ind w:firstLine="480"/>
      </w:pPr>
      <w:r>
        <w:rPr>
          <w:rFonts w:hint="eastAsia"/>
        </w:rPr>
        <w:t>式中：</w:t>
      </w:r>
    </w:p>
    <w:p>
      <w:pPr>
        <w:pStyle w:val="79"/>
        <w:ind w:firstLine="480"/>
      </w:pPr>
      <w:r>
        <w:rPr>
          <w:rFonts w:hint="eastAsia"/>
        </w:rPr>
        <w:t>WS——环境污染损失；</w:t>
      </w:r>
    </w:p>
    <w:p>
      <w:pPr>
        <w:pStyle w:val="79"/>
        <w:ind w:firstLine="480"/>
      </w:pPr>
      <w:r>
        <w:rPr>
          <w:rFonts w:hint="eastAsia"/>
        </w:rPr>
        <w:t>A——为资源和能源流失价值；</w:t>
      </w:r>
    </w:p>
    <w:p>
      <w:pPr>
        <w:pStyle w:val="79"/>
        <w:ind w:firstLine="480"/>
      </w:pPr>
      <w:r>
        <w:rPr>
          <w:rFonts w:hint="eastAsia"/>
        </w:rPr>
        <w:t>B——对污染物对周期环境生产和生活资料造成的损失；</w:t>
      </w:r>
    </w:p>
    <w:p>
      <w:pPr>
        <w:pStyle w:val="79"/>
        <w:ind w:firstLine="480"/>
      </w:pPr>
      <w:r>
        <w:rPr>
          <w:rFonts w:hint="eastAsia"/>
        </w:rPr>
        <w:t>C——各种污染物为对人群、动植物造成的损失。</w:t>
      </w:r>
    </w:p>
    <w:p>
      <w:pPr>
        <w:pStyle w:val="79"/>
        <w:ind w:firstLine="480"/>
      </w:pPr>
      <w:r>
        <w:rPr>
          <w:rFonts w:hint="eastAsia"/>
        </w:rPr>
        <w:t>①资源和能源流失代价（A）</w:t>
      </w:r>
    </w:p>
    <w:p>
      <w:pPr>
        <w:pStyle w:val="79"/>
        <w:ind w:firstLine="480"/>
      </w:pPr>
      <w:r>
        <w:rPr>
          <w:rFonts w:hint="eastAsia"/>
        </w:rPr>
        <w:t>资源和能源流失价值，是指因外运、装卸、风蚀、雨蚀等原因导致资源流失，本项目由于采取了完善的防治措施，因此资源流失很少，在此可以忽略不计，即A=0。</w:t>
      </w:r>
    </w:p>
    <w:p>
      <w:pPr>
        <w:pStyle w:val="79"/>
        <w:ind w:firstLine="480"/>
      </w:pPr>
      <w:r>
        <w:rPr>
          <w:rFonts w:hint="eastAsia"/>
        </w:rPr>
        <w:t>②生产生活资料损失代价（B）</w:t>
      </w:r>
    </w:p>
    <w:p>
      <w:pPr>
        <w:pStyle w:val="79"/>
        <w:ind w:firstLine="480"/>
      </w:pPr>
      <w:r>
        <w:rPr>
          <w:rFonts w:hint="eastAsia"/>
        </w:rPr>
        <w:t>污染物对周围环境中生产和生活资料的损失费用以罚款的形式表现，为防治污染，本项目在建设的同时也采取了合理有效的环保措施，使项目投产后的“三废”排放达到国家标准，故不考虑此费用，即B=0。</w:t>
      </w:r>
    </w:p>
    <w:p>
      <w:pPr>
        <w:pStyle w:val="79"/>
        <w:ind w:firstLine="480"/>
      </w:pPr>
      <w:r>
        <w:rPr>
          <w:rFonts w:hint="eastAsia"/>
        </w:rPr>
        <w:t>③人群损失（C）</w:t>
      </w:r>
    </w:p>
    <w:p>
      <w:pPr>
        <w:pStyle w:val="79"/>
        <w:ind w:firstLine="480"/>
      </w:pPr>
      <w:r>
        <w:rPr>
          <w:rFonts w:hint="eastAsia"/>
        </w:rPr>
        <w:t>由本次评价对环境要素影响的评价结论，结合当地自然、社会环境现状可以看出，按照本环评报告规定的环保措施实施后，本项目的污染排放会得到有效的控制，可以做到达标排放，对环境的污染较小，同时也注意了职工的劳动安全、工业卫生，故此处不考虑环境污染对职工和周围人群健康的影响，即C=0。</w:t>
      </w:r>
    </w:p>
    <w:p>
      <w:pPr>
        <w:pStyle w:val="79"/>
        <w:ind w:firstLine="480"/>
      </w:pPr>
      <w:r>
        <w:rPr>
          <w:rFonts w:hint="eastAsia"/>
        </w:rPr>
        <w:t>综上所述，项目的年污染损失（WS）可不予考虑，WS=0。</w:t>
      </w:r>
    </w:p>
    <w:p>
      <w:pPr>
        <w:pStyle w:val="4"/>
      </w:pPr>
      <w:r>
        <w:rPr>
          <w:rFonts w:hint="eastAsia"/>
        </w:rPr>
        <w:t>经济</w:t>
      </w:r>
      <w:r>
        <w:t>损益分析</w:t>
      </w:r>
    </w:p>
    <w:p>
      <w:pPr>
        <w:pStyle w:val="79"/>
        <w:ind w:firstLine="480"/>
      </w:pPr>
      <w:r>
        <w:rPr>
          <w:rFonts w:hint="eastAsia"/>
        </w:rPr>
        <w:t>1、环境代价（Hd）</w:t>
      </w:r>
    </w:p>
    <w:p>
      <w:pPr>
        <w:pStyle w:val="79"/>
        <w:ind w:firstLine="480"/>
      </w:pPr>
      <w:r>
        <w:rPr>
          <w:rFonts w:hint="eastAsia"/>
        </w:rPr>
        <w:t>环境代价是指为了减少或者消除因从环境中获取生产、生活所必须的物质资料，改变环境的状况所付出的经济代价。</w:t>
      </w:r>
    </w:p>
    <w:p>
      <w:pPr>
        <w:pStyle w:val="79"/>
        <w:ind w:firstLine="480"/>
      </w:pPr>
      <w:r>
        <w:rPr>
          <w:rFonts w:hint="eastAsia"/>
        </w:rPr>
        <w:t>环境代价是由两部分组成：直接代价和间接代价。直接代价指为消除项目建设所造成的环境危害必须付出的代价，间接代价指项目建设对所在地的损失和为消除这些不良影响所付出的代价，即</w:t>
      </w:r>
    </w:p>
    <w:p>
      <w:pPr>
        <w:pStyle w:val="79"/>
        <w:ind w:firstLine="480"/>
        <w:jc w:val="center"/>
      </w:pPr>
      <w:r>
        <w:t>Hd=Pd+Pid</w:t>
      </w:r>
    </w:p>
    <w:p>
      <w:pPr>
        <w:pStyle w:val="79"/>
        <w:ind w:firstLine="480"/>
      </w:pPr>
      <w:r>
        <w:rPr>
          <w:rFonts w:hint="eastAsia"/>
        </w:rPr>
        <w:t>式中：</w:t>
      </w:r>
    </w:p>
    <w:p>
      <w:pPr>
        <w:pStyle w:val="79"/>
        <w:ind w:firstLine="480"/>
      </w:pPr>
      <w:r>
        <w:rPr>
          <w:rFonts w:hint="eastAsia"/>
        </w:rPr>
        <w:t>Hd—环境代价，万元；</w:t>
      </w:r>
    </w:p>
    <w:p>
      <w:pPr>
        <w:pStyle w:val="79"/>
        <w:ind w:firstLine="480"/>
      </w:pPr>
      <w:r>
        <w:rPr>
          <w:rFonts w:hint="eastAsia"/>
        </w:rPr>
        <w:t>Pd—开发项目的直接代价，万元；</w:t>
      </w:r>
    </w:p>
    <w:p>
      <w:pPr>
        <w:pStyle w:val="79"/>
        <w:ind w:firstLine="480"/>
      </w:pPr>
      <w:r>
        <w:rPr>
          <w:rFonts w:hint="eastAsia"/>
        </w:rPr>
        <w:t>Pid—开发项目的间接代价，万元。</w:t>
      </w:r>
    </w:p>
    <w:p>
      <w:pPr>
        <w:pStyle w:val="79"/>
        <w:ind w:firstLine="480"/>
      </w:pPr>
      <w:r>
        <w:rPr>
          <w:rFonts w:hint="eastAsia"/>
        </w:rPr>
        <w:t>本项目的直接代价为防治因生产过程中所造成的污染而投入的年环保投资费用，为4万元/年；间接代价不计。故项目的环境代价为4万元。</w:t>
      </w:r>
    </w:p>
    <w:p>
      <w:pPr>
        <w:pStyle w:val="79"/>
        <w:ind w:firstLine="480"/>
      </w:pPr>
      <w:r>
        <w:rPr>
          <w:rFonts w:hint="eastAsia"/>
        </w:rPr>
        <w:t>2、环境系数（Hx）</w:t>
      </w:r>
    </w:p>
    <w:p>
      <w:pPr>
        <w:pStyle w:val="79"/>
        <w:ind w:firstLine="480"/>
      </w:pPr>
      <w:r>
        <w:rPr>
          <w:rFonts w:hint="eastAsia"/>
        </w:rPr>
        <w:t>环境系数值年环境代价与年工业产值之比，即单位产值的环境代价：</w:t>
      </w:r>
    </w:p>
    <w:p>
      <w:pPr>
        <w:pStyle w:val="79"/>
        <w:ind w:firstLine="480"/>
        <w:jc w:val="center"/>
      </w:pPr>
      <w:r>
        <w:t>Hx=HF/GE=</w:t>
      </w:r>
      <w:r>
        <w:rPr>
          <w:rFonts w:hint="eastAsia"/>
        </w:rPr>
        <w:t>4</w:t>
      </w:r>
      <w:r>
        <w:t>/</w:t>
      </w:r>
      <w:r>
        <w:rPr>
          <w:rFonts w:hint="eastAsia"/>
        </w:rPr>
        <w:t>36</w:t>
      </w:r>
      <w:r>
        <w:t>00=0.</w:t>
      </w:r>
      <w:r>
        <w:rPr>
          <w:rFonts w:hint="eastAsia"/>
        </w:rPr>
        <w:t>0011</w:t>
      </w:r>
    </w:p>
    <w:p>
      <w:pPr>
        <w:pStyle w:val="79"/>
        <w:ind w:firstLine="480"/>
      </w:pPr>
      <w:r>
        <w:rPr>
          <w:rFonts w:hint="eastAsia"/>
        </w:rPr>
        <w:t>项目的环境系数为11元/万元。</w:t>
      </w:r>
    </w:p>
    <w:p>
      <w:pPr>
        <w:pStyle w:val="79"/>
        <w:ind w:firstLine="480"/>
      </w:pPr>
      <w:r>
        <w:rPr>
          <w:rFonts w:hint="eastAsia"/>
        </w:rPr>
        <w:t>经计算，本项目环境系数为0.0</w:t>
      </w:r>
      <w:r>
        <w:t>0</w:t>
      </w:r>
      <w:r>
        <w:rPr>
          <w:rFonts w:hint="eastAsia"/>
        </w:rPr>
        <w:t>11，说明项目创造1万元的产值，付出的环境代价为11元。从计算结果看，项目环境成本较低。</w:t>
      </w:r>
    </w:p>
    <w:p>
      <w:pPr>
        <w:pStyle w:val="3"/>
      </w:pPr>
      <w:bookmarkStart w:id="264" w:name="_Toc108422256"/>
      <w:bookmarkStart w:id="265" w:name="_Toc488102189"/>
      <w:bookmarkStart w:id="266" w:name="_Toc8707"/>
      <w:bookmarkStart w:id="267" w:name="_Toc12586"/>
      <w:bookmarkStart w:id="268" w:name="_Toc393444739"/>
      <w:bookmarkStart w:id="269" w:name="_Toc1805"/>
      <w:bookmarkStart w:id="270" w:name="_Toc396228241"/>
      <w:bookmarkStart w:id="271" w:name="_Toc357926856"/>
      <w:bookmarkStart w:id="272" w:name="_Toc406942441"/>
      <w:r>
        <w:t>小结</w:t>
      </w:r>
      <w:bookmarkEnd w:id="264"/>
      <w:bookmarkEnd w:id="265"/>
      <w:bookmarkEnd w:id="266"/>
      <w:bookmarkEnd w:id="267"/>
      <w:bookmarkEnd w:id="268"/>
      <w:bookmarkEnd w:id="269"/>
      <w:bookmarkEnd w:id="270"/>
      <w:bookmarkEnd w:id="271"/>
      <w:bookmarkEnd w:id="272"/>
    </w:p>
    <w:p>
      <w:pPr>
        <w:ind w:firstLine="480"/>
        <w:rPr>
          <w:kern w:val="0"/>
        </w:rPr>
      </w:pPr>
      <w:r>
        <w:rPr>
          <w:rFonts w:hint="eastAsia"/>
          <w:kern w:val="0"/>
        </w:rPr>
        <w:t>本项目生产过程中采取的废气、废水、固废及噪声治理等措施后，大幅度降低项目污染物排放量，减轻各种污染物排放对环境和人体健康的不利影响。可见，项目各项环保工程的投资和运行，对于三废污染防治和综合利用方面是有益的。这项投资是必要的、有效的，可取得一定的环境效益。</w:t>
      </w:r>
      <w:r>
        <w:rPr>
          <w:kern w:val="0"/>
        </w:rPr>
        <w:t>项目的经济效益、社会效益、</w:t>
      </w:r>
      <w:r>
        <w:rPr>
          <w:rFonts w:hint="eastAsia"/>
          <w:kern w:val="0"/>
        </w:rPr>
        <w:t>环境</w:t>
      </w:r>
      <w:r>
        <w:rPr>
          <w:kern w:val="0"/>
        </w:rPr>
        <w:t>效益显著，市场前景良好</w:t>
      </w:r>
      <w:r>
        <w:rPr>
          <w:rFonts w:hint="eastAsia"/>
          <w:kern w:val="0"/>
        </w:rPr>
        <w:t>。从环境经济损益分析角度分析，该项目是可行的。</w:t>
      </w:r>
    </w:p>
    <w:p>
      <w:pPr>
        <w:ind w:firstLine="480"/>
        <w:rPr>
          <w:kern w:val="0"/>
        </w:rPr>
      </w:pPr>
    </w:p>
    <w:p>
      <w:pPr>
        <w:ind w:firstLine="480"/>
        <w:rPr>
          <w:kern w:val="0"/>
        </w:rPr>
      </w:pPr>
    </w:p>
    <w:p>
      <w:pPr>
        <w:ind w:firstLine="480"/>
        <w:rPr>
          <w:kern w:val="0"/>
        </w:rPr>
      </w:pPr>
    </w:p>
    <w:p>
      <w:pPr>
        <w:ind w:firstLine="480"/>
      </w:pPr>
    </w:p>
    <w:p>
      <w:pPr>
        <w:ind w:firstLine="480"/>
        <w:sectPr>
          <w:headerReference r:id="rId57" w:type="default"/>
          <w:headerReference r:id="rId58" w:type="even"/>
          <w:type w:val="oddPage"/>
          <w:pgSz w:w="11906" w:h="16838"/>
          <w:pgMar w:top="1440" w:right="1800" w:bottom="1440" w:left="1800" w:header="992" w:footer="992" w:gutter="0"/>
          <w:pgNumType w:fmt="numberInDash"/>
          <w:cols w:space="425" w:num="1"/>
          <w:docGrid w:type="lines" w:linePitch="326" w:charSpace="0"/>
        </w:sectPr>
      </w:pPr>
    </w:p>
    <w:p>
      <w:pPr>
        <w:pStyle w:val="2"/>
      </w:pPr>
      <w:bookmarkStart w:id="273" w:name="_Toc108422257"/>
      <w:bookmarkStart w:id="274" w:name="_Toc488102190"/>
      <w:r>
        <w:rPr>
          <w:rFonts w:hint="eastAsia"/>
        </w:rPr>
        <w:t>环境管理与监测计划</w:t>
      </w:r>
      <w:bookmarkEnd w:id="273"/>
      <w:bookmarkEnd w:id="274"/>
    </w:p>
    <w:p>
      <w:pPr>
        <w:ind w:firstLine="480"/>
        <w:rPr>
          <w:kern w:val="0"/>
          <w:u w:color="000000"/>
        </w:rPr>
      </w:pPr>
      <w:r>
        <w:rPr>
          <w:rFonts w:hint="eastAsia"/>
          <w:kern w:val="0"/>
          <w:u w:color="000000"/>
        </w:rPr>
        <w:t>环境管理与环境监测是企业环境保护工作的重要组成部分，环境管理是减轻企业本身排污，节省资源能源，取得良好环境效益的有效办法。环境监测是查清企业排放污染物的浓度、数量、排放去向、污染范围、危害程度的有力措施。建设单位应在加强环境管理的同时，定期进行环境监测，以便及时了解工程在不同时期的环境影响，采取相应措施，消除不利因素，减轻环境污染，以实现预定的各项环保目标。</w:t>
      </w:r>
    </w:p>
    <w:p>
      <w:pPr>
        <w:pStyle w:val="3"/>
        <w:rPr>
          <w:u w:color="000000"/>
        </w:rPr>
      </w:pPr>
      <w:bookmarkStart w:id="275" w:name="_Toc357926858"/>
      <w:bookmarkStart w:id="276" w:name="_Toc384552446"/>
      <w:bookmarkStart w:id="277" w:name="_Toc108422258"/>
      <w:bookmarkStart w:id="278" w:name="_Toc488102191"/>
      <w:bookmarkStart w:id="279" w:name="_Toc5170"/>
      <w:bookmarkStart w:id="280" w:name="_Toc20981"/>
      <w:bookmarkStart w:id="281" w:name="_Toc364090228"/>
      <w:bookmarkStart w:id="282" w:name="_Toc387133357"/>
      <w:bookmarkStart w:id="283" w:name="_Toc382810955"/>
      <w:bookmarkStart w:id="284" w:name="_Toc7116"/>
      <w:r>
        <w:rPr>
          <w:u w:color="000000"/>
        </w:rPr>
        <w:t>环境管理</w:t>
      </w:r>
      <w:bookmarkEnd w:id="275"/>
      <w:bookmarkEnd w:id="276"/>
      <w:bookmarkEnd w:id="277"/>
      <w:bookmarkEnd w:id="278"/>
      <w:bookmarkEnd w:id="279"/>
      <w:bookmarkEnd w:id="280"/>
      <w:bookmarkEnd w:id="281"/>
      <w:bookmarkEnd w:id="282"/>
      <w:bookmarkEnd w:id="283"/>
      <w:bookmarkEnd w:id="284"/>
    </w:p>
    <w:p>
      <w:pPr>
        <w:pStyle w:val="4"/>
      </w:pPr>
      <w:bookmarkStart w:id="285" w:name="_Toc3039"/>
      <w:bookmarkStart w:id="286" w:name="_Toc6640"/>
      <w:bookmarkStart w:id="287" w:name="_Toc908"/>
      <w:r>
        <w:t>环境管理的</w:t>
      </w:r>
      <w:bookmarkEnd w:id="285"/>
      <w:bookmarkEnd w:id="286"/>
      <w:bookmarkEnd w:id="287"/>
      <w:r>
        <w:rPr>
          <w:rFonts w:hint="eastAsia"/>
        </w:rPr>
        <w:t>目的</w:t>
      </w:r>
    </w:p>
    <w:p>
      <w:pPr>
        <w:ind w:firstLine="480"/>
      </w:pPr>
      <w:r>
        <w:rPr>
          <w:rFonts w:hint="eastAsia"/>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pPr>
        <w:ind w:firstLine="480"/>
      </w:pPr>
      <w:r>
        <w:rPr>
          <w:rFonts w:hint="eastAsia"/>
        </w:rPr>
        <w:t>为了缓解建设项目生产运行期对环境构成的不良影响，在采取环保治理工程措施解决建设项目环境影响的同时，必须制定全面的企业环境管理计划，以保证企业的环境保护制度化和系统化，保证企业环保工作持久开展，保证企业能够持续发展生产。</w:t>
      </w:r>
    </w:p>
    <w:p>
      <w:pPr>
        <w:pStyle w:val="4"/>
      </w:pPr>
      <w:bookmarkStart w:id="288" w:name="_Toc3035"/>
      <w:bookmarkStart w:id="289" w:name="_Toc27568"/>
      <w:bookmarkStart w:id="290" w:name="_Toc24265"/>
      <w:r>
        <w:t>环境管理</w:t>
      </w:r>
      <w:bookmarkEnd w:id="288"/>
      <w:bookmarkEnd w:id="289"/>
      <w:bookmarkEnd w:id="290"/>
      <w:r>
        <w:rPr>
          <w:rFonts w:hint="eastAsia"/>
        </w:rPr>
        <w:t>制度</w:t>
      </w:r>
    </w:p>
    <w:p>
      <w:pPr>
        <w:ind w:firstLine="480"/>
      </w:pPr>
      <w:r>
        <w:rPr>
          <w:rFonts w:hint="eastAsia"/>
        </w:rPr>
        <w:t>根据对企业的了解情况，目前企业未设置专门的环保管理部门，因此，本次环评针对项目具体情况提出如下环境管理要求。</w:t>
      </w:r>
    </w:p>
    <w:p>
      <w:pPr>
        <w:pStyle w:val="5"/>
      </w:pPr>
      <w:r>
        <w:rPr>
          <w:rFonts w:hint="eastAsia"/>
        </w:rPr>
        <w:t>环境管理机构</w:t>
      </w:r>
    </w:p>
    <w:p>
      <w:pPr>
        <w:ind w:firstLine="480"/>
      </w:pPr>
      <w:r>
        <w:rPr>
          <w:rFonts w:hint="eastAsia"/>
        </w:rPr>
        <w:t>项目建成后，应设置专门的环保科，负责全厂的环境保护管理工作。环保科设科长1 名、工作人员2 名，并负责全厂环保管理。此外，为保证环境管理任务的顺利实施，企业总经理应作为控制环境污染、保护环境的主要责任人。</w:t>
      </w:r>
    </w:p>
    <w:p>
      <w:pPr>
        <w:pStyle w:val="5"/>
      </w:pPr>
      <w:r>
        <w:rPr>
          <w:rFonts w:hint="eastAsia"/>
        </w:rPr>
        <w:t>环境管理职能</w:t>
      </w:r>
    </w:p>
    <w:p>
      <w:pPr>
        <w:ind w:firstLine="480"/>
      </w:pPr>
      <w:r>
        <w:rPr>
          <w:rFonts w:hint="eastAsia"/>
        </w:rPr>
        <w:t>（1）贯彻执行国家、省、市的有关环保法规、标准、政策和要求。</w:t>
      </w:r>
    </w:p>
    <w:p>
      <w:pPr>
        <w:ind w:firstLine="480"/>
      </w:pPr>
      <w:r>
        <w:rPr>
          <w:rFonts w:hint="eastAsia"/>
        </w:rPr>
        <w:t>（2）组织制定和修改本公司的环境保护管理规章制度，拟定企业的环保工作计划并进行实施，配合企业领导完成环境保护责任目标。</w:t>
      </w:r>
    </w:p>
    <w:p>
      <w:pPr>
        <w:ind w:firstLine="480"/>
      </w:pPr>
      <w:r>
        <w:rPr>
          <w:rFonts w:hint="eastAsia"/>
        </w:rPr>
        <w:t>（3）建立环境管理及监测的档案，并负责管理和统计上报工作。</w:t>
      </w:r>
    </w:p>
    <w:p>
      <w:pPr>
        <w:ind w:firstLine="480"/>
      </w:pPr>
      <w:r>
        <w:rPr>
          <w:rFonts w:hint="eastAsia"/>
        </w:rPr>
        <w:t>（4）领导和组织实施本公司的环境监测，监督各污染物排放口的达标排放情况。</w:t>
      </w:r>
    </w:p>
    <w:p>
      <w:pPr>
        <w:ind w:firstLine="480"/>
      </w:pPr>
      <w:r>
        <w:rPr>
          <w:rFonts w:hint="eastAsia"/>
        </w:rPr>
        <w:t>（5）负责处理公司的各种生产过程对环境造成的影响的处理和监测等工作；负责提出、审查有关环境保护的技术改造方案和治理方案，负责提出、审查各项清洁生产方案和组织清洁生产方案的实施。</w:t>
      </w:r>
    </w:p>
    <w:p>
      <w:pPr>
        <w:ind w:firstLine="480"/>
      </w:pPr>
      <w:r>
        <w:rPr>
          <w:rFonts w:hint="eastAsia"/>
        </w:rPr>
        <w:t>（6）组织在企业开展环保专业技术培训，提高全厂员工的素质和水平，组织学习各项环保知识。</w:t>
      </w:r>
    </w:p>
    <w:p>
      <w:pPr>
        <w:pStyle w:val="5"/>
      </w:pPr>
      <w:r>
        <w:rPr>
          <w:rFonts w:hint="eastAsia"/>
        </w:rPr>
        <w:t>环境</w:t>
      </w:r>
      <w:r>
        <w:t>管理制度</w:t>
      </w:r>
    </w:p>
    <w:p>
      <w:pPr>
        <w:ind w:firstLine="480"/>
      </w:pPr>
      <w:r>
        <w:rPr>
          <w:rFonts w:hint="eastAsia"/>
        </w:rPr>
        <w:t>本项目应建立健全环保管理制度，本次评价提出的环保管理制度主要内容建议见表9.1-1。</w:t>
      </w:r>
    </w:p>
    <w:p>
      <w:pPr>
        <w:pStyle w:val="85"/>
        <w:rPr>
          <w:rFonts w:hAnsi="Times New Roman"/>
        </w:rPr>
      </w:pPr>
      <w:r>
        <w:rPr>
          <w:rFonts w:hint="eastAsia" w:hAnsi="Times New Roman"/>
        </w:rPr>
        <w:t>表</w:t>
      </w:r>
      <w:r>
        <w:rPr>
          <w:rFonts w:hAnsi="Times New Roman"/>
        </w:rPr>
        <w:fldChar w:fldCharType="begin"/>
      </w:r>
      <w:r>
        <w:rPr>
          <w:rFonts w:hint="eastAsia" w:hAnsi="Times New Roman"/>
        </w:rPr>
        <w:instrText xml:space="preserve">STYLEREF 2 \s</w:instrText>
      </w:r>
      <w:r>
        <w:rPr>
          <w:rFonts w:hAnsi="Times New Roman"/>
        </w:rPr>
        <w:fldChar w:fldCharType="separate"/>
      </w:r>
      <w:r>
        <w:rPr>
          <w:rFonts w:hAnsi="Times New Roman"/>
        </w:rPr>
        <w:t>9.1</w:t>
      </w:r>
      <w:r>
        <w:rPr>
          <w:rFonts w:hAnsi="Times New Roman"/>
        </w:rPr>
        <w:fldChar w:fldCharType="end"/>
      </w:r>
      <w:r>
        <w:rPr>
          <w:rFonts w:hAnsi="Times New Roman"/>
        </w:rPr>
        <w:noBreakHyphen/>
      </w:r>
      <w:r>
        <w:rPr>
          <w:rFonts w:hAnsi="Times New Roman"/>
        </w:rPr>
        <w:fldChar w:fldCharType="begin"/>
      </w:r>
      <w:r>
        <w:rPr>
          <w:rFonts w:hint="eastAsia" w:hAnsi="Times New Roman"/>
        </w:rPr>
        <w:instrText xml:space="preserve">SEQ 表 \* ARABIC \s 2</w:instrText>
      </w:r>
      <w:r>
        <w:rPr>
          <w:rFonts w:hAnsi="Times New Roman"/>
        </w:rPr>
        <w:fldChar w:fldCharType="separate"/>
      </w:r>
      <w:r>
        <w:rPr>
          <w:rFonts w:hAnsi="Times New Roman"/>
        </w:rPr>
        <w:t>1</w:t>
      </w:r>
      <w:r>
        <w:rPr>
          <w:rFonts w:hAnsi="Times New Roman"/>
        </w:rPr>
        <w:fldChar w:fldCharType="end"/>
      </w:r>
      <w:r>
        <w:rPr>
          <w:rFonts w:hint="eastAsia" w:hAnsi="Times New Roman"/>
        </w:rPr>
        <w:t>环境保护管理制度表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6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Align w:val="center"/>
          </w:tcPr>
          <w:p>
            <w:pPr>
              <w:pStyle w:val="84"/>
              <w:ind w:left="113" w:right="170"/>
            </w:pPr>
            <w:r>
              <w:rPr>
                <w:rFonts w:hint="eastAsia"/>
              </w:rPr>
              <w:t>实施</w:t>
            </w:r>
            <w:r>
              <w:t>部门</w:t>
            </w:r>
          </w:p>
        </w:tc>
        <w:tc>
          <w:tcPr>
            <w:tcW w:w="6164" w:type="dxa"/>
            <w:vAlign w:val="center"/>
          </w:tcPr>
          <w:p>
            <w:pPr>
              <w:pStyle w:val="84"/>
              <w:ind w:left="113" w:right="170"/>
            </w:pPr>
            <w:r>
              <w:rPr>
                <w:rFonts w:hint="eastAsia"/>
              </w:rPr>
              <w:t>主要</w:t>
            </w:r>
            <w: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restart"/>
            <w:vAlign w:val="center"/>
          </w:tcPr>
          <w:p>
            <w:pPr>
              <w:pStyle w:val="84"/>
              <w:ind w:left="113" w:right="170"/>
            </w:pPr>
            <w:r>
              <w:rPr>
                <w:rFonts w:hint="eastAsia"/>
              </w:rPr>
              <w:t>环保科</w:t>
            </w:r>
          </w:p>
        </w:tc>
        <w:tc>
          <w:tcPr>
            <w:tcW w:w="6164" w:type="dxa"/>
            <w:vAlign w:val="center"/>
          </w:tcPr>
          <w:p>
            <w:pPr>
              <w:pStyle w:val="84"/>
              <w:ind w:left="113" w:right="170"/>
              <w:jc w:val="both"/>
              <w:rPr>
                <w:rFonts w:hAnsi="Times New Roman"/>
              </w:rPr>
            </w:pPr>
            <w:r>
              <w:rPr>
                <w:rFonts w:hAnsi="Times New Roman" w:eastAsia="TimesNewRomanPSMT"/>
                <w:szCs w:val="21"/>
              </w:rPr>
              <w:t>1</w:t>
            </w:r>
            <w:r>
              <w:rPr>
                <w:rFonts w:hAnsi="Times New Roman"/>
                <w:szCs w:val="21"/>
              </w:rPr>
              <w:t>、内部环境保护审核、例会制度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vAlign w:val="center"/>
          </w:tcPr>
          <w:p>
            <w:pPr>
              <w:pStyle w:val="84"/>
              <w:ind w:left="113" w:right="170"/>
            </w:pPr>
          </w:p>
        </w:tc>
        <w:tc>
          <w:tcPr>
            <w:tcW w:w="6164" w:type="dxa"/>
            <w:vAlign w:val="center"/>
          </w:tcPr>
          <w:p>
            <w:pPr>
              <w:pStyle w:val="84"/>
              <w:ind w:left="113" w:right="170"/>
              <w:jc w:val="both"/>
              <w:rPr>
                <w:rFonts w:hAnsi="Times New Roman"/>
              </w:rPr>
            </w:pPr>
            <w:r>
              <w:rPr>
                <w:rFonts w:hAnsi="Times New Roman" w:eastAsia="TimesNewRomanPSMT"/>
                <w:szCs w:val="21"/>
              </w:rPr>
              <w:t>2</w:t>
            </w:r>
            <w:r>
              <w:rPr>
                <w:rFonts w:hAnsi="Times New Roman"/>
                <w:szCs w:val="21"/>
              </w:rPr>
              <w:t>、环境质量管理目标与指标考核制度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vAlign w:val="center"/>
          </w:tcPr>
          <w:p>
            <w:pPr>
              <w:pStyle w:val="84"/>
              <w:ind w:left="113" w:right="170"/>
            </w:pPr>
          </w:p>
        </w:tc>
        <w:tc>
          <w:tcPr>
            <w:tcW w:w="6164" w:type="dxa"/>
            <w:vAlign w:val="center"/>
          </w:tcPr>
          <w:p>
            <w:pPr>
              <w:pStyle w:val="84"/>
              <w:ind w:left="113" w:right="170"/>
              <w:jc w:val="both"/>
              <w:rPr>
                <w:rFonts w:hAnsi="Times New Roman"/>
              </w:rPr>
            </w:pPr>
            <w:r>
              <w:rPr>
                <w:rFonts w:hAnsi="Times New Roman" w:eastAsia="TimesNewRomanPSMT"/>
                <w:szCs w:val="21"/>
              </w:rPr>
              <w:t>3</w:t>
            </w:r>
            <w:r>
              <w:rPr>
                <w:rFonts w:hAnsi="Times New Roman"/>
                <w:szCs w:val="21"/>
              </w:rPr>
              <w:t>、环境风险管理制度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vAlign w:val="center"/>
          </w:tcPr>
          <w:p>
            <w:pPr>
              <w:pStyle w:val="84"/>
              <w:ind w:left="113" w:right="170"/>
            </w:pPr>
          </w:p>
        </w:tc>
        <w:tc>
          <w:tcPr>
            <w:tcW w:w="6164" w:type="dxa"/>
            <w:vAlign w:val="center"/>
          </w:tcPr>
          <w:p>
            <w:pPr>
              <w:pStyle w:val="84"/>
              <w:ind w:left="113" w:right="170"/>
              <w:jc w:val="both"/>
              <w:rPr>
                <w:rFonts w:hAnsi="Times New Roman"/>
              </w:rPr>
            </w:pPr>
            <w:r>
              <w:rPr>
                <w:rFonts w:hAnsi="Times New Roman" w:eastAsia="TimesNewRomanPSMT"/>
                <w:szCs w:val="21"/>
              </w:rPr>
              <w:t>4</w:t>
            </w:r>
            <w:r>
              <w:rPr>
                <w:rFonts w:hAnsi="Times New Roman"/>
                <w:szCs w:val="21"/>
              </w:rPr>
              <w:t>、内部环境管理监督与检查制度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vAlign w:val="center"/>
          </w:tcPr>
          <w:p>
            <w:pPr>
              <w:pStyle w:val="84"/>
              <w:ind w:left="113" w:right="170"/>
            </w:pPr>
          </w:p>
        </w:tc>
        <w:tc>
          <w:tcPr>
            <w:tcW w:w="6164" w:type="dxa"/>
            <w:vAlign w:val="center"/>
          </w:tcPr>
          <w:p>
            <w:pPr>
              <w:pStyle w:val="84"/>
              <w:ind w:left="113" w:right="170"/>
              <w:jc w:val="both"/>
              <w:rPr>
                <w:rFonts w:hAnsi="Times New Roman"/>
              </w:rPr>
            </w:pPr>
            <w:r>
              <w:rPr>
                <w:rFonts w:hAnsi="Times New Roman" w:eastAsia="TimesNewRomanPSMT"/>
                <w:szCs w:val="21"/>
              </w:rPr>
              <w:t>5</w:t>
            </w:r>
            <w:r>
              <w:rPr>
                <w:rFonts w:hAnsi="Times New Roman"/>
                <w:szCs w:val="21"/>
              </w:rPr>
              <w:t>、环保设施与设备定期检查、保养和维护管理制度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vAlign w:val="center"/>
          </w:tcPr>
          <w:p>
            <w:pPr>
              <w:pStyle w:val="84"/>
              <w:ind w:left="113" w:right="170"/>
            </w:pPr>
          </w:p>
        </w:tc>
        <w:tc>
          <w:tcPr>
            <w:tcW w:w="6164" w:type="dxa"/>
            <w:vAlign w:val="center"/>
          </w:tcPr>
          <w:p>
            <w:pPr>
              <w:pStyle w:val="84"/>
              <w:ind w:left="113" w:right="170"/>
              <w:jc w:val="both"/>
              <w:rPr>
                <w:rFonts w:hAnsi="Times New Roman"/>
              </w:rPr>
            </w:pPr>
            <w:r>
              <w:rPr>
                <w:rFonts w:hAnsi="Times New Roman" w:eastAsia="TimesNewRomanPSMT"/>
                <w:szCs w:val="21"/>
              </w:rPr>
              <w:t>6</w:t>
            </w:r>
            <w:r>
              <w:rPr>
                <w:rFonts w:hAnsi="Times New Roman"/>
                <w:szCs w:val="21"/>
              </w:rPr>
              <w:t>、环境保护定期、不定期监测制度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vAlign w:val="center"/>
          </w:tcPr>
          <w:p>
            <w:pPr>
              <w:pStyle w:val="84"/>
              <w:ind w:left="113" w:right="170"/>
            </w:pPr>
          </w:p>
        </w:tc>
        <w:tc>
          <w:tcPr>
            <w:tcW w:w="6164" w:type="dxa"/>
            <w:vAlign w:val="center"/>
          </w:tcPr>
          <w:p>
            <w:pPr>
              <w:pStyle w:val="84"/>
              <w:ind w:left="113" w:right="170"/>
              <w:jc w:val="both"/>
              <w:rPr>
                <w:rFonts w:hAnsi="Times New Roman"/>
              </w:rPr>
            </w:pPr>
            <w:r>
              <w:rPr>
                <w:rFonts w:hAnsi="Times New Roman" w:eastAsia="TimesNewRomanPSMT"/>
                <w:szCs w:val="21"/>
              </w:rPr>
              <w:t>7</w:t>
            </w:r>
            <w:r>
              <w:rPr>
                <w:rFonts w:hAnsi="Times New Roman"/>
                <w:szCs w:val="21"/>
              </w:rPr>
              <w:t>、环境保护档案管理与环境污染事故管理规定</w:t>
            </w:r>
          </w:p>
        </w:tc>
      </w:tr>
    </w:tbl>
    <w:p>
      <w:pPr>
        <w:pStyle w:val="5"/>
      </w:pPr>
      <w:r>
        <w:rPr>
          <w:rFonts w:hint="eastAsia"/>
        </w:rPr>
        <w:t>环境</w:t>
      </w:r>
      <w:r>
        <w:t>管理措施</w:t>
      </w:r>
    </w:p>
    <w:p>
      <w:pPr>
        <w:pStyle w:val="79"/>
        <w:ind w:firstLine="480"/>
        <w:rPr>
          <w:rFonts w:cs="Times New Roman"/>
        </w:rPr>
      </w:pPr>
      <w:r>
        <w:rPr>
          <w:rFonts w:cs="Times New Roman"/>
        </w:rPr>
        <w:t>（1）运行期环境管理措施</w:t>
      </w:r>
    </w:p>
    <w:p>
      <w:pPr>
        <w:pStyle w:val="79"/>
        <w:ind w:firstLine="480"/>
        <w:rPr>
          <w:rFonts w:cs="Times New Roman"/>
        </w:rPr>
      </w:pPr>
      <w:r>
        <w:rPr>
          <w:rFonts w:hint="eastAsia" w:ascii="宋体" w:hAnsi="宋体" w:cs="宋体"/>
        </w:rPr>
        <w:t>①</w:t>
      </w:r>
      <w:r>
        <w:rPr>
          <w:rFonts w:cs="Times New Roman"/>
        </w:rPr>
        <w:t>企业应</w:t>
      </w:r>
      <w:r>
        <w:rPr>
          <w:rFonts w:hint="eastAsia" w:cs="Times New Roman"/>
        </w:rPr>
        <w:t>指定</w:t>
      </w:r>
      <w:r>
        <w:rPr>
          <w:rFonts w:cs="Times New Roman"/>
        </w:rPr>
        <w:t>专门的环</w:t>
      </w:r>
      <w:r>
        <w:rPr>
          <w:rFonts w:hint="eastAsia" w:cs="Times New Roman"/>
        </w:rPr>
        <w:t>保</w:t>
      </w:r>
      <w:r>
        <w:rPr>
          <w:rFonts w:cs="Times New Roman"/>
        </w:rPr>
        <w:t>专职</w:t>
      </w:r>
      <w:r>
        <w:rPr>
          <w:rFonts w:hint="eastAsia" w:cs="Times New Roman"/>
        </w:rPr>
        <w:t>人员</w:t>
      </w:r>
      <w:r>
        <w:rPr>
          <w:rFonts w:cs="Times New Roman"/>
        </w:rPr>
        <w:t>负责本公司的环境管理工作，</w:t>
      </w:r>
      <w:r>
        <w:rPr>
          <w:rFonts w:hint="eastAsia" w:cs="Times New Roman"/>
        </w:rPr>
        <w:t>并</w:t>
      </w:r>
      <w:r>
        <w:rPr>
          <w:rFonts w:cs="Times New Roman"/>
        </w:rPr>
        <w:t>配合公司领导完成全厂的环境及污染源监测和环境保护管理工作。</w:t>
      </w:r>
    </w:p>
    <w:p>
      <w:pPr>
        <w:pStyle w:val="79"/>
        <w:ind w:firstLine="480"/>
        <w:rPr>
          <w:rFonts w:cs="Times New Roman"/>
        </w:rPr>
      </w:pPr>
      <w:r>
        <w:rPr>
          <w:rFonts w:hint="eastAsia" w:ascii="宋体" w:hAnsi="宋体" w:cs="宋体"/>
        </w:rPr>
        <w:t>②</w:t>
      </w:r>
      <w:r>
        <w:rPr>
          <w:rFonts w:cs="Times New Roman"/>
        </w:rPr>
        <w:t>制定各环保设施操作规程、定期维修制度，使各项环保设施在生产过程中处于良好的工作状态。</w:t>
      </w:r>
    </w:p>
    <w:p>
      <w:pPr>
        <w:pStyle w:val="79"/>
        <w:ind w:firstLine="480"/>
        <w:rPr>
          <w:rFonts w:cs="Times New Roman"/>
        </w:rPr>
      </w:pPr>
      <w:r>
        <w:rPr>
          <w:rFonts w:hint="eastAsia" w:ascii="宋体" w:hAnsi="宋体" w:cs="宋体"/>
        </w:rPr>
        <w:t>③</w:t>
      </w:r>
      <w:r>
        <w:rPr>
          <w:rFonts w:cs="Times New Roman"/>
        </w:rPr>
        <w:t>对技术工种进行上岗前的环保知识法规教育及操作规范的培训。使各项环保设施的操作规范化，保证环保设施的正常运转。</w:t>
      </w:r>
    </w:p>
    <w:p>
      <w:pPr>
        <w:pStyle w:val="79"/>
        <w:ind w:firstLine="480"/>
        <w:rPr>
          <w:rFonts w:cs="Times New Roman"/>
        </w:rPr>
      </w:pPr>
      <w:r>
        <w:rPr>
          <w:rFonts w:hint="eastAsia" w:ascii="宋体" w:hAnsi="宋体" w:cs="宋体"/>
        </w:rPr>
        <w:t>④</w:t>
      </w:r>
      <w:r>
        <w:rPr>
          <w:rFonts w:cs="Times New Roman"/>
        </w:rPr>
        <w:t>对生产过程进行台账管理，包括环保设施运行情况做台账记录、生产信息、运行期间监测污染物种类、浓度、排放去向记录。环保设施出现故障，应立即停产检修，严禁非正常排放。</w:t>
      </w:r>
    </w:p>
    <w:p>
      <w:pPr>
        <w:pStyle w:val="79"/>
        <w:ind w:firstLine="480"/>
        <w:rPr>
          <w:rFonts w:cs="Times New Roman"/>
        </w:rPr>
      </w:pPr>
      <w:r>
        <w:rPr>
          <w:rFonts w:hint="eastAsia" w:ascii="宋体" w:hAnsi="宋体" w:cs="宋体"/>
        </w:rPr>
        <w:t>⑤</w:t>
      </w:r>
      <w:r>
        <w:rPr>
          <w:rFonts w:cs="Times New Roman"/>
        </w:rPr>
        <w:t>加强环境监测工作，重点是各污染源的监测，并注意</w:t>
      </w:r>
      <w:r>
        <w:rPr>
          <w:rFonts w:hint="eastAsia" w:cs="Times New Roman"/>
        </w:rPr>
        <w:t>做</w:t>
      </w:r>
      <w:r>
        <w:rPr>
          <w:rFonts w:cs="Times New Roman"/>
        </w:rPr>
        <w:t>好记录，不得弄虚作假。</w:t>
      </w:r>
    </w:p>
    <w:p>
      <w:pPr>
        <w:pStyle w:val="79"/>
        <w:ind w:firstLine="480"/>
        <w:rPr>
          <w:rFonts w:cs="Times New Roman"/>
        </w:rPr>
      </w:pPr>
      <w:r>
        <w:rPr>
          <w:rFonts w:cs="Times New Roman"/>
        </w:rPr>
        <w:t>监测中如发现异常情况应及时向有关部门通报，及时采取应急措施，防止事故排放。</w:t>
      </w:r>
    </w:p>
    <w:p>
      <w:pPr>
        <w:pStyle w:val="79"/>
        <w:ind w:firstLine="480"/>
        <w:rPr>
          <w:rFonts w:cs="Times New Roman"/>
        </w:rPr>
      </w:pPr>
      <w:r>
        <w:rPr>
          <w:rFonts w:cs="Times New Roman"/>
        </w:rPr>
        <w:t>（3）风险管理</w:t>
      </w:r>
    </w:p>
    <w:p>
      <w:pPr>
        <w:pStyle w:val="79"/>
        <w:ind w:firstLine="480"/>
        <w:rPr>
          <w:rFonts w:cs="Times New Roman"/>
        </w:rPr>
      </w:pPr>
      <w:r>
        <w:rPr>
          <w:rFonts w:cs="Times New Roman"/>
        </w:rPr>
        <w:t>根据本项目的实际生产情况，加强管理。设置火灾自动报警系统，易燃、有毒气体探测仪等。严格执行制定的风险防范措施及应急预案。</w:t>
      </w:r>
    </w:p>
    <w:p>
      <w:pPr>
        <w:pStyle w:val="79"/>
        <w:ind w:firstLine="480"/>
        <w:rPr>
          <w:rFonts w:cs="Times New Roman"/>
        </w:rPr>
      </w:pPr>
      <w:r>
        <w:rPr>
          <w:rFonts w:cs="Times New Roman"/>
        </w:rPr>
        <w:t>（4）建立严格的环境管理奖惩制度</w:t>
      </w:r>
    </w:p>
    <w:p>
      <w:pPr>
        <w:ind w:firstLine="480"/>
      </w:pPr>
      <w:r>
        <w:t>对各车间生产单元、物料运输、贮运、供电、通风等生产组成单位，都要建立严格的环境管理奖惩制度和生产操作规程，严禁违章操作，严防事故发生，对发生事故或者违反生产操作规程，引起污染物超标排放人员要进行惩罚，对做得好的人员要进行奖励</w:t>
      </w:r>
      <w:r>
        <w:rPr>
          <w:rFonts w:hint="eastAsia"/>
        </w:rPr>
        <w:t>。</w:t>
      </w:r>
    </w:p>
    <w:p>
      <w:pPr>
        <w:pStyle w:val="3"/>
      </w:pPr>
      <w:bookmarkStart w:id="291" w:name="_Toc108422259"/>
      <w:r>
        <w:rPr>
          <w:rFonts w:hint="eastAsia"/>
        </w:rPr>
        <w:t>污染物</w:t>
      </w:r>
      <w:r>
        <w:t>排放管理</w:t>
      </w:r>
      <w:bookmarkEnd w:id="291"/>
    </w:p>
    <w:p>
      <w:pPr>
        <w:pStyle w:val="4"/>
      </w:pPr>
      <w:r>
        <w:rPr>
          <w:rFonts w:hint="eastAsia"/>
        </w:rPr>
        <w:t>污染物</w:t>
      </w:r>
      <w:r>
        <w:t>排放清单</w:t>
      </w:r>
    </w:p>
    <w:p>
      <w:pPr>
        <w:ind w:firstLine="480"/>
      </w:pPr>
      <w:r>
        <w:rPr>
          <w:rFonts w:hint="eastAsia"/>
        </w:rPr>
        <w:t>项目</w:t>
      </w:r>
      <w:r>
        <w:t>污染物排放清单</w:t>
      </w:r>
      <w:r>
        <w:rPr>
          <w:rFonts w:hint="eastAsia"/>
        </w:rPr>
        <w:t>见</w:t>
      </w:r>
      <w:r>
        <w:t>表</w:t>
      </w:r>
      <w:r>
        <w:rPr>
          <w:rFonts w:hint="eastAsia"/>
        </w:rPr>
        <w:t>9.2-1。</w:t>
      </w:r>
    </w:p>
    <w:p>
      <w:pPr>
        <w:ind w:firstLine="480"/>
      </w:pPr>
    </w:p>
    <w:p>
      <w:pPr>
        <w:ind w:firstLine="480"/>
      </w:pPr>
    </w:p>
    <w:p>
      <w:pPr>
        <w:ind w:firstLine="480"/>
        <w:sectPr>
          <w:headerReference r:id="rId59" w:type="default"/>
          <w:headerReference r:id="rId60" w:type="even"/>
          <w:type w:val="oddPage"/>
          <w:pgSz w:w="11906" w:h="16838"/>
          <w:pgMar w:top="1440" w:right="1800" w:bottom="1440" w:left="1800" w:header="992" w:footer="992" w:gutter="0"/>
          <w:pgNumType w:fmt="numberInDash"/>
          <w:cols w:space="425" w:num="1"/>
          <w:docGrid w:type="lines" w:linePitch="326" w:charSpace="0"/>
        </w:sectPr>
      </w:pPr>
    </w:p>
    <w:p>
      <w:pPr>
        <w:pStyle w:val="85"/>
        <w:rPr>
          <w:rFonts w:hAnsi="Times New Roman"/>
          <w:szCs w:val="21"/>
        </w:rPr>
      </w:pPr>
      <w:bookmarkStart w:id="292" w:name="_Ref27041924"/>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9.2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292"/>
      <w:r>
        <w:rPr>
          <w:rFonts w:hAnsi="Times New Roman"/>
          <w:szCs w:val="21"/>
        </w:rPr>
        <w:t>污染物排放清单</w:t>
      </w:r>
    </w:p>
    <w:tbl>
      <w:tblPr>
        <w:tblStyle w:val="27"/>
        <w:tblW w:w="139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10"/>
        <w:gridCol w:w="1290"/>
        <w:gridCol w:w="1435"/>
        <w:gridCol w:w="1209"/>
        <w:gridCol w:w="1290"/>
        <w:gridCol w:w="3248"/>
        <w:gridCol w:w="995"/>
        <w:gridCol w:w="3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456" w:type="dxa"/>
            <w:vMerge w:val="restart"/>
            <w:shd w:val="clear" w:color="auto" w:fill="auto"/>
            <w:vAlign w:val="center"/>
          </w:tcPr>
          <w:p>
            <w:pPr>
              <w:pStyle w:val="84"/>
            </w:pPr>
            <w:r>
              <w:t>类别</w:t>
            </w:r>
          </w:p>
        </w:tc>
        <w:tc>
          <w:tcPr>
            <w:tcW w:w="2200" w:type="dxa"/>
            <w:gridSpan w:val="2"/>
            <w:vMerge w:val="restart"/>
            <w:shd w:val="clear" w:color="auto" w:fill="auto"/>
            <w:vAlign w:val="center"/>
          </w:tcPr>
          <w:p>
            <w:pPr>
              <w:pStyle w:val="84"/>
            </w:pPr>
            <w:r>
              <w:t>污染源</w:t>
            </w:r>
          </w:p>
        </w:tc>
        <w:tc>
          <w:tcPr>
            <w:tcW w:w="1435" w:type="dxa"/>
            <w:vMerge w:val="restart"/>
            <w:shd w:val="clear" w:color="auto" w:fill="auto"/>
            <w:vAlign w:val="center"/>
          </w:tcPr>
          <w:p>
            <w:pPr>
              <w:pStyle w:val="84"/>
            </w:pPr>
            <w:r>
              <w:t>污染因子</w:t>
            </w:r>
          </w:p>
        </w:tc>
        <w:tc>
          <w:tcPr>
            <w:tcW w:w="2499" w:type="dxa"/>
            <w:gridSpan w:val="2"/>
            <w:shd w:val="clear" w:color="auto" w:fill="auto"/>
            <w:vAlign w:val="center"/>
          </w:tcPr>
          <w:p>
            <w:pPr>
              <w:pStyle w:val="84"/>
            </w:pPr>
            <w:r>
              <w:t>排放情况</w:t>
            </w:r>
          </w:p>
        </w:tc>
        <w:tc>
          <w:tcPr>
            <w:tcW w:w="3248" w:type="dxa"/>
            <w:vMerge w:val="restart"/>
            <w:shd w:val="clear" w:color="auto" w:fill="auto"/>
            <w:vAlign w:val="center"/>
          </w:tcPr>
          <w:p>
            <w:pPr>
              <w:pStyle w:val="84"/>
            </w:pPr>
            <w:r>
              <w:t>治理措施</w:t>
            </w:r>
          </w:p>
        </w:tc>
        <w:tc>
          <w:tcPr>
            <w:tcW w:w="995" w:type="dxa"/>
            <w:vMerge w:val="restart"/>
            <w:shd w:val="clear" w:color="auto" w:fill="auto"/>
            <w:vAlign w:val="center"/>
          </w:tcPr>
          <w:p>
            <w:pPr>
              <w:pStyle w:val="84"/>
            </w:pPr>
            <w:r>
              <w:t>处理效率</w:t>
            </w:r>
          </w:p>
        </w:tc>
        <w:tc>
          <w:tcPr>
            <w:tcW w:w="3095" w:type="dxa"/>
            <w:vMerge w:val="restart"/>
            <w:shd w:val="clear" w:color="auto" w:fill="auto"/>
            <w:vAlign w:val="center"/>
          </w:tcPr>
          <w:p>
            <w:pPr>
              <w:pStyle w:val="84"/>
            </w:pPr>
            <w:r>
              <w:t>预期目标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continue"/>
            <w:shd w:val="clear" w:color="auto" w:fill="auto"/>
            <w:vAlign w:val="center"/>
          </w:tcPr>
          <w:p>
            <w:pPr>
              <w:pStyle w:val="84"/>
            </w:pPr>
          </w:p>
        </w:tc>
        <w:tc>
          <w:tcPr>
            <w:tcW w:w="1435" w:type="dxa"/>
            <w:vMerge w:val="continue"/>
            <w:shd w:val="clear" w:color="auto" w:fill="auto"/>
            <w:vAlign w:val="center"/>
          </w:tcPr>
          <w:p>
            <w:pPr>
              <w:pStyle w:val="84"/>
            </w:pPr>
          </w:p>
        </w:tc>
        <w:tc>
          <w:tcPr>
            <w:tcW w:w="1209" w:type="dxa"/>
            <w:shd w:val="clear" w:color="auto" w:fill="auto"/>
            <w:vAlign w:val="center"/>
          </w:tcPr>
          <w:p>
            <w:pPr>
              <w:pStyle w:val="84"/>
            </w:pPr>
            <w:r>
              <w:t>浓度</w:t>
            </w:r>
          </w:p>
        </w:tc>
        <w:tc>
          <w:tcPr>
            <w:tcW w:w="1290" w:type="dxa"/>
            <w:shd w:val="clear" w:color="auto" w:fill="auto"/>
            <w:vAlign w:val="center"/>
          </w:tcPr>
          <w:p>
            <w:pPr>
              <w:pStyle w:val="84"/>
            </w:pPr>
            <w:r>
              <w:t>排放量</w:t>
            </w:r>
          </w:p>
          <w:p>
            <w:pPr>
              <w:pStyle w:val="84"/>
            </w:pPr>
            <w:r>
              <w:t>（t/a）</w:t>
            </w:r>
          </w:p>
        </w:tc>
        <w:tc>
          <w:tcPr>
            <w:tcW w:w="3248" w:type="dxa"/>
            <w:vMerge w:val="continue"/>
            <w:shd w:val="clear" w:color="auto" w:fill="auto"/>
            <w:vAlign w:val="center"/>
          </w:tcPr>
          <w:p>
            <w:pPr>
              <w:pStyle w:val="84"/>
            </w:pPr>
          </w:p>
        </w:tc>
        <w:tc>
          <w:tcPr>
            <w:tcW w:w="995" w:type="dxa"/>
            <w:vMerge w:val="continue"/>
            <w:shd w:val="clear" w:color="auto" w:fill="auto"/>
            <w:vAlign w:val="center"/>
          </w:tcPr>
          <w:p>
            <w:pPr>
              <w:pStyle w:val="84"/>
            </w:pP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restart"/>
            <w:shd w:val="clear" w:color="auto" w:fill="auto"/>
            <w:vAlign w:val="center"/>
          </w:tcPr>
          <w:p>
            <w:pPr>
              <w:pStyle w:val="84"/>
            </w:pPr>
            <w:r>
              <w:t>废气</w:t>
            </w:r>
          </w:p>
        </w:tc>
        <w:tc>
          <w:tcPr>
            <w:tcW w:w="2200" w:type="dxa"/>
            <w:gridSpan w:val="2"/>
            <w:vMerge w:val="restart"/>
            <w:shd w:val="clear" w:color="auto" w:fill="auto"/>
            <w:vAlign w:val="center"/>
          </w:tcPr>
          <w:p>
            <w:pPr>
              <w:pStyle w:val="84"/>
            </w:pPr>
            <w:r>
              <w:rPr>
                <w:rFonts w:hint="eastAsia"/>
              </w:rPr>
              <w:t>猪</w:t>
            </w:r>
            <w:r>
              <w:t>舍</w:t>
            </w:r>
          </w:p>
        </w:tc>
        <w:tc>
          <w:tcPr>
            <w:tcW w:w="1435" w:type="dxa"/>
            <w:shd w:val="clear" w:color="auto" w:fill="auto"/>
            <w:vAlign w:val="center"/>
          </w:tcPr>
          <w:p>
            <w:pPr>
              <w:pStyle w:val="84"/>
              <w:rPr>
                <w:rFonts w:hAnsi="Times New Roman"/>
              </w:rPr>
            </w:pPr>
            <w:r>
              <w:rPr>
                <w:rFonts w:hint="eastAsia" w:hAnsi="Times New Roman"/>
              </w:rPr>
              <w:t>NH</w:t>
            </w:r>
            <w:r>
              <w:rPr>
                <w:rFonts w:hint="eastAsia" w:hAnsi="Times New Roman"/>
                <w:vertAlign w:val="subscript"/>
              </w:rPr>
              <w:t>3</w:t>
            </w:r>
          </w:p>
        </w:tc>
        <w:tc>
          <w:tcPr>
            <w:tcW w:w="1209" w:type="dxa"/>
            <w:shd w:val="clear" w:color="auto" w:fill="auto"/>
            <w:vAlign w:val="center"/>
          </w:tcPr>
          <w:p>
            <w:pPr>
              <w:pStyle w:val="84"/>
            </w:pPr>
            <w:r>
              <w:rPr>
                <w:rFonts w:hint="eastAsia"/>
              </w:rPr>
              <w:t>/</w:t>
            </w:r>
          </w:p>
        </w:tc>
        <w:tc>
          <w:tcPr>
            <w:tcW w:w="1290" w:type="dxa"/>
            <w:shd w:val="clear" w:color="auto" w:fill="auto"/>
            <w:vAlign w:val="center"/>
          </w:tcPr>
          <w:p>
            <w:pPr>
              <w:pStyle w:val="89"/>
              <w:ind w:left="115" w:right="170"/>
            </w:pPr>
            <w:r>
              <w:t xml:space="preserve">0.039t/a </w:t>
            </w:r>
          </w:p>
        </w:tc>
        <w:tc>
          <w:tcPr>
            <w:tcW w:w="3248" w:type="dxa"/>
            <w:vMerge w:val="restart"/>
            <w:shd w:val="clear" w:color="auto" w:fill="auto"/>
            <w:vAlign w:val="center"/>
          </w:tcPr>
          <w:p>
            <w:pPr>
              <w:pStyle w:val="84"/>
            </w:pPr>
            <w:r>
              <w:rPr>
                <w:rFonts w:hint="eastAsia"/>
              </w:rPr>
              <w:t>优化养殖，饲料中添加抑制剂，干清粪工艺，喷洒除臭剂，加强通风</w:t>
            </w:r>
          </w:p>
        </w:tc>
        <w:tc>
          <w:tcPr>
            <w:tcW w:w="995" w:type="dxa"/>
            <w:shd w:val="clear" w:color="auto" w:fill="auto"/>
            <w:vAlign w:val="center"/>
          </w:tcPr>
          <w:p>
            <w:pPr>
              <w:pStyle w:val="89"/>
            </w:pPr>
            <w:r>
              <w:t>90%</w:t>
            </w:r>
          </w:p>
        </w:tc>
        <w:tc>
          <w:tcPr>
            <w:tcW w:w="3095" w:type="dxa"/>
            <w:vMerge w:val="restart"/>
            <w:shd w:val="clear" w:color="auto" w:fill="auto"/>
            <w:vAlign w:val="center"/>
          </w:tcPr>
          <w:p>
            <w:pPr>
              <w:pStyle w:val="84"/>
            </w:pPr>
            <w:r>
              <w:rPr>
                <w:rFonts w:hint="eastAsia"/>
              </w:rPr>
              <w:t>《恶臭污染物排放标准（</w:t>
            </w:r>
            <w:r>
              <w:t>GB14554-93</w:t>
            </w:r>
            <w:r>
              <w:rPr>
                <w:rFonts w:hint="eastAsia"/>
              </w:rPr>
              <w:t>）及《畜禽养殖业污染物排放标准》（</w:t>
            </w:r>
            <w:r>
              <w:t>GB18596-2001</w:t>
            </w:r>
            <w:r>
              <w:rPr>
                <w:rFonts w:hint="eastAsia"/>
              </w:rPr>
              <w:t>）</w:t>
            </w:r>
          </w:p>
          <w:p>
            <w:pPr>
              <w:pStyle w:val="84"/>
              <w:jc w:val="both"/>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continue"/>
            <w:shd w:val="clear" w:color="auto" w:fill="auto"/>
            <w:vAlign w:val="center"/>
          </w:tcPr>
          <w:p>
            <w:pPr>
              <w:pStyle w:val="84"/>
            </w:pPr>
          </w:p>
        </w:tc>
        <w:tc>
          <w:tcPr>
            <w:tcW w:w="1435" w:type="dxa"/>
            <w:shd w:val="clear" w:color="auto" w:fill="auto"/>
            <w:vAlign w:val="center"/>
          </w:tcPr>
          <w:p>
            <w:pPr>
              <w:pStyle w:val="84"/>
              <w:rPr>
                <w:rFonts w:hAnsi="Times New Roman"/>
              </w:rPr>
            </w:pPr>
            <w:r>
              <w:rPr>
                <w:rFonts w:hint="eastAsia" w:hAnsi="Times New Roman"/>
              </w:rPr>
              <w:t>H</w:t>
            </w:r>
            <w:r>
              <w:rPr>
                <w:rFonts w:hint="eastAsia" w:hAnsi="Times New Roman"/>
                <w:vertAlign w:val="subscript"/>
              </w:rPr>
              <w:t>2</w:t>
            </w:r>
            <w:r>
              <w:rPr>
                <w:rFonts w:hint="eastAsia" w:hAnsi="Times New Roman"/>
              </w:rPr>
              <w:t>S</w:t>
            </w:r>
          </w:p>
        </w:tc>
        <w:tc>
          <w:tcPr>
            <w:tcW w:w="1209" w:type="dxa"/>
            <w:shd w:val="clear" w:color="auto" w:fill="auto"/>
            <w:vAlign w:val="center"/>
          </w:tcPr>
          <w:p>
            <w:pPr>
              <w:pStyle w:val="84"/>
            </w:pPr>
            <w:r>
              <w:rPr>
                <w:rFonts w:hint="eastAsia"/>
              </w:rPr>
              <w:t>/</w:t>
            </w:r>
          </w:p>
        </w:tc>
        <w:tc>
          <w:tcPr>
            <w:tcW w:w="1290" w:type="dxa"/>
            <w:shd w:val="clear" w:color="auto" w:fill="auto"/>
            <w:vAlign w:val="center"/>
          </w:tcPr>
          <w:p>
            <w:pPr>
              <w:pStyle w:val="89"/>
              <w:ind w:left="115" w:right="170"/>
            </w:pPr>
            <w:r>
              <w:rPr>
                <w:rFonts w:hAnsi="宋体"/>
              </w:rPr>
              <w:t>0.006</w:t>
            </w:r>
            <w:r>
              <w:t xml:space="preserve">t/a </w:t>
            </w:r>
          </w:p>
        </w:tc>
        <w:tc>
          <w:tcPr>
            <w:tcW w:w="3248" w:type="dxa"/>
            <w:vMerge w:val="continue"/>
            <w:shd w:val="clear" w:color="auto" w:fill="auto"/>
            <w:vAlign w:val="center"/>
          </w:tcPr>
          <w:p>
            <w:pPr>
              <w:pStyle w:val="84"/>
            </w:pPr>
          </w:p>
        </w:tc>
        <w:tc>
          <w:tcPr>
            <w:tcW w:w="995" w:type="dxa"/>
            <w:shd w:val="clear" w:color="auto" w:fill="auto"/>
            <w:vAlign w:val="center"/>
          </w:tcPr>
          <w:p>
            <w:pPr>
              <w:pStyle w:val="89"/>
            </w:pPr>
            <w:r>
              <w:t>90%</w:t>
            </w: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restart"/>
            <w:shd w:val="clear" w:color="auto" w:fill="auto"/>
            <w:vAlign w:val="center"/>
          </w:tcPr>
          <w:p>
            <w:pPr>
              <w:pStyle w:val="84"/>
              <w:rPr>
                <w:highlight w:val="yellow"/>
              </w:rPr>
            </w:pPr>
            <w:r>
              <w:rPr>
                <w:rFonts w:hint="eastAsia"/>
              </w:rPr>
              <w:t>堆粪区</w:t>
            </w:r>
          </w:p>
        </w:tc>
        <w:tc>
          <w:tcPr>
            <w:tcW w:w="1435" w:type="dxa"/>
            <w:shd w:val="clear" w:color="auto" w:fill="auto"/>
            <w:vAlign w:val="center"/>
          </w:tcPr>
          <w:p>
            <w:pPr>
              <w:pStyle w:val="84"/>
              <w:rPr>
                <w:rFonts w:hAnsi="Times New Roman"/>
              </w:rPr>
            </w:pPr>
            <w:r>
              <w:rPr>
                <w:rFonts w:hint="eastAsia" w:hAnsi="Times New Roman"/>
              </w:rPr>
              <w:t>NH</w:t>
            </w:r>
            <w:r>
              <w:rPr>
                <w:rFonts w:hint="eastAsia" w:hAnsi="Times New Roman"/>
                <w:vertAlign w:val="subscript"/>
              </w:rPr>
              <w:t>3</w:t>
            </w:r>
          </w:p>
        </w:tc>
        <w:tc>
          <w:tcPr>
            <w:tcW w:w="1209" w:type="dxa"/>
            <w:shd w:val="clear" w:color="auto" w:fill="auto"/>
            <w:vAlign w:val="center"/>
          </w:tcPr>
          <w:p>
            <w:pPr>
              <w:pStyle w:val="84"/>
            </w:pPr>
            <w:r>
              <w:t>/</w:t>
            </w:r>
          </w:p>
        </w:tc>
        <w:tc>
          <w:tcPr>
            <w:tcW w:w="1290" w:type="dxa"/>
            <w:shd w:val="clear" w:color="auto" w:fill="auto"/>
            <w:vAlign w:val="center"/>
          </w:tcPr>
          <w:p>
            <w:pPr>
              <w:autoSpaceDE w:val="0"/>
              <w:autoSpaceDN w:val="0"/>
              <w:spacing w:line="280" w:lineRule="exact"/>
              <w:ind w:firstLine="0" w:firstLineChars="0"/>
              <w:jc w:val="center"/>
              <w:rPr>
                <w:kern w:val="0"/>
                <w:sz w:val="21"/>
                <w:szCs w:val="21"/>
              </w:rPr>
            </w:pPr>
            <w:r>
              <w:rPr>
                <w:kern w:val="0"/>
                <w:sz w:val="21"/>
                <w:szCs w:val="21"/>
              </w:rPr>
              <w:t>0.023</w:t>
            </w:r>
            <w:r>
              <w:rPr>
                <w:rFonts w:hint="eastAsia"/>
                <w:kern w:val="0"/>
                <w:sz w:val="21"/>
                <w:szCs w:val="21"/>
              </w:rPr>
              <w:t>t</w:t>
            </w:r>
            <w:r>
              <w:rPr>
                <w:kern w:val="0"/>
                <w:sz w:val="21"/>
                <w:szCs w:val="21"/>
              </w:rPr>
              <w:t>/</w:t>
            </w:r>
            <w:r>
              <w:rPr>
                <w:rFonts w:hint="eastAsia"/>
                <w:kern w:val="0"/>
                <w:sz w:val="21"/>
                <w:szCs w:val="21"/>
              </w:rPr>
              <w:t>a</w:t>
            </w:r>
          </w:p>
        </w:tc>
        <w:tc>
          <w:tcPr>
            <w:tcW w:w="3248" w:type="dxa"/>
            <w:vMerge w:val="restart"/>
            <w:shd w:val="clear" w:color="auto" w:fill="auto"/>
            <w:vAlign w:val="center"/>
          </w:tcPr>
          <w:p>
            <w:pPr>
              <w:pStyle w:val="89"/>
              <w:rPr>
                <w:highlight w:val="yellow"/>
              </w:rPr>
            </w:pPr>
            <w:r>
              <w:rPr>
                <w:rFonts w:hint="eastAsia"/>
                <w:szCs w:val="21"/>
              </w:rPr>
              <w:t>干</w:t>
            </w:r>
            <w:r>
              <w:rPr>
                <w:szCs w:val="21"/>
              </w:rPr>
              <w:t>清粪，</w:t>
            </w:r>
            <w:r>
              <w:rPr>
                <w:rFonts w:hint="eastAsia"/>
                <w:szCs w:val="21"/>
              </w:rPr>
              <w:t>设置</w:t>
            </w:r>
            <w:r>
              <w:rPr>
                <w:szCs w:val="21"/>
              </w:rPr>
              <w:t>堆粪棚，</w:t>
            </w:r>
            <w:r>
              <w:rPr>
                <w:rFonts w:hint="eastAsia"/>
                <w:szCs w:val="21"/>
              </w:rPr>
              <w:t>喷洒植物性除臭剂，及时清运</w:t>
            </w:r>
            <w:r>
              <w:rPr>
                <w:szCs w:val="21"/>
              </w:rPr>
              <w:t>，</w:t>
            </w:r>
          </w:p>
        </w:tc>
        <w:tc>
          <w:tcPr>
            <w:tcW w:w="995" w:type="dxa"/>
            <w:shd w:val="clear" w:color="auto" w:fill="auto"/>
            <w:vAlign w:val="center"/>
          </w:tcPr>
          <w:p>
            <w:pPr>
              <w:pStyle w:val="89"/>
            </w:pPr>
            <w:r>
              <w:t>85%</w:t>
            </w: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continue"/>
            <w:shd w:val="clear" w:color="auto" w:fill="auto"/>
            <w:vAlign w:val="center"/>
          </w:tcPr>
          <w:p>
            <w:pPr>
              <w:pStyle w:val="84"/>
              <w:rPr>
                <w:highlight w:val="yellow"/>
              </w:rPr>
            </w:pPr>
          </w:p>
        </w:tc>
        <w:tc>
          <w:tcPr>
            <w:tcW w:w="1435" w:type="dxa"/>
            <w:shd w:val="clear" w:color="auto" w:fill="auto"/>
            <w:vAlign w:val="center"/>
          </w:tcPr>
          <w:p>
            <w:pPr>
              <w:pStyle w:val="84"/>
              <w:rPr>
                <w:rFonts w:hAnsi="Times New Roman"/>
              </w:rPr>
            </w:pPr>
            <w:r>
              <w:rPr>
                <w:rFonts w:hint="eastAsia" w:hAnsi="Times New Roman"/>
              </w:rPr>
              <w:t>H</w:t>
            </w:r>
            <w:r>
              <w:rPr>
                <w:rFonts w:hint="eastAsia" w:hAnsi="Times New Roman"/>
                <w:vertAlign w:val="subscript"/>
              </w:rPr>
              <w:t>2</w:t>
            </w:r>
            <w:r>
              <w:rPr>
                <w:rFonts w:hint="eastAsia" w:hAnsi="Times New Roman"/>
              </w:rPr>
              <w:t>S</w:t>
            </w:r>
          </w:p>
        </w:tc>
        <w:tc>
          <w:tcPr>
            <w:tcW w:w="1209" w:type="dxa"/>
            <w:shd w:val="clear" w:color="auto" w:fill="auto"/>
            <w:vAlign w:val="center"/>
          </w:tcPr>
          <w:p>
            <w:pPr>
              <w:pStyle w:val="84"/>
            </w:pPr>
            <w:r>
              <w:t>/</w:t>
            </w:r>
          </w:p>
        </w:tc>
        <w:tc>
          <w:tcPr>
            <w:tcW w:w="1290" w:type="dxa"/>
            <w:shd w:val="clear" w:color="auto" w:fill="auto"/>
            <w:vAlign w:val="center"/>
          </w:tcPr>
          <w:p>
            <w:pPr>
              <w:autoSpaceDE w:val="0"/>
              <w:autoSpaceDN w:val="0"/>
              <w:spacing w:line="280" w:lineRule="exact"/>
              <w:ind w:firstLine="0" w:firstLineChars="0"/>
              <w:jc w:val="center"/>
              <w:rPr>
                <w:kern w:val="0"/>
                <w:sz w:val="21"/>
                <w:szCs w:val="21"/>
              </w:rPr>
            </w:pPr>
            <w:r>
              <w:rPr>
                <w:rFonts w:hint="eastAsia"/>
                <w:kern w:val="0"/>
                <w:sz w:val="21"/>
                <w:szCs w:val="21"/>
              </w:rPr>
              <w:t>0</w:t>
            </w:r>
            <w:r>
              <w:rPr>
                <w:kern w:val="0"/>
                <w:sz w:val="21"/>
                <w:szCs w:val="21"/>
              </w:rPr>
              <w:t>.001</w:t>
            </w:r>
            <w:r>
              <w:rPr>
                <w:rFonts w:hint="eastAsia"/>
                <w:kern w:val="0"/>
                <w:sz w:val="21"/>
                <w:szCs w:val="21"/>
              </w:rPr>
              <w:t>t</w:t>
            </w:r>
            <w:r>
              <w:rPr>
                <w:kern w:val="0"/>
                <w:sz w:val="21"/>
                <w:szCs w:val="21"/>
              </w:rPr>
              <w:t>/</w:t>
            </w:r>
            <w:r>
              <w:rPr>
                <w:rFonts w:hint="eastAsia"/>
                <w:kern w:val="0"/>
                <w:sz w:val="21"/>
                <w:szCs w:val="21"/>
              </w:rPr>
              <w:t>a</w:t>
            </w:r>
          </w:p>
        </w:tc>
        <w:tc>
          <w:tcPr>
            <w:tcW w:w="3248" w:type="dxa"/>
            <w:vMerge w:val="continue"/>
            <w:shd w:val="clear" w:color="auto" w:fill="auto"/>
            <w:vAlign w:val="center"/>
          </w:tcPr>
          <w:p>
            <w:pPr>
              <w:pStyle w:val="84"/>
              <w:rPr>
                <w:highlight w:val="yellow"/>
              </w:rPr>
            </w:pPr>
          </w:p>
        </w:tc>
        <w:tc>
          <w:tcPr>
            <w:tcW w:w="995" w:type="dxa"/>
            <w:shd w:val="clear" w:color="auto" w:fill="auto"/>
            <w:vAlign w:val="center"/>
          </w:tcPr>
          <w:p>
            <w:pPr>
              <w:pStyle w:val="89"/>
            </w:pPr>
            <w:r>
              <w:t>85%</w:t>
            </w: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restart"/>
            <w:shd w:val="clear" w:color="auto" w:fill="auto"/>
            <w:vAlign w:val="center"/>
          </w:tcPr>
          <w:p>
            <w:pPr>
              <w:pStyle w:val="84"/>
            </w:pPr>
            <w:r>
              <w:rPr>
                <w:rFonts w:hint="eastAsia"/>
              </w:rPr>
              <w:t>污水</w:t>
            </w:r>
            <w:r>
              <w:t>处理区</w:t>
            </w:r>
          </w:p>
        </w:tc>
        <w:tc>
          <w:tcPr>
            <w:tcW w:w="1435" w:type="dxa"/>
            <w:shd w:val="clear" w:color="auto" w:fill="auto"/>
            <w:vAlign w:val="center"/>
          </w:tcPr>
          <w:p>
            <w:pPr>
              <w:pStyle w:val="84"/>
              <w:rPr>
                <w:rFonts w:hAnsi="Times New Roman"/>
              </w:rPr>
            </w:pPr>
            <w:r>
              <w:rPr>
                <w:rFonts w:hint="eastAsia" w:hAnsi="Times New Roman"/>
              </w:rPr>
              <w:t>NH</w:t>
            </w:r>
            <w:r>
              <w:rPr>
                <w:rFonts w:hint="eastAsia" w:hAnsi="Times New Roman"/>
                <w:vertAlign w:val="subscript"/>
              </w:rPr>
              <w:t>3</w:t>
            </w:r>
          </w:p>
        </w:tc>
        <w:tc>
          <w:tcPr>
            <w:tcW w:w="1209" w:type="dxa"/>
            <w:shd w:val="clear" w:color="auto" w:fill="auto"/>
            <w:vAlign w:val="center"/>
          </w:tcPr>
          <w:p>
            <w:pPr>
              <w:pStyle w:val="84"/>
            </w:pPr>
            <w:r>
              <w:rPr>
                <w:rFonts w:hint="eastAsia"/>
              </w:rPr>
              <w:t>/</w:t>
            </w:r>
          </w:p>
        </w:tc>
        <w:tc>
          <w:tcPr>
            <w:tcW w:w="1290" w:type="dxa"/>
            <w:shd w:val="clear" w:color="auto" w:fill="auto"/>
            <w:vAlign w:val="center"/>
          </w:tcPr>
          <w:p>
            <w:pPr>
              <w:autoSpaceDE w:val="0"/>
              <w:autoSpaceDN w:val="0"/>
              <w:spacing w:line="280" w:lineRule="exact"/>
              <w:ind w:firstLine="0" w:firstLineChars="0"/>
              <w:jc w:val="center"/>
              <w:rPr>
                <w:kern w:val="0"/>
                <w:sz w:val="21"/>
                <w:szCs w:val="21"/>
              </w:rPr>
            </w:pPr>
            <w:r>
              <w:rPr>
                <w:kern w:val="0"/>
                <w:sz w:val="21"/>
                <w:szCs w:val="21"/>
              </w:rPr>
              <w:t>0.003</w:t>
            </w:r>
            <w:r>
              <w:rPr>
                <w:rFonts w:hint="eastAsia"/>
                <w:kern w:val="0"/>
                <w:sz w:val="21"/>
                <w:szCs w:val="21"/>
              </w:rPr>
              <w:t>t</w:t>
            </w:r>
            <w:r>
              <w:rPr>
                <w:kern w:val="0"/>
                <w:sz w:val="21"/>
                <w:szCs w:val="21"/>
              </w:rPr>
              <w:t>/</w:t>
            </w:r>
            <w:r>
              <w:rPr>
                <w:rFonts w:hint="eastAsia"/>
                <w:kern w:val="0"/>
                <w:sz w:val="21"/>
                <w:szCs w:val="21"/>
              </w:rPr>
              <w:t>a</w:t>
            </w:r>
          </w:p>
        </w:tc>
        <w:tc>
          <w:tcPr>
            <w:tcW w:w="3248" w:type="dxa"/>
            <w:vMerge w:val="restart"/>
            <w:shd w:val="clear" w:color="auto" w:fill="auto"/>
            <w:vAlign w:val="center"/>
          </w:tcPr>
          <w:p>
            <w:pPr>
              <w:pStyle w:val="89"/>
            </w:pPr>
            <w:r>
              <w:rPr>
                <w:rFonts w:hint="eastAsia"/>
              </w:rPr>
              <w:t>池体加盖</w:t>
            </w:r>
            <w:r>
              <w:t>密闭，喷洒除臭剂</w:t>
            </w:r>
          </w:p>
        </w:tc>
        <w:tc>
          <w:tcPr>
            <w:tcW w:w="995" w:type="dxa"/>
            <w:shd w:val="clear" w:color="auto" w:fill="auto"/>
            <w:vAlign w:val="center"/>
          </w:tcPr>
          <w:p>
            <w:pPr>
              <w:pStyle w:val="89"/>
            </w:pPr>
            <w:r>
              <w:t>85%</w:t>
            </w: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continue"/>
            <w:shd w:val="clear" w:color="auto" w:fill="auto"/>
            <w:vAlign w:val="center"/>
          </w:tcPr>
          <w:p>
            <w:pPr>
              <w:pStyle w:val="84"/>
            </w:pPr>
          </w:p>
        </w:tc>
        <w:tc>
          <w:tcPr>
            <w:tcW w:w="1435" w:type="dxa"/>
            <w:shd w:val="clear" w:color="auto" w:fill="auto"/>
            <w:vAlign w:val="center"/>
          </w:tcPr>
          <w:p>
            <w:pPr>
              <w:pStyle w:val="84"/>
              <w:rPr>
                <w:rFonts w:hAnsi="Times New Roman"/>
              </w:rPr>
            </w:pPr>
            <w:r>
              <w:rPr>
                <w:rFonts w:hint="eastAsia" w:hAnsi="Times New Roman"/>
              </w:rPr>
              <w:t>H</w:t>
            </w:r>
            <w:r>
              <w:rPr>
                <w:rFonts w:hint="eastAsia" w:hAnsi="Times New Roman"/>
                <w:vertAlign w:val="subscript"/>
              </w:rPr>
              <w:t>2</w:t>
            </w:r>
            <w:r>
              <w:rPr>
                <w:rFonts w:hint="eastAsia" w:hAnsi="Times New Roman"/>
              </w:rPr>
              <w:t>S</w:t>
            </w:r>
          </w:p>
        </w:tc>
        <w:tc>
          <w:tcPr>
            <w:tcW w:w="1209" w:type="dxa"/>
            <w:shd w:val="clear" w:color="auto" w:fill="auto"/>
            <w:vAlign w:val="center"/>
          </w:tcPr>
          <w:p>
            <w:pPr>
              <w:pStyle w:val="84"/>
            </w:pPr>
            <w:r>
              <w:rPr>
                <w:rFonts w:hint="eastAsia"/>
              </w:rPr>
              <w:t>/</w:t>
            </w:r>
          </w:p>
        </w:tc>
        <w:tc>
          <w:tcPr>
            <w:tcW w:w="1290" w:type="dxa"/>
            <w:shd w:val="clear" w:color="auto" w:fill="auto"/>
            <w:vAlign w:val="center"/>
          </w:tcPr>
          <w:p>
            <w:pPr>
              <w:autoSpaceDE w:val="0"/>
              <w:autoSpaceDN w:val="0"/>
              <w:spacing w:line="280" w:lineRule="exact"/>
              <w:ind w:firstLine="0" w:firstLineChars="0"/>
              <w:jc w:val="center"/>
              <w:rPr>
                <w:kern w:val="0"/>
                <w:sz w:val="21"/>
                <w:szCs w:val="21"/>
              </w:rPr>
            </w:pPr>
            <w:r>
              <w:rPr>
                <w:rFonts w:hint="eastAsia"/>
                <w:kern w:val="0"/>
                <w:sz w:val="21"/>
                <w:szCs w:val="21"/>
              </w:rPr>
              <w:t>0</w:t>
            </w:r>
            <w:r>
              <w:rPr>
                <w:kern w:val="0"/>
                <w:sz w:val="21"/>
                <w:szCs w:val="21"/>
              </w:rPr>
              <w:t>.00001</w:t>
            </w:r>
            <w:r>
              <w:rPr>
                <w:rFonts w:hint="eastAsia"/>
                <w:kern w:val="0"/>
                <w:sz w:val="21"/>
                <w:szCs w:val="21"/>
              </w:rPr>
              <w:t>t</w:t>
            </w:r>
            <w:r>
              <w:rPr>
                <w:kern w:val="0"/>
                <w:sz w:val="21"/>
                <w:szCs w:val="21"/>
              </w:rPr>
              <w:t>/</w:t>
            </w:r>
            <w:r>
              <w:rPr>
                <w:rFonts w:hint="eastAsia"/>
                <w:kern w:val="0"/>
                <w:sz w:val="21"/>
                <w:szCs w:val="21"/>
              </w:rPr>
              <w:t>a</w:t>
            </w:r>
          </w:p>
        </w:tc>
        <w:tc>
          <w:tcPr>
            <w:tcW w:w="3248" w:type="dxa"/>
            <w:vMerge w:val="continue"/>
            <w:shd w:val="clear" w:color="auto" w:fill="auto"/>
            <w:vAlign w:val="center"/>
          </w:tcPr>
          <w:p>
            <w:pPr>
              <w:pStyle w:val="84"/>
            </w:pPr>
          </w:p>
        </w:tc>
        <w:tc>
          <w:tcPr>
            <w:tcW w:w="995" w:type="dxa"/>
            <w:shd w:val="clear" w:color="auto" w:fill="auto"/>
            <w:vAlign w:val="center"/>
          </w:tcPr>
          <w:p>
            <w:pPr>
              <w:pStyle w:val="89"/>
            </w:pPr>
            <w:r>
              <w:t>85%</w:t>
            </w: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restart"/>
            <w:shd w:val="clear" w:color="auto" w:fill="auto"/>
            <w:vAlign w:val="center"/>
          </w:tcPr>
          <w:p>
            <w:pPr>
              <w:pStyle w:val="84"/>
              <w:rPr>
                <w:highlight w:val="yellow"/>
              </w:rPr>
            </w:pPr>
            <w:r>
              <w:rPr>
                <w:rFonts w:hint="eastAsia"/>
              </w:rPr>
              <w:t>沼气</w:t>
            </w:r>
            <w:r>
              <w:t>火炬燃烧</w:t>
            </w:r>
          </w:p>
        </w:tc>
        <w:tc>
          <w:tcPr>
            <w:tcW w:w="1435" w:type="dxa"/>
            <w:shd w:val="clear" w:color="auto" w:fill="auto"/>
            <w:vAlign w:val="center"/>
          </w:tcPr>
          <w:p>
            <w:pPr>
              <w:pStyle w:val="89"/>
            </w:pPr>
            <w:r>
              <w:rPr>
                <w:rFonts w:hint="eastAsia"/>
              </w:rPr>
              <w:t>颗粒物</w:t>
            </w:r>
          </w:p>
        </w:tc>
        <w:tc>
          <w:tcPr>
            <w:tcW w:w="1209" w:type="dxa"/>
            <w:shd w:val="clear" w:color="auto" w:fill="auto"/>
            <w:vAlign w:val="center"/>
          </w:tcPr>
          <w:p>
            <w:pPr>
              <w:pStyle w:val="89"/>
            </w:pPr>
            <w:r>
              <w:rPr>
                <w:rFonts w:hint="eastAsia"/>
              </w:rPr>
              <w:t>26.54</w:t>
            </w:r>
          </w:p>
        </w:tc>
        <w:tc>
          <w:tcPr>
            <w:tcW w:w="1290" w:type="dxa"/>
            <w:shd w:val="clear" w:color="auto" w:fill="auto"/>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0.001t/a</w:t>
            </w:r>
          </w:p>
        </w:tc>
        <w:tc>
          <w:tcPr>
            <w:tcW w:w="3248" w:type="dxa"/>
            <w:vMerge w:val="restart"/>
            <w:shd w:val="clear" w:color="auto" w:fill="auto"/>
            <w:vAlign w:val="center"/>
          </w:tcPr>
          <w:p>
            <w:pPr>
              <w:pStyle w:val="89"/>
            </w:pPr>
            <w:r>
              <w:rPr>
                <w:rFonts w:hint="eastAsia"/>
              </w:rPr>
              <w:t>沼气干燥</w:t>
            </w:r>
            <w:r>
              <w:t>脱离装置，不低于</w:t>
            </w:r>
            <w:r>
              <w:rPr>
                <w:rFonts w:hint="eastAsia"/>
              </w:rPr>
              <w:t>8</w:t>
            </w:r>
            <w:r>
              <w:t>m高排气筒</w:t>
            </w:r>
            <w:r>
              <w:rPr>
                <w:rFonts w:hint="eastAsia"/>
              </w:rPr>
              <w:t>排放</w:t>
            </w:r>
          </w:p>
        </w:tc>
        <w:tc>
          <w:tcPr>
            <w:tcW w:w="995" w:type="dxa"/>
            <w:shd w:val="clear" w:color="auto" w:fill="auto"/>
            <w:vAlign w:val="center"/>
          </w:tcPr>
          <w:p>
            <w:pPr>
              <w:pStyle w:val="89"/>
            </w:pPr>
            <w:r>
              <w:rPr>
                <w:rFonts w:hint="eastAsia"/>
              </w:rPr>
              <w:t>/</w:t>
            </w:r>
          </w:p>
        </w:tc>
        <w:tc>
          <w:tcPr>
            <w:tcW w:w="3095" w:type="dxa"/>
            <w:vMerge w:val="restart"/>
            <w:shd w:val="clear" w:color="auto" w:fill="auto"/>
            <w:vAlign w:val="center"/>
          </w:tcPr>
          <w:p>
            <w:pPr>
              <w:pStyle w:val="84"/>
            </w:pPr>
            <w:r>
              <w:rPr>
                <w:rFonts w:hint="eastAsia"/>
              </w:rPr>
              <w:t>《大气</w:t>
            </w:r>
            <w:r>
              <w:t>污染物综合排放标准</w:t>
            </w:r>
            <w:r>
              <w:rPr>
                <w:rFonts w:hint="eastAsia"/>
              </w:rPr>
              <w:t>》（GB16297-1996）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continue"/>
            <w:shd w:val="clear" w:color="auto" w:fill="auto"/>
            <w:vAlign w:val="center"/>
          </w:tcPr>
          <w:p>
            <w:pPr>
              <w:pStyle w:val="84"/>
              <w:rPr>
                <w:highlight w:val="yellow"/>
              </w:rPr>
            </w:pPr>
          </w:p>
        </w:tc>
        <w:tc>
          <w:tcPr>
            <w:tcW w:w="1435" w:type="dxa"/>
            <w:shd w:val="clear" w:color="auto" w:fill="auto"/>
            <w:vAlign w:val="center"/>
          </w:tcPr>
          <w:p>
            <w:pPr>
              <w:pStyle w:val="89"/>
            </w:pPr>
            <w:r>
              <w:rPr>
                <w:rFonts w:hint="eastAsia"/>
              </w:rPr>
              <w:t>SO</w:t>
            </w:r>
            <w:r>
              <w:rPr>
                <w:rFonts w:hint="eastAsia"/>
                <w:vertAlign w:val="subscript"/>
              </w:rPr>
              <w:t>2</w:t>
            </w:r>
          </w:p>
        </w:tc>
        <w:tc>
          <w:tcPr>
            <w:tcW w:w="1209" w:type="dxa"/>
            <w:shd w:val="clear" w:color="auto" w:fill="auto"/>
            <w:vAlign w:val="center"/>
          </w:tcPr>
          <w:p>
            <w:pPr>
              <w:pStyle w:val="89"/>
            </w:pPr>
            <w:r>
              <w:rPr>
                <w:rFonts w:hint="eastAsia"/>
              </w:rPr>
              <w:t>3.71</w:t>
            </w:r>
          </w:p>
        </w:tc>
        <w:tc>
          <w:tcPr>
            <w:tcW w:w="1290" w:type="dxa"/>
            <w:shd w:val="clear" w:color="auto" w:fill="auto"/>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0.0002t/a</w:t>
            </w:r>
          </w:p>
        </w:tc>
        <w:tc>
          <w:tcPr>
            <w:tcW w:w="3248" w:type="dxa"/>
            <w:vMerge w:val="continue"/>
            <w:shd w:val="clear" w:color="auto" w:fill="auto"/>
            <w:vAlign w:val="center"/>
          </w:tcPr>
          <w:p>
            <w:pPr>
              <w:pStyle w:val="84"/>
            </w:pPr>
          </w:p>
        </w:tc>
        <w:tc>
          <w:tcPr>
            <w:tcW w:w="995" w:type="dxa"/>
            <w:shd w:val="clear" w:color="auto" w:fill="auto"/>
            <w:vAlign w:val="center"/>
          </w:tcPr>
          <w:p>
            <w:pPr>
              <w:pStyle w:val="89"/>
            </w:pPr>
            <w:r>
              <w:rPr>
                <w:rFonts w:hint="eastAsia"/>
              </w:rPr>
              <w:t>/</w:t>
            </w: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vMerge w:val="continue"/>
            <w:shd w:val="clear" w:color="auto" w:fill="auto"/>
            <w:vAlign w:val="center"/>
          </w:tcPr>
          <w:p>
            <w:pPr>
              <w:pStyle w:val="84"/>
              <w:rPr>
                <w:highlight w:val="yellow"/>
              </w:rPr>
            </w:pPr>
          </w:p>
        </w:tc>
        <w:tc>
          <w:tcPr>
            <w:tcW w:w="1435" w:type="dxa"/>
            <w:shd w:val="clear" w:color="auto" w:fill="auto"/>
            <w:vAlign w:val="center"/>
          </w:tcPr>
          <w:p>
            <w:pPr>
              <w:pStyle w:val="89"/>
            </w:pPr>
            <w:r>
              <w:rPr>
                <w:rFonts w:hint="eastAsia"/>
              </w:rPr>
              <w:t>NOx</w:t>
            </w:r>
          </w:p>
        </w:tc>
        <w:tc>
          <w:tcPr>
            <w:tcW w:w="1209" w:type="dxa"/>
            <w:shd w:val="clear" w:color="auto" w:fill="auto"/>
            <w:vAlign w:val="center"/>
          </w:tcPr>
          <w:p>
            <w:pPr>
              <w:pStyle w:val="84"/>
              <w:rPr>
                <w:highlight w:val="yellow"/>
              </w:rPr>
            </w:pPr>
            <w:r>
              <w:rPr>
                <w:rFonts w:hint="eastAsia"/>
              </w:rPr>
              <w:t>173.64</w:t>
            </w:r>
          </w:p>
        </w:tc>
        <w:tc>
          <w:tcPr>
            <w:tcW w:w="1290" w:type="dxa"/>
            <w:shd w:val="clear" w:color="auto" w:fill="auto"/>
            <w:vAlign w:val="center"/>
          </w:tcPr>
          <w:p>
            <w:pPr>
              <w:autoSpaceDE w:val="0"/>
              <w:autoSpaceDN w:val="0"/>
              <w:adjustRightInd/>
              <w:snapToGrid/>
              <w:spacing w:line="240" w:lineRule="exact"/>
              <w:ind w:firstLine="0" w:firstLineChars="0"/>
              <w:jc w:val="center"/>
              <w:rPr>
                <w:kern w:val="0"/>
                <w:sz w:val="21"/>
                <w:szCs w:val="21"/>
                <w:highlight w:val="yellow"/>
              </w:rPr>
            </w:pPr>
            <w:r>
              <w:rPr>
                <w:kern w:val="0"/>
                <w:sz w:val="21"/>
                <w:szCs w:val="21"/>
              </w:rPr>
              <w:t>0.009t/a</w:t>
            </w:r>
          </w:p>
        </w:tc>
        <w:tc>
          <w:tcPr>
            <w:tcW w:w="3248" w:type="dxa"/>
            <w:vMerge w:val="continue"/>
            <w:shd w:val="clear" w:color="auto" w:fill="auto"/>
            <w:vAlign w:val="center"/>
          </w:tcPr>
          <w:p>
            <w:pPr>
              <w:pStyle w:val="84"/>
            </w:pPr>
          </w:p>
        </w:tc>
        <w:tc>
          <w:tcPr>
            <w:tcW w:w="995" w:type="dxa"/>
            <w:shd w:val="clear" w:color="auto" w:fill="auto"/>
            <w:vAlign w:val="center"/>
          </w:tcPr>
          <w:p>
            <w:pPr>
              <w:pStyle w:val="89"/>
            </w:pPr>
            <w:r>
              <w:rPr>
                <w:rFonts w:hint="eastAsia"/>
              </w:rPr>
              <w:t>/</w:t>
            </w: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2200" w:type="dxa"/>
            <w:gridSpan w:val="2"/>
            <w:shd w:val="clear" w:color="auto" w:fill="auto"/>
            <w:vAlign w:val="center"/>
          </w:tcPr>
          <w:p>
            <w:pPr>
              <w:pStyle w:val="84"/>
            </w:pPr>
            <w:r>
              <w:rPr>
                <w:rFonts w:hint="eastAsia"/>
              </w:rPr>
              <w:t>食堂</w:t>
            </w:r>
          </w:p>
        </w:tc>
        <w:tc>
          <w:tcPr>
            <w:tcW w:w="1435" w:type="dxa"/>
            <w:shd w:val="clear" w:color="auto" w:fill="auto"/>
            <w:vAlign w:val="center"/>
          </w:tcPr>
          <w:p>
            <w:pPr>
              <w:pStyle w:val="89"/>
            </w:pPr>
            <w:r>
              <w:rPr>
                <w:rFonts w:hint="eastAsia"/>
              </w:rPr>
              <w:t>油烟</w:t>
            </w:r>
          </w:p>
        </w:tc>
        <w:tc>
          <w:tcPr>
            <w:tcW w:w="1209" w:type="dxa"/>
            <w:shd w:val="clear" w:color="auto" w:fill="auto"/>
            <w:vAlign w:val="center"/>
          </w:tcPr>
          <w:p>
            <w:pPr>
              <w:pStyle w:val="89"/>
            </w:pPr>
            <w:r>
              <w:rPr>
                <w:rFonts w:hint="eastAsia"/>
              </w:rPr>
              <w:t>1.13mg/m</w:t>
            </w:r>
            <w:r>
              <w:rPr>
                <w:rFonts w:hint="eastAsia"/>
                <w:vertAlign w:val="superscript"/>
              </w:rPr>
              <w:t>3</w:t>
            </w:r>
          </w:p>
        </w:tc>
        <w:tc>
          <w:tcPr>
            <w:tcW w:w="1290" w:type="dxa"/>
            <w:shd w:val="clear" w:color="auto" w:fill="auto"/>
            <w:vAlign w:val="center"/>
          </w:tcPr>
          <w:p>
            <w:pPr>
              <w:pStyle w:val="89"/>
            </w:pPr>
            <w:r>
              <w:t>2.48kg/a</w:t>
            </w:r>
          </w:p>
        </w:tc>
        <w:tc>
          <w:tcPr>
            <w:tcW w:w="3248" w:type="dxa"/>
            <w:shd w:val="clear" w:color="auto" w:fill="auto"/>
            <w:vAlign w:val="center"/>
          </w:tcPr>
          <w:p>
            <w:pPr>
              <w:pStyle w:val="84"/>
            </w:pPr>
            <w:r>
              <w:rPr>
                <w:rFonts w:hint="eastAsia"/>
              </w:rPr>
              <w:t>油烟净化器</w:t>
            </w:r>
          </w:p>
        </w:tc>
        <w:tc>
          <w:tcPr>
            <w:tcW w:w="995" w:type="dxa"/>
            <w:shd w:val="clear" w:color="auto" w:fill="auto"/>
            <w:vAlign w:val="center"/>
          </w:tcPr>
          <w:p>
            <w:pPr>
              <w:pStyle w:val="84"/>
            </w:pPr>
            <w:r>
              <w:rPr>
                <w:rFonts w:hint="eastAsia"/>
              </w:rPr>
              <w:t>/</w:t>
            </w:r>
          </w:p>
        </w:tc>
        <w:tc>
          <w:tcPr>
            <w:tcW w:w="3095" w:type="dxa"/>
            <w:shd w:val="clear" w:color="auto" w:fill="auto"/>
            <w:vAlign w:val="center"/>
          </w:tcPr>
          <w:p>
            <w:pPr>
              <w:pStyle w:val="84"/>
            </w:pPr>
            <w:r>
              <w:rPr>
                <w:rFonts w:hint="eastAsia"/>
              </w:rPr>
              <w:t>《</w:t>
            </w:r>
            <w:r>
              <w:t>饮食业油烟排放标准</w:t>
            </w:r>
            <w:r>
              <w:rPr>
                <w:rFonts w:hint="eastAsia"/>
              </w:rPr>
              <w:t>》（</w:t>
            </w:r>
            <w:r>
              <w:t>GB18483-2001</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shd w:val="clear" w:color="auto" w:fill="auto"/>
            <w:vAlign w:val="center"/>
          </w:tcPr>
          <w:p>
            <w:pPr>
              <w:pStyle w:val="84"/>
            </w:pPr>
            <w:r>
              <w:t>废水</w:t>
            </w:r>
          </w:p>
        </w:tc>
        <w:tc>
          <w:tcPr>
            <w:tcW w:w="2200" w:type="dxa"/>
            <w:gridSpan w:val="2"/>
            <w:shd w:val="clear" w:color="auto" w:fill="auto"/>
            <w:vAlign w:val="center"/>
          </w:tcPr>
          <w:p>
            <w:pPr>
              <w:pStyle w:val="84"/>
            </w:pPr>
            <w:r>
              <w:rPr>
                <w:rFonts w:hint="eastAsia"/>
              </w:rPr>
              <w:t>养殖</w:t>
            </w:r>
            <w:r>
              <w:t>废水、生活</w:t>
            </w:r>
            <w:r>
              <w:rPr>
                <w:rFonts w:hint="eastAsia"/>
              </w:rPr>
              <w:t>污水</w:t>
            </w:r>
          </w:p>
        </w:tc>
        <w:tc>
          <w:tcPr>
            <w:tcW w:w="1435" w:type="dxa"/>
            <w:shd w:val="clear" w:color="auto" w:fill="auto"/>
            <w:vAlign w:val="center"/>
          </w:tcPr>
          <w:p>
            <w:pPr>
              <w:pStyle w:val="84"/>
            </w:pPr>
            <w:r>
              <w:t>COD、BOD</w:t>
            </w:r>
            <w:r>
              <w:rPr>
                <w:vertAlign w:val="subscript"/>
              </w:rPr>
              <w:t>5</w:t>
            </w:r>
            <w:r>
              <w:t>、SS、NH</w:t>
            </w:r>
            <w:r>
              <w:rPr>
                <w:vertAlign w:val="subscript"/>
              </w:rPr>
              <w:t>3</w:t>
            </w:r>
            <w:r>
              <w:t>-N</w:t>
            </w:r>
          </w:p>
        </w:tc>
        <w:tc>
          <w:tcPr>
            <w:tcW w:w="1209" w:type="dxa"/>
            <w:shd w:val="clear" w:color="auto" w:fill="auto"/>
            <w:vAlign w:val="center"/>
          </w:tcPr>
          <w:p>
            <w:pPr>
              <w:pStyle w:val="84"/>
            </w:pPr>
            <w:r>
              <w:t>/</w:t>
            </w:r>
          </w:p>
        </w:tc>
        <w:tc>
          <w:tcPr>
            <w:tcW w:w="1290" w:type="dxa"/>
            <w:shd w:val="clear" w:color="auto" w:fill="auto"/>
            <w:vAlign w:val="center"/>
          </w:tcPr>
          <w:p>
            <w:pPr>
              <w:pStyle w:val="84"/>
            </w:pPr>
            <w:r>
              <w:t>0.0</w:t>
            </w:r>
          </w:p>
        </w:tc>
        <w:tc>
          <w:tcPr>
            <w:tcW w:w="3248" w:type="dxa"/>
            <w:shd w:val="clear" w:color="auto" w:fill="auto"/>
            <w:vAlign w:val="center"/>
          </w:tcPr>
          <w:p>
            <w:pPr>
              <w:pStyle w:val="84"/>
            </w:pPr>
            <w:r>
              <w:rPr>
                <w:rFonts w:hint="eastAsia"/>
              </w:rPr>
              <w:t>生活污水经化粪池预处理后排入污水处理系统处理，污水处理系统采用“集</w:t>
            </w:r>
            <w:r>
              <w:t>粪池</w:t>
            </w:r>
            <w:r>
              <w:rPr>
                <w:rFonts w:hint="eastAsia"/>
              </w:rPr>
              <w:t>+固液</w:t>
            </w:r>
            <w:r>
              <w:t>分离</w:t>
            </w:r>
            <w:r>
              <w:rPr>
                <w:rFonts w:hint="eastAsia"/>
              </w:rPr>
              <w:t>+厌氧</w:t>
            </w:r>
            <w:r>
              <w:t>发酵池处理</w:t>
            </w:r>
            <w:r>
              <w:rPr>
                <w:rFonts w:hint="eastAsia"/>
              </w:rPr>
              <w:t>”工艺</w:t>
            </w:r>
          </w:p>
        </w:tc>
        <w:tc>
          <w:tcPr>
            <w:tcW w:w="995" w:type="dxa"/>
            <w:shd w:val="clear" w:color="auto" w:fill="auto"/>
            <w:vAlign w:val="center"/>
          </w:tcPr>
          <w:p>
            <w:pPr>
              <w:pStyle w:val="84"/>
            </w:pPr>
            <w:r>
              <w:t>100%</w:t>
            </w:r>
          </w:p>
        </w:tc>
        <w:tc>
          <w:tcPr>
            <w:tcW w:w="3095" w:type="dxa"/>
            <w:shd w:val="clear" w:color="auto" w:fill="auto"/>
            <w:vAlign w:val="center"/>
          </w:tcPr>
          <w:p>
            <w:pPr>
              <w:pStyle w:val="84"/>
            </w:pPr>
            <w:r>
              <w:rPr>
                <w:rFonts w:hint="eastAsia"/>
              </w:rPr>
              <w:t>废水处理后全部用做</w:t>
            </w:r>
            <w:r>
              <w:t>农肥</w:t>
            </w:r>
            <w:r>
              <w:rPr>
                <w:rFonts w:hint="eastAsia"/>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restart"/>
            <w:shd w:val="clear" w:color="auto" w:fill="auto"/>
            <w:vAlign w:val="center"/>
          </w:tcPr>
          <w:p>
            <w:pPr>
              <w:pStyle w:val="84"/>
            </w:pPr>
            <w:r>
              <w:t>固废</w:t>
            </w:r>
          </w:p>
          <w:p>
            <w:pPr>
              <w:pStyle w:val="84"/>
            </w:pPr>
          </w:p>
        </w:tc>
        <w:tc>
          <w:tcPr>
            <w:tcW w:w="910" w:type="dxa"/>
            <w:vMerge w:val="restart"/>
            <w:shd w:val="clear" w:color="auto" w:fill="auto"/>
            <w:vAlign w:val="center"/>
          </w:tcPr>
          <w:p>
            <w:pPr>
              <w:pStyle w:val="84"/>
              <w:rPr>
                <w:spacing w:val="-4"/>
              </w:rPr>
            </w:pPr>
            <w:r>
              <w:rPr>
                <w:spacing w:val="-4"/>
              </w:rPr>
              <w:t>一般工业固废</w:t>
            </w:r>
          </w:p>
        </w:tc>
        <w:tc>
          <w:tcPr>
            <w:tcW w:w="2725" w:type="dxa"/>
            <w:gridSpan w:val="2"/>
            <w:shd w:val="clear" w:color="auto" w:fill="auto"/>
            <w:vAlign w:val="center"/>
          </w:tcPr>
          <w:p>
            <w:pPr>
              <w:pStyle w:val="84"/>
            </w:pPr>
            <w:r>
              <w:rPr>
                <w:rFonts w:hint="eastAsia"/>
              </w:rPr>
              <w:t>生活垃圾</w:t>
            </w:r>
          </w:p>
        </w:tc>
        <w:tc>
          <w:tcPr>
            <w:tcW w:w="1209" w:type="dxa"/>
            <w:shd w:val="clear" w:color="auto" w:fill="auto"/>
            <w:vAlign w:val="center"/>
          </w:tcPr>
          <w:p>
            <w:pPr>
              <w:pStyle w:val="84"/>
            </w:pPr>
            <w:r>
              <w:t>/</w:t>
            </w:r>
          </w:p>
        </w:tc>
        <w:tc>
          <w:tcPr>
            <w:tcW w:w="1290" w:type="dxa"/>
            <w:shd w:val="clear" w:color="auto" w:fill="auto"/>
            <w:vAlign w:val="center"/>
          </w:tcPr>
          <w:p>
            <w:pPr>
              <w:pStyle w:val="84"/>
            </w:pPr>
            <w:r>
              <w:rPr>
                <w:rFonts w:hint="eastAsia"/>
              </w:rPr>
              <w:t>0</w:t>
            </w:r>
          </w:p>
        </w:tc>
        <w:tc>
          <w:tcPr>
            <w:tcW w:w="3248" w:type="dxa"/>
            <w:shd w:val="clear" w:color="auto" w:fill="auto"/>
            <w:vAlign w:val="center"/>
          </w:tcPr>
          <w:p>
            <w:pPr>
              <w:pStyle w:val="84"/>
              <w:rPr>
                <w:spacing w:val="-4"/>
              </w:rPr>
            </w:pPr>
            <w:r>
              <w:t>由环卫部门统一清运</w:t>
            </w:r>
          </w:p>
        </w:tc>
        <w:tc>
          <w:tcPr>
            <w:tcW w:w="995" w:type="dxa"/>
            <w:vMerge w:val="restart"/>
            <w:shd w:val="clear" w:color="auto" w:fill="auto"/>
            <w:vAlign w:val="center"/>
          </w:tcPr>
          <w:p>
            <w:pPr>
              <w:pStyle w:val="84"/>
            </w:pPr>
            <w:r>
              <w:t>100%</w:t>
            </w:r>
          </w:p>
        </w:tc>
        <w:tc>
          <w:tcPr>
            <w:tcW w:w="3095" w:type="dxa"/>
            <w:shd w:val="clear" w:color="auto" w:fill="auto"/>
            <w:vAlign w:val="center"/>
          </w:tcPr>
          <w:p>
            <w:pPr>
              <w:pStyle w:val="84"/>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910" w:type="dxa"/>
            <w:vMerge w:val="continue"/>
            <w:shd w:val="clear" w:color="auto" w:fill="auto"/>
            <w:vAlign w:val="center"/>
          </w:tcPr>
          <w:p>
            <w:pPr>
              <w:pStyle w:val="84"/>
              <w:rPr>
                <w:spacing w:val="-4"/>
              </w:rPr>
            </w:pPr>
          </w:p>
        </w:tc>
        <w:tc>
          <w:tcPr>
            <w:tcW w:w="2725" w:type="dxa"/>
            <w:gridSpan w:val="2"/>
            <w:shd w:val="clear" w:color="auto" w:fill="auto"/>
            <w:vAlign w:val="center"/>
          </w:tcPr>
          <w:p>
            <w:pPr>
              <w:pStyle w:val="84"/>
            </w:pPr>
            <w:r>
              <w:rPr>
                <w:rFonts w:hint="eastAsia"/>
              </w:rPr>
              <w:t>病死猪</w:t>
            </w:r>
          </w:p>
        </w:tc>
        <w:tc>
          <w:tcPr>
            <w:tcW w:w="1209" w:type="dxa"/>
            <w:shd w:val="clear" w:color="auto" w:fill="auto"/>
            <w:vAlign w:val="center"/>
          </w:tcPr>
          <w:p>
            <w:pPr>
              <w:pStyle w:val="84"/>
            </w:pPr>
          </w:p>
        </w:tc>
        <w:tc>
          <w:tcPr>
            <w:tcW w:w="1290" w:type="dxa"/>
            <w:shd w:val="clear" w:color="auto" w:fill="auto"/>
            <w:vAlign w:val="center"/>
          </w:tcPr>
          <w:p>
            <w:pPr>
              <w:pStyle w:val="84"/>
            </w:pPr>
            <w:r>
              <w:rPr>
                <w:rFonts w:hint="eastAsia"/>
              </w:rPr>
              <w:t>0</w:t>
            </w:r>
          </w:p>
        </w:tc>
        <w:tc>
          <w:tcPr>
            <w:tcW w:w="3248"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设置</w:t>
            </w:r>
            <w:r>
              <w:rPr>
                <w:sz w:val="21"/>
                <w:szCs w:val="21"/>
              </w:rPr>
              <w:t>安全填埋井，</w:t>
            </w:r>
            <w:r>
              <w:rPr>
                <w:rFonts w:hint="eastAsia"/>
                <w:sz w:val="21"/>
                <w:szCs w:val="21"/>
              </w:rPr>
              <w:t>在</w:t>
            </w:r>
            <w:r>
              <w:rPr>
                <w:sz w:val="21"/>
                <w:szCs w:val="21"/>
              </w:rPr>
              <w:t>场内安全填埋</w:t>
            </w:r>
          </w:p>
        </w:tc>
        <w:tc>
          <w:tcPr>
            <w:tcW w:w="995" w:type="dxa"/>
            <w:vMerge w:val="continue"/>
            <w:shd w:val="clear" w:color="auto" w:fill="auto"/>
            <w:vAlign w:val="center"/>
          </w:tcPr>
          <w:p>
            <w:pPr>
              <w:pStyle w:val="84"/>
            </w:pPr>
          </w:p>
        </w:tc>
        <w:tc>
          <w:tcPr>
            <w:tcW w:w="3095" w:type="dxa"/>
            <w:vMerge w:val="restart"/>
            <w:shd w:val="clear" w:color="auto" w:fill="auto"/>
            <w:vAlign w:val="center"/>
          </w:tcPr>
          <w:p>
            <w:pPr>
              <w:pStyle w:val="84"/>
            </w:pPr>
            <w:r>
              <w:t>《一般工业固体废物贮存和填埋污染控制标准》（GB18599-2020）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910" w:type="dxa"/>
            <w:vMerge w:val="continue"/>
            <w:shd w:val="clear" w:color="auto" w:fill="auto"/>
            <w:vAlign w:val="center"/>
          </w:tcPr>
          <w:p>
            <w:pPr>
              <w:pStyle w:val="84"/>
              <w:rPr>
                <w:spacing w:val="-4"/>
              </w:rPr>
            </w:pPr>
          </w:p>
        </w:tc>
        <w:tc>
          <w:tcPr>
            <w:tcW w:w="2725" w:type="dxa"/>
            <w:gridSpan w:val="2"/>
            <w:shd w:val="clear" w:color="auto" w:fill="auto"/>
            <w:vAlign w:val="center"/>
          </w:tcPr>
          <w:p>
            <w:pPr>
              <w:spacing w:line="240" w:lineRule="auto"/>
              <w:ind w:firstLine="0" w:firstLineChars="0"/>
              <w:jc w:val="center"/>
              <w:rPr>
                <w:sz w:val="21"/>
                <w:szCs w:val="21"/>
              </w:rPr>
            </w:pPr>
            <w:r>
              <w:rPr>
                <w:sz w:val="21"/>
                <w:szCs w:val="21"/>
              </w:rPr>
              <w:t>分娩胎衣废物</w:t>
            </w:r>
          </w:p>
        </w:tc>
        <w:tc>
          <w:tcPr>
            <w:tcW w:w="1209" w:type="dxa"/>
            <w:shd w:val="clear" w:color="auto" w:fill="auto"/>
            <w:vAlign w:val="center"/>
          </w:tcPr>
          <w:p>
            <w:pPr>
              <w:pStyle w:val="84"/>
            </w:pPr>
            <w:r>
              <w:t>/</w:t>
            </w:r>
          </w:p>
        </w:tc>
        <w:tc>
          <w:tcPr>
            <w:tcW w:w="1290" w:type="dxa"/>
            <w:shd w:val="clear" w:color="auto" w:fill="auto"/>
            <w:vAlign w:val="center"/>
          </w:tcPr>
          <w:p>
            <w:pPr>
              <w:pStyle w:val="84"/>
            </w:pPr>
            <w:r>
              <w:rPr>
                <w:rFonts w:hint="eastAsia"/>
              </w:rPr>
              <w:t>0</w:t>
            </w:r>
          </w:p>
        </w:tc>
        <w:tc>
          <w:tcPr>
            <w:tcW w:w="3248" w:type="dxa"/>
            <w:vMerge w:val="continue"/>
            <w:shd w:val="clear" w:color="auto" w:fill="auto"/>
            <w:vAlign w:val="center"/>
          </w:tcPr>
          <w:p>
            <w:pPr>
              <w:pStyle w:val="84"/>
              <w:rPr>
                <w:spacing w:val="-4"/>
              </w:rPr>
            </w:pPr>
          </w:p>
        </w:tc>
        <w:tc>
          <w:tcPr>
            <w:tcW w:w="995" w:type="dxa"/>
            <w:vMerge w:val="continue"/>
            <w:shd w:val="clear" w:color="auto" w:fill="auto"/>
            <w:vAlign w:val="center"/>
          </w:tcPr>
          <w:p>
            <w:pPr>
              <w:pStyle w:val="84"/>
            </w:pP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910" w:type="dxa"/>
            <w:vMerge w:val="continue"/>
            <w:shd w:val="clear" w:color="auto" w:fill="auto"/>
            <w:vAlign w:val="center"/>
          </w:tcPr>
          <w:p>
            <w:pPr>
              <w:pStyle w:val="84"/>
              <w:rPr>
                <w:spacing w:val="-4"/>
              </w:rPr>
            </w:pPr>
          </w:p>
        </w:tc>
        <w:tc>
          <w:tcPr>
            <w:tcW w:w="2725" w:type="dxa"/>
            <w:gridSpan w:val="2"/>
            <w:shd w:val="clear" w:color="auto" w:fill="auto"/>
            <w:vAlign w:val="center"/>
          </w:tcPr>
          <w:p>
            <w:pPr>
              <w:spacing w:line="240" w:lineRule="auto"/>
              <w:ind w:firstLine="0" w:firstLineChars="0"/>
              <w:jc w:val="center"/>
              <w:rPr>
                <w:sz w:val="21"/>
                <w:szCs w:val="21"/>
              </w:rPr>
            </w:pPr>
            <w:r>
              <w:rPr>
                <w:rFonts w:hint="eastAsia"/>
                <w:sz w:val="21"/>
                <w:szCs w:val="21"/>
              </w:rPr>
              <w:t>猪粪</w:t>
            </w:r>
          </w:p>
        </w:tc>
        <w:tc>
          <w:tcPr>
            <w:tcW w:w="1209" w:type="dxa"/>
            <w:shd w:val="clear" w:color="auto" w:fill="auto"/>
            <w:vAlign w:val="center"/>
          </w:tcPr>
          <w:p>
            <w:pPr>
              <w:pStyle w:val="84"/>
            </w:pPr>
            <w:r>
              <w:t>/</w:t>
            </w:r>
          </w:p>
        </w:tc>
        <w:tc>
          <w:tcPr>
            <w:tcW w:w="1290" w:type="dxa"/>
            <w:shd w:val="clear" w:color="auto" w:fill="auto"/>
            <w:vAlign w:val="center"/>
          </w:tcPr>
          <w:p>
            <w:pPr>
              <w:pStyle w:val="84"/>
            </w:pPr>
            <w:r>
              <w:rPr>
                <w:rFonts w:hint="eastAsia"/>
              </w:rPr>
              <w:t>0</w:t>
            </w:r>
          </w:p>
        </w:tc>
        <w:tc>
          <w:tcPr>
            <w:tcW w:w="3248" w:type="dxa"/>
            <w:shd w:val="clear" w:color="auto" w:fill="auto"/>
            <w:vAlign w:val="center"/>
          </w:tcPr>
          <w:p>
            <w:pPr>
              <w:spacing w:line="240" w:lineRule="auto"/>
              <w:ind w:firstLine="0" w:firstLineChars="0"/>
              <w:jc w:val="center"/>
              <w:rPr>
                <w:sz w:val="21"/>
                <w:szCs w:val="21"/>
                <w:highlight w:val="yellow"/>
              </w:rPr>
            </w:pPr>
            <w:r>
              <w:rPr>
                <w:rFonts w:hint="eastAsia"/>
                <w:sz w:val="21"/>
                <w:szCs w:val="21"/>
              </w:rPr>
              <w:t>采用</w:t>
            </w:r>
            <w:r>
              <w:rPr>
                <w:sz w:val="21"/>
                <w:szCs w:val="21"/>
              </w:rPr>
              <w:t>干清粪工艺，分离</w:t>
            </w:r>
            <w:r>
              <w:rPr>
                <w:rFonts w:hint="eastAsia"/>
                <w:sz w:val="21"/>
                <w:szCs w:val="21"/>
              </w:rPr>
              <w:t>率</w:t>
            </w:r>
            <w:r>
              <w:rPr>
                <w:sz w:val="21"/>
                <w:szCs w:val="21"/>
              </w:rPr>
              <w:t>80%</w:t>
            </w:r>
            <w:r>
              <w:rPr>
                <w:rFonts w:hint="eastAsia"/>
                <w:sz w:val="21"/>
                <w:szCs w:val="21"/>
              </w:rPr>
              <w:t>外售</w:t>
            </w:r>
            <w:r>
              <w:rPr>
                <w:sz w:val="21"/>
                <w:szCs w:val="21"/>
              </w:rPr>
              <w:t>有机肥厂生产有机肥，20%进入</w:t>
            </w:r>
            <w:r>
              <w:rPr>
                <w:rFonts w:hint="eastAsia"/>
                <w:sz w:val="21"/>
                <w:szCs w:val="21"/>
              </w:rPr>
              <w:t>厌氧反应池</w:t>
            </w:r>
          </w:p>
        </w:tc>
        <w:tc>
          <w:tcPr>
            <w:tcW w:w="995" w:type="dxa"/>
            <w:vMerge w:val="continue"/>
            <w:shd w:val="clear" w:color="auto" w:fill="auto"/>
            <w:vAlign w:val="center"/>
          </w:tcPr>
          <w:p>
            <w:pPr>
              <w:pStyle w:val="84"/>
            </w:pP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456" w:type="dxa"/>
            <w:vMerge w:val="continue"/>
            <w:shd w:val="clear" w:color="auto" w:fill="auto"/>
            <w:vAlign w:val="center"/>
          </w:tcPr>
          <w:p>
            <w:pPr>
              <w:pStyle w:val="84"/>
            </w:pPr>
          </w:p>
        </w:tc>
        <w:tc>
          <w:tcPr>
            <w:tcW w:w="910" w:type="dxa"/>
            <w:vMerge w:val="continue"/>
            <w:shd w:val="clear" w:color="auto" w:fill="auto"/>
            <w:vAlign w:val="center"/>
          </w:tcPr>
          <w:p>
            <w:pPr>
              <w:pStyle w:val="84"/>
              <w:rPr>
                <w:spacing w:val="-4"/>
              </w:rPr>
            </w:pPr>
          </w:p>
        </w:tc>
        <w:tc>
          <w:tcPr>
            <w:tcW w:w="2725" w:type="dxa"/>
            <w:gridSpan w:val="2"/>
            <w:shd w:val="clear" w:color="auto" w:fill="auto"/>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废脱硫剂</w:t>
            </w:r>
          </w:p>
        </w:tc>
        <w:tc>
          <w:tcPr>
            <w:tcW w:w="1209" w:type="dxa"/>
            <w:shd w:val="clear" w:color="auto" w:fill="auto"/>
            <w:vAlign w:val="center"/>
          </w:tcPr>
          <w:p>
            <w:pPr>
              <w:pStyle w:val="84"/>
            </w:pPr>
            <w:r>
              <w:rPr>
                <w:rFonts w:hint="eastAsia"/>
              </w:rPr>
              <w:t>/</w:t>
            </w:r>
          </w:p>
        </w:tc>
        <w:tc>
          <w:tcPr>
            <w:tcW w:w="1290" w:type="dxa"/>
            <w:shd w:val="clear" w:color="auto" w:fill="auto"/>
            <w:vAlign w:val="center"/>
          </w:tcPr>
          <w:p>
            <w:pPr>
              <w:pStyle w:val="84"/>
            </w:pPr>
            <w:r>
              <w:rPr>
                <w:rFonts w:hint="eastAsia"/>
              </w:rPr>
              <w:t>0</w:t>
            </w:r>
          </w:p>
        </w:tc>
        <w:tc>
          <w:tcPr>
            <w:tcW w:w="3248" w:type="dxa"/>
            <w:shd w:val="clear" w:color="auto" w:fill="auto"/>
            <w:vAlign w:val="center"/>
          </w:tcPr>
          <w:p>
            <w:pPr>
              <w:pStyle w:val="84"/>
            </w:pPr>
            <w:r>
              <w:rPr>
                <w:rFonts w:hint="eastAsia"/>
                <w:szCs w:val="21"/>
              </w:rPr>
              <w:t>厂家</w:t>
            </w:r>
            <w:r>
              <w:rPr>
                <w:szCs w:val="21"/>
              </w:rPr>
              <w:t>回收处置</w:t>
            </w:r>
          </w:p>
        </w:tc>
        <w:tc>
          <w:tcPr>
            <w:tcW w:w="995" w:type="dxa"/>
            <w:vMerge w:val="continue"/>
            <w:shd w:val="clear" w:color="auto" w:fill="auto"/>
            <w:vAlign w:val="center"/>
          </w:tcPr>
          <w:p>
            <w:pPr>
              <w:pStyle w:val="84"/>
            </w:pPr>
          </w:p>
        </w:tc>
        <w:tc>
          <w:tcPr>
            <w:tcW w:w="3095" w:type="dxa"/>
            <w:vMerge w:val="continue"/>
            <w:shd w:val="clear" w:color="auto" w:fill="auto"/>
            <w:vAlign w:val="center"/>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910" w:type="dxa"/>
            <w:shd w:val="clear" w:color="auto" w:fill="auto"/>
            <w:vAlign w:val="center"/>
          </w:tcPr>
          <w:p>
            <w:pPr>
              <w:pStyle w:val="84"/>
            </w:pPr>
            <w:r>
              <w:t>危险废物</w:t>
            </w:r>
          </w:p>
        </w:tc>
        <w:tc>
          <w:tcPr>
            <w:tcW w:w="2725" w:type="dxa"/>
            <w:gridSpan w:val="2"/>
            <w:shd w:val="clear" w:color="auto" w:fill="auto"/>
            <w:vAlign w:val="center"/>
          </w:tcPr>
          <w:p>
            <w:pPr>
              <w:pStyle w:val="84"/>
            </w:pPr>
            <w:r>
              <w:rPr>
                <w:rFonts w:hint="eastAsia"/>
              </w:rPr>
              <w:t>医疗废物</w:t>
            </w:r>
          </w:p>
        </w:tc>
        <w:tc>
          <w:tcPr>
            <w:tcW w:w="1209" w:type="dxa"/>
            <w:shd w:val="clear" w:color="auto" w:fill="auto"/>
            <w:vAlign w:val="center"/>
          </w:tcPr>
          <w:p>
            <w:pPr>
              <w:pStyle w:val="84"/>
            </w:pPr>
            <w:r>
              <w:t>/</w:t>
            </w:r>
          </w:p>
        </w:tc>
        <w:tc>
          <w:tcPr>
            <w:tcW w:w="1290" w:type="dxa"/>
            <w:shd w:val="clear" w:color="auto" w:fill="auto"/>
            <w:vAlign w:val="center"/>
          </w:tcPr>
          <w:p>
            <w:pPr>
              <w:pStyle w:val="84"/>
              <w:rPr>
                <w:highlight w:val="yellow"/>
              </w:rPr>
            </w:pPr>
            <w:r>
              <w:rPr>
                <w:rFonts w:hint="eastAsia"/>
              </w:rPr>
              <w:t>0</w:t>
            </w:r>
          </w:p>
        </w:tc>
        <w:tc>
          <w:tcPr>
            <w:tcW w:w="3248" w:type="dxa"/>
            <w:shd w:val="clear" w:color="auto" w:fill="auto"/>
            <w:vAlign w:val="center"/>
          </w:tcPr>
          <w:p>
            <w:pPr>
              <w:pStyle w:val="84"/>
            </w:pPr>
            <w:r>
              <w:t>专用容器收集，危废暂存间暂存，分类存放，交有资质单位处置，危废暂存间10m</w:t>
            </w:r>
            <w:r>
              <w:rPr>
                <w:rFonts w:hint="eastAsia"/>
                <w:vertAlign w:val="superscript"/>
              </w:rPr>
              <w:t>3</w:t>
            </w:r>
          </w:p>
        </w:tc>
        <w:tc>
          <w:tcPr>
            <w:tcW w:w="995" w:type="dxa"/>
            <w:shd w:val="clear" w:color="auto" w:fill="auto"/>
            <w:vAlign w:val="center"/>
          </w:tcPr>
          <w:p>
            <w:pPr>
              <w:pStyle w:val="84"/>
            </w:pPr>
            <w:r>
              <w:t>100%</w:t>
            </w:r>
          </w:p>
        </w:tc>
        <w:tc>
          <w:tcPr>
            <w:tcW w:w="3095" w:type="dxa"/>
            <w:shd w:val="clear" w:color="auto" w:fill="auto"/>
            <w:vAlign w:val="center"/>
          </w:tcPr>
          <w:p>
            <w:pPr>
              <w:pStyle w:val="84"/>
            </w:pPr>
            <w:r>
              <w:t>《危险废物贮存污染控制标准》（GB18597-2001）及年修改单相关要求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restart"/>
            <w:shd w:val="clear" w:color="auto" w:fill="auto"/>
            <w:vAlign w:val="center"/>
          </w:tcPr>
          <w:p>
            <w:pPr>
              <w:pStyle w:val="84"/>
            </w:pPr>
            <w:r>
              <w:t>噪声</w:t>
            </w:r>
          </w:p>
        </w:tc>
        <w:tc>
          <w:tcPr>
            <w:tcW w:w="6134" w:type="dxa"/>
            <w:gridSpan w:val="5"/>
            <w:shd w:val="clear" w:color="auto" w:fill="auto"/>
            <w:vAlign w:val="center"/>
          </w:tcPr>
          <w:p>
            <w:pPr>
              <w:pStyle w:val="84"/>
            </w:pPr>
            <w:r>
              <w:rPr>
                <w:rFonts w:hint="eastAsia"/>
              </w:rPr>
              <w:t>水泵</w:t>
            </w:r>
            <w:r>
              <w:t>、</w:t>
            </w:r>
            <w:r>
              <w:rPr>
                <w:rFonts w:hint="eastAsia"/>
              </w:rPr>
              <w:t>换气扇</w:t>
            </w:r>
            <w:r>
              <w:t>、</w:t>
            </w:r>
            <w:r>
              <w:rPr>
                <w:rFonts w:hint="eastAsia"/>
              </w:rPr>
              <w:t>泵</w:t>
            </w:r>
            <w:r>
              <w:t>、固液分离机等机械设备</w:t>
            </w:r>
          </w:p>
        </w:tc>
        <w:tc>
          <w:tcPr>
            <w:tcW w:w="3248" w:type="dxa"/>
            <w:shd w:val="clear" w:color="auto" w:fill="auto"/>
            <w:vAlign w:val="center"/>
          </w:tcPr>
          <w:p>
            <w:pPr>
              <w:pStyle w:val="84"/>
            </w:pPr>
            <w:r>
              <w:t>加减振基础、设置在厂房内、墙体使用隔声材料及窗户封闭</w:t>
            </w:r>
          </w:p>
        </w:tc>
        <w:tc>
          <w:tcPr>
            <w:tcW w:w="995" w:type="dxa"/>
            <w:vMerge w:val="restart"/>
            <w:vAlign w:val="center"/>
          </w:tcPr>
          <w:p>
            <w:pPr>
              <w:pStyle w:val="84"/>
            </w:pPr>
            <w:r>
              <w:t>降噪</w:t>
            </w:r>
          </w:p>
          <w:p>
            <w:pPr>
              <w:pStyle w:val="84"/>
            </w:pPr>
            <w:r>
              <w:t>效果15~20dB（A）</w:t>
            </w:r>
          </w:p>
        </w:tc>
        <w:tc>
          <w:tcPr>
            <w:tcW w:w="3095" w:type="dxa"/>
            <w:vMerge w:val="restart"/>
            <w:shd w:val="clear" w:color="auto" w:fill="auto"/>
            <w:vAlign w:val="center"/>
          </w:tcPr>
          <w:p>
            <w:pPr>
              <w:pStyle w:val="84"/>
            </w:pPr>
            <w:r>
              <w:t>《工业企业厂界环境噪声排放标准》（GB12348-2008）中的2类标准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Merge w:val="continue"/>
            <w:shd w:val="clear" w:color="auto" w:fill="auto"/>
            <w:vAlign w:val="center"/>
          </w:tcPr>
          <w:p>
            <w:pPr>
              <w:pStyle w:val="84"/>
            </w:pPr>
          </w:p>
        </w:tc>
        <w:tc>
          <w:tcPr>
            <w:tcW w:w="6134" w:type="dxa"/>
            <w:gridSpan w:val="5"/>
            <w:shd w:val="clear" w:color="auto" w:fill="auto"/>
            <w:vAlign w:val="center"/>
          </w:tcPr>
          <w:p>
            <w:pPr>
              <w:pStyle w:val="84"/>
            </w:pPr>
            <w:r>
              <w:t>风机</w:t>
            </w:r>
          </w:p>
        </w:tc>
        <w:tc>
          <w:tcPr>
            <w:tcW w:w="3248" w:type="dxa"/>
            <w:shd w:val="clear" w:color="auto" w:fill="auto"/>
            <w:vAlign w:val="center"/>
          </w:tcPr>
          <w:p>
            <w:pPr>
              <w:pStyle w:val="84"/>
            </w:pPr>
            <w:r>
              <w:t>选用低噪声设备，风机安装减振垫、风管与设备采用软连接，排风口安装消声器</w:t>
            </w:r>
          </w:p>
        </w:tc>
        <w:tc>
          <w:tcPr>
            <w:tcW w:w="995" w:type="dxa"/>
            <w:vMerge w:val="continue"/>
            <w:vAlign w:val="center"/>
          </w:tcPr>
          <w:p>
            <w:pPr>
              <w:pStyle w:val="84"/>
            </w:pPr>
          </w:p>
        </w:tc>
        <w:tc>
          <w:tcPr>
            <w:tcW w:w="3095" w:type="dxa"/>
            <w:vMerge w:val="continue"/>
            <w:shd w:val="clear" w:color="auto" w:fill="auto"/>
            <w:vAlign w:val="center"/>
          </w:tcPr>
          <w:p>
            <w:pPr>
              <w:pStyle w:val="84"/>
            </w:pPr>
          </w:p>
        </w:tc>
      </w:tr>
    </w:tbl>
    <w:p>
      <w:pPr>
        <w:ind w:firstLine="480"/>
      </w:pPr>
    </w:p>
    <w:p>
      <w:pPr>
        <w:ind w:firstLine="480"/>
      </w:pPr>
    </w:p>
    <w:p>
      <w:pPr>
        <w:ind w:firstLine="480"/>
        <w:sectPr>
          <w:headerReference r:id="rId61" w:type="default"/>
          <w:headerReference r:id="rId62" w:type="even"/>
          <w:pgSz w:w="16838" w:h="11906" w:orient="landscape"/>
          <w:pgMar w:top="1800" w:right="1440" w:bottom="1800" w:left="1440" w:header="992" w:footer="992" w:gutter="0"/>
          <w:cols w:space="425" w:num="1"/>
          <w:docGrid w:type="lines" w:linePitch="326" w:charSpace="0"/>
        </w:sectPr>
      </w:pPr>
    </w:p>
    <w:p>
      <w:pPr>
        <w:pStyle w:val="4"/>
      </w:pPr>
      <w:r>
        <w:rPr>
          <w:rFonts w:hint="eastAsia"/>
        </w:rPr>
        <w:t>管理</w:t>
      </w:r>
      <w:r>
        <w:t>要求</w:t>
      </w:r>
    </w:p>
    <w:p>
      <w:pPr>
        <w:pStyle w:val="79"/>
        <w:ind w:firstLine="480"/>
        <w:rPr>
          <w:rFonts w:cs="Times New Roman"/>
        </w:rPr>
      </w:pPr>
      <w:r>
        <w:rPr>
          <w:rFonts w:cs="Times New Roman"/>
        </w:rPr>
        <w:t>（1）建立环境管理台账，并接受</w:t>
      </w:r>
      <w:r>
        <w:rPr>
          <w:rFonts w:hint="eastAsia" w:cs="Times New Roman"/>
        </w:rPr>
        <w:t>安康市</w:t>
      </w:r>
      <w:r>
        <w:rPr>
          <w:rFonts w:cs="Times New Roman"/>
        </w:rPr>
        <w:t>生态环境局</w:t>
      </w:r>
      <w:r>
        <w:rPr>
          <w:rFonts w:hint="eastAsia" w:cs="Times New Roman"/>
        </w:rPr>
        <w:t>旬阳</w:t>
      </w:r>
      <w:r>
        <w:rPr>
          <w:rFonts w:cs="Times New Roman"/>
        </w:rPr>
        <w:t>分局检查。台账内容包括：A、污染物排放情况；B、污染物治理设施的运行、操作和管理情况；C、各污染物的监测分析方法和监测记录；D、事故情况及有关记录；E、其他与污染防治有关的情况和资料；F、环保设施运行能耗情况等。</w:t>
      </w:r>
    </w:p>
    <w:p>
      <w:pPr>
        <w:pStyle w:val="79"/>
        <w:ind w:firstLine="480"/>
        <w:rPr>
          <w:rFonts w:cs="Times New Roman"/>
        </w:rPr>
      </w:pPr>
      <w:r>
        <w:rPr>
          <w:rFonts w:cs="Times New Roman"/>
        </w:rPr>
        <w:t>（2）制定各环保设施操作规程，拟定定期维修制度，使各项环保设施在营运过程中处于良好的运行状态</w:t>
      </w:r>
      <w:r>
        <w:rPr>
          <w:rFonts w:hint="eastAsia" w:cs="Times New Roman"/>
        </w:rPr>
        <w:t>。</w:t>
      </w:r>
    </w:p>
    <w:p>
      <w:pPr>
        <w:pStyle w:val="79"/>
        <w:ind w:firstLine="480"/>
        <w:rPr>
          <w:rFonts w:cs="Times New Roman"/>
        </w:rPr>
      </w:pPr>
      <w:r>
        <w:rPr>
          <w:rFonts w:cs="Times New Roman"/>
        </w:rPr>
        <w:t>（3）加强对环保设施的运行管理，如环保设施出现故障，应立即停止排污并进行检修，严禁非正常排放</w:t>
      </w:r>
      <w:r>
        <w:rPr>
          <w:rFonts w:hint="eastAsia" w:cs="Times New Roman"/>
        </w:rPr>
        <w:t>。</w:t>
      </w:r>
    </w:p>
    <w:p>
      <w:pPr>
        <w:pStyle w:val="79"/>
        <w:ind w:firstLine="480"/>
        <w:rPr>
          <w:rFonts w:cs="Times New Roman"/>
        </w:rPr>
      </w:pPr>
      <w:r>
        <w:rPr>
          <w:rFonts w:cs="Times New Roman"/>
        </w:rPr>
        <w:t>（4）</w:t>
      </w:r>
      <w:r>
        <w:rPr>
          <w:rFonts w:hint="eastAsia" w:cs="Times New Roman"/>
        </w:rPr>
        <w:t>开展</w:t>
      </w:r>
      <w:r>
        <w:rPr>
          <w:rFonts w:cs="Times New Roman"/>
        </w:rPr>
        <w:t>环境监测工作，重点是</w:t>
      </w:r>
      <w:r>
        <w:rPr>
          <w:rFonts w:hint="eastAsia" w:cs="Times New Roman"/>
        </w:rPr>
        <w:t>猪舍</w:t>
      </w:r>
      <w:r>
        <w:rPr>
          <w:rFonts w:cs="Times New Roman"/>
        </w:rPr>
        <w:t>、</w:t>
      </w:r>
      <w:r>
        <w:rPr>
          <w:rFonts w:hint="eastAsia" w:cs="Times New Roman"/>
        </w:rPr>
        <w:t>堆</w:t>
      </w:r>
      <w:r>
        <w:rPr>
          <w:rFonts w:cs="Times New Roman"/>
        </w:rPr>
        <w:t>粪区、污水处理系统产生的</w:t>
      </w:r>
      <w:r>
        <w:rPr>
          <w:rFonts w:hint="eastAsia" w:cs="Times New Roman"/>
        </w:rPr>
        <w:t>NH</w:t>
      </w:r>
      <w:r>
        <w:rPr>
          <w:rFonts w:hint="eastAsia" w:cs="Times New Roman"/>
          <w:vertAlign w:val="subscript"/>
        </w:rPr>
        <w:t>3</w:t>
      </w:r>
      <w:r>
        <w:rPr>
          <w:rFonts w:cs="Times New Roman"/>
        </w:rPr>
        <w:t>、H</w:t>
      </w:r>
      <w:r>
        <w:rPr>
          <w:rFonts w:cs="Times New Roman"/>
          <w:vertAlign w:val="subscript"/>
        </w:rPr>
        <w:t>2</w:t>
      </w:r>
      <w:r>
        <w:rPr>
          <w:rFonts w:cs="Times New Roman"/>
        </w:rPr>
        <w:t>S等废气排放监测、厂区周围噪声监测，并注意做好记录，不得弄虚作假。监测中如发现异常情况应及时向有关部门通报，及时采取应急措施，防止事故</w:t>
      </w:r>
      <w:r>
        <w:rPr>
          <w:rFonts w:hint="eastAsia" w:cs="Times New Roman"/>
        </w:rPr>
        <w:t>发生</w:t>
      </w:r>
      <w:r>
        <w:rPr>
          <w:rFonts w:cs="Times New Roman"/>
        </w:rPr>
        <w:t>。</w:t>
      </w:r>
    </w:p>
    <w:p>
      <w:pPr>
        <w:pStyle w:val="79"/>
        <w:ind w:firstLine="480"/>
        <w:rPr>
          <w:rFonts w:cs="Times New Roman"/>
        </w:rPr>
      </w:pPr>
      <w:r>
        <w:rPr>
          <w:rFonts w:cs="Times New Roman"/>
        </w:rPr>
        <w:t>（5）建立污染事故报告制度。当污染事故发生时，必须在事故发生后48小时内，向环保部门作出事故发生的时间、地点、类型和排放污染物的数量、经济损失等情况的初步报告；事故查清后，向环保部门书面报告事故发生的原因，采取的措施，处理结果，并附有关证明。建设单位有责任排除危害，并对直接受到损害的单位或个人赔偿损失。</w:t>
      </w:r>
    </w:p>
    <w:p>
      <w:pPr>
        <w:pStyle w:val="4"/>
      </w:pPr>
      <w:r>
        <w:rPr>
          <w:rFonts w:hint="eastAsia"/>
        </w:rPr>
        <w:t>排污口</w:t>
      </w:r>
      <w:r>
        <w:t>规范化</w:t>
      </w:r>
    </w:p>
    <w:p>
      <w:pPr>
        <w:ind w:firstLine="480"/>
      </w:pPr>
      <w:r>
        <w:rPr>
          <w:rFonts w:hint="eastAsia"/>
        </w:rPr>
        <w:t>根据原国家环境保护总局环发[1999]24号文件的规定：一切新建、扩建、改建的排污单位必须在建设污染治理设施的同时建设规范化排污口，作为落实环境保护“三同时”制度的必要组成和项目验收内容之一。</w:t>
      </w:r>
    </w:p>
    <w:p>
      <w:pPr>
        <w:ind w:firstLine="480"/>
      </w:pPr>
      <w:r>
        <w:rPr>
          <w:rFonts w:hint="eastAsia"/>
        </w:rPr>
        <w:t>本工程建设时，应统一规划设置本工程的废气排气筒和固定噪声源，规范固体废物贮存（处置）场所。</w:t>
      </w:r>
    </w:p>
    <w:p>
      <w:pPr>
        <w:ind w:firstLine="480"/>
      </w:pPr>
      <w:r>
        <w:rPr>
          <w:rFonts w:hint="eastAsia"/>
        </w:rPr>
        <w:t>（1）废气排放口的规范化设置</w:t>
      </w:r>
    </w:p>
    <w:p>
      <w:pPr>
        <w:ind w:firstLine="480"/>
      </w:pPr>
      <w:r>
        <w:rPr>
          <w:rFonts w:hint="eastAsia"/>
        </w:rPr>
        <w:t>对有组织废气的排气筒，应按规范要求设置。根据本项目废气排放情况，共设</w:t>
      </w:r>
      <w:r>
        <w:t>1</w:t>
      </w:r>
      <w:r>
        <w:rPr>
          <w:rFonts w:hint="eastAsia"/>
        </w:rPr>
        <w:t>个排气筒，废气排气筒要设立标识牌，并预留采样监测孔。</w:t>
      </w:r>
    </w:p>
    <w:p>
      <w:pPr>
        <w:ind w:firstLine="480"/>
      </w:pPr>
      <w:r>
        <w:rPr>
          <w:rFonts w:hint="eastAsia"/>
        </w:rPr>
        <w:t>对于废气排气筒提出如下规范化要求：</w:t>
      </w:r>
    </w:p>
    <w:p>
      <w:pPr>
        <w:ind w:firstLine="480"/>
      </w:pPr>
      <w:r>
        <w:rPr>
          <w:rFonts w:hint="eastAsia"/>
        </w:rPr>
        <w:t>①采样位置应优先选择在垂直管段。应避开烟道弯头和断面急剧变化的部位，并应避开涡流区。应避开对测试人员操作有危险的场所。</w:t>
      </w:r>
    </w:p>
    <w:p>
      <w:pPr>
        <w:ind w:firstLine="480"/>
      </w:pPr>
      <w:r>
        <w:rPr>
          <w:rFonts w:hint="eastAsia"/>
        </w:rPr>
        <w:t>②在选定的测定位置上开设采样孔，采样孔内径不应小于80mm，采样孔长应不大于50mm。对正压下输送高温或有毒气体的烟道应采用带有闸板盖的密封采样孔。</w:t>
      </w:r>
    </w:p>
    <w:p>
      <w:pPr>
        <w:ind w:firstLine="480"/>
      </w:pPr>
      <w:r>
        <w:rPr>
          <w:rFonts w:hint="eastAsia"/>
        </w:rPr>
        <w:t>③采样平台为检测人员采样设置，应有足够的工作面积使工作人员安全、方便操作。平台面积不应小于1.5m</w:t>
      </w:r>
      <w:r>
        <w:rPr>
          <w:rFonts w:hint="eastAsia"/>
          <w:vertAlign w:val="superscript"/>
        </w:rPr>
        <w:t>2</w:t>
      </w:r>
      <w:r>
        <w:rPr>
          <w:rFonts w:hint="eastAsia"/>
        </w:rPr>
        <w:t>，并设有1.1m高的护栏。</w:t>
      </w:r>
    </w:p>
    <w:p>
      <w:pPr>
        <w:ind w:firstLine="480"/>
      </w:pPr>
      <w:r>
        <w:rPr>
          <w:rFonts w:hint="eastAsia"/>
        </w:rPr>
        <w:t>④设置标志牌。</w:t>
      </w:r>
    </w:p>
    <w:p>
      <w:pPr>
        <w:ind w:firstLine="480"/>
      </w:pPr>
      <w:r>
        <w:rPr>
          <w:rFonts w:hint="eastAsia"/>
        </w:rPr>
        <w:t>（2）固定噪声源规范化</w:t>
      </w:r>
    </w:p>
    <w:p>
      <w:pPr>
        <w:ind w:firstLine="480"/>
      </w:pPr>
      <w:r>
        <w:rPr>
          <w:rFonts w:hint="eastAsia"/>
        </w:rPr>
        <w:t>应在固定噪声源处设置环保图形标志牌。</w:t>
      </w:r>
    </w:p>
    <w:p>
      <w:pPr>
        <w:ind w:firstLine="480"/>
      </w:pPr>
      <w:r>
        <w:rPr>
          <w:rFonts w:hint="eastAsia"/>
        </w:rPr>
        <w:t>（3）固体废弃物贮存（处置）场所</w:t>
      </w:r>
    </w:p>
    <w:p>
      <w:pPr>
        <w:ind w:firstLine="480"/>
      </w:pPr>
      <w:r>
        <w:rPr>
          <w:rFonts w:hint="eastAsia"/>
        </w:rPr>
        <w:t>在厂内固体废物暂存场所应有防雨、防渗漏措施并在醒目处设置环保图形标志牌。</w:t>
      </w:r>
    </w:p>
    <w:p>
      <w:pPr>
        <w:ind w:firstLine="480"/>
      </w:pPr>
      <w:r>
        <w:rPr>
          <w:rFonts w:hint="eastAsia"/>
        </w:rPr>
        <w:t>本项目产生的医疗废物作为危险废物在危废贮存间存放。危险废物贮存间按《环境保护图形标志（GB15562-1995）》的规定设置警示标志，具有防风、防雨、防晒等防止污染环境能力。</w:t>
      </w:r>
    </w:p>
    <w:p>
      <w:pPr>
        <w:ind w:firstLine="480"/>
      </w:pPr>
      <w:r>
        <w:rPr>
          <w:rFonts w:hint="eastAsia"/>
        </w:rPr>
        <w:t>（4）排污口建档管理</w:t>
      </w:r>
    </w:p>
    <w:p>
      <w:pPr>
        <w:ind w:firstLine="480"/>
      </w:pPr>
      <w:r>
        <w:rPr>
          <w:rFonts w:hint="eastAsia"/>
        </w:rPr>
        <w:t>①使用《中华人民共和国规范化排污口标志登记证》，并按要求填写有关内容。</w:t>
      </w:r>
    </w:p>
    <w:p>
      <w:pPr>
        <w:ind w:firstLine="480"/>
      </w:pPr>
      <w:r>
        <w:rPr>
          <w:rFonts w:hint="eastAsia"/>
        </w:rPr>
        <w:t>②按照环境管理监控计划及排污口管理内容要求，在项目建成后将主要污染物种类、数量、排放浓度与去向，立标及环保设施运行情况记录在案。</w:t>
      </w:r>
    </w:p>
    <w:p>
      <w:pPr>
        <w:ind w:firstLine="480"/>
      </w:pPr>
      <w:r>
        <w:rPr>
          <w:rFonts w:hint="eastAsia"/>
        </w:rPr>
        <w:t>根据《陕西省排污口设置及规范化整治管理办法》的规定，废气排放口应进行规范化设计，具备采样、监测条件，排放口附近树立环保图形标志牌。排放口应符合“一明显、二合理、三便于”的要求，即环保标志明显，排放口设置合理，排污去向合理，便于采集样品，便于监测计量，便于公众监督管理。按照原国家环境保护部制定的《〈环境保护图形标志〉实施细则(试行)》(环监[1996]463 号)的规定，在各排污口设立相应的环境保护图形标志牌。具体</w:t>
      </w:r>
      <w:r>
        <w:t>要求见表</w:t>
      </w:r>
      <w:r>
        <w:rPr>
          <w:rFonts w:hint="eastAsia"/>
        </w:rPr>
        <w:t>9.</w:t>
      </w:r>
      <w:r>
        <w:t>2</w:t>
      </w:r>
      <w:r>
        <w:rPr>
          <w:rFonts w:hint="eastAsia"/>
        </w:rPr>
        <w:t>-2。</w:t>
      </w:r>
    </w:p>
    <w:p>
      <w:pPr>
        <w:pStyle w:val="85"/>
      </w:pPr>
      <w:r>
        <w:t>表</w:t>
      </w:r>
      <w:r>
        <w:fldChar w:fldCharType="begin"/>
      </w:r>
      <w:r>
        <w:instrText xml:space="preserve"> STYLEREF 2 \s </w:instrText>
      </w:r>
      <w:r>
        <w:fldChar w:fldCharType="separate"/>
      </w:r>
      <w:r>
        <w:t>9.2</w:t>
      </w:r>
      <w:r>
        <w:fldChar w:fldCharType="end"/>
      </w:r>
      <w:r>
        <w:noBreakHyphen/>
      </w:r>
      <w:r>
        <w:fldChar w:fldCharType="begin"/>
      </w:r>
      <w:r>
        <w:instrText xml:space="preserve"> SEQ 表 \* ARABIC \s 2 </w:instrText>
      </w:r>
      <w:r>
        <w:fldChar w:fldCharType="separate"/>
      </w:r>
      <w:r>
        <w:t>2</w:t>
      </w:r>
      <w:r>
        <w:fldChar w:fldCharType="end"/>
      </w:r>
      <w:r>
        <w:rPr>
          <w:rFonts w:hint="eastAsia"/>
        </w:rPr>
        <w:t>各</w:t>
      </w:r>
      <w:r>
        <w:t>排污口环保标志</w:t>
      </w:r>
    </w:p>
    <w:tbl>
      <w:tblPr>
        <w:tblStyle w:val="27"/>
        <w:tblW w:w="84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814"/>
        <w:gridCol w:w="1714"/>
        <w:gridCol w:w="1714"/>
        <w:gridCol w:w="1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03" w:type="dxa"/>
            <w:vAlign w:val="center"/>
          </w:tcPr>
          <w:p>
            <w:pPr>
              <w:pStyle w:val="40"/>
            </w:pPr>
            <w:r>
              <w:t>排放口</w:t>
            </w:r>
          </w:p>
        </w:tc>
        <w:tc>
          <w:tcPr>
            <w:tcW w:w="1814" w:type="dxa"/>
            <w:vAlign w:val="center"/>
          </w:tcPr>
          <w:p>
            <w:pPr>
              <w:pStyle w:val="40"/>
            </w:pPr>
            <w:r>
              <w:t>废气排放口</w:t>
            </w:r>
          </w:p>
        </w:tc>
        <w:tc>
          <w:tcPr>
            <w:tcW w:w="1714" w:type="dxa"/>
            <w:vAlign w:val="center"/>
          </w:tcPr>
          <w:p>
            <w:pPr>
              <w:pStyle w:val="40"/>
            </w:pPr>
            <w:r>
              <w:t>噪声源</w:t>
            </w:r>
          </w:p>
        </w:tc>
        <w:tc>
          <w:tcPr>
            <w:tcW w:w="1714" w:type="dxa"/>
            <w:vAlign w:val="center"/>
          </w:tcPr>
          <w:p>
            <w:pPr>
              <w:pStyle w:val="40"/>
            </w:pPr>
            <w:r>
              <w:rPr>
                <w:rFonts w:hint="eastAsia"/>
              </w:rPr>
              <w:t>危险</w:t>
            </w:r>
            <w:r>
              <w:t>废物</w:t>
            </w:r>
          </w:p>
        </w:tc>
        <w:tc>
          <w:tcPr>
            <w:tcW w:w="1759" w:type="dxa"/>
            <w:vAlign w:val="center"/>
          </w:tcPr>
          <w:p>
            <w:pPr>
              <w:pStyle w:val="40"/>
            </w:pPr>
            <w:r>
              <w:t>固体废物堆放场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03" w:type="dxa"/>
            <w:vAlign w:val="center"/>
          </w:tcPr>
          <w:p>
            <w:pPr>
              <w:pStyle w:val="40"/>
            </w:pPr>
            <w:r>
              <w:t>图形符号</w:t>
            </w:r>
          </w:p>
        </w:tc>
        <w:tc>
          <w:tcPr>
            <w:tcW w:w="1814" w:type="dxa"/>
            <w:vAlign w:val="center"/>
          </w:tcPr>
          <w:p>
            <w:pPr>
              <w:pStyle w:val="40"/>
            </w:pPr>
            <w:r>
              <mc:AlternateContent>
                <mc:Choice Requires="wpg">
                  <w:drawing>
                    <wp:anchor distT="0" distB="0" distL="114300" distR="114300" simplePos="0" relativeHeight="252319744" behindDoc="0" locked="0" layoutInCell="1" allowOverlap="1">
                      <wp:simplePos x="0" y="0"/>
                      <wp:positionH relativeFrom="column">
                        <wp:posOffset>252095</wp:posOffset>
                      </wp:positionH>
                      <wp:positionV relativeFrom="paragraph">
                        <wp:posOffset>63500</wp:posOffset>
                      </wp:positionV>
                      <wp:extent cx="500380" cy="492760"/>
                      <wp:effectExtent l="0" t="0" r="13970" b="21590"/>
                      <wp:wrapNone/>
                      <wp:docPr id="11" name="Group 775"/>
                      <wp:cNvGraphicFramePr/>
                      <a:graphic xmlns:a="http://schemas.openxmlformats.org/drawingml/2006/main">
                        <a:graphicData uri="http://schemas.microsoft.com/office/word/2010/wordprocessingGroup">
                          <wpg:wgp>
                            <wpg:cNvGrpSpPr/>
                            <wpg:grpSpPr>
                              <a:xfrm>
                                <a:off x="0" y="0"/>
                                <a:ext cx="500932" cy="492981"/>
                                <a:chOff x="0" y="0"/>
                                <a:chExt cx="1035" cy="1039"/>
                              </a:xfrm>
                            </wpg:grpSpPr>
                            <pic:pic xmlns:pic="http://schemas.openxmlformats.org/drawingml/2006/picture">
                              <pic:nvPicPr>
                                <pic:cNvPr id="12" name="Picture 776" descr="未标题-1"/>
                                <pic:cNvPicPr>
                                  <a:picLocks noChangeAspect="1" noChangeArrowheads="1"/>
                                </pic:cNvPicPr>
                              </pic:nvPicPr>
                              <pic:blipFill>
                                <a:blip r:embed="rId110" cstate="print">
                                  <a:grayscl/>
                                  <a:lum contrast="24000"/>
                                  <a:extLst>
                                    <a:ext uri="{28A0092B-C50C-407E-A947-70E740481C1C}">
                                      <a14:useLocalDpi xmlns:a14="http://schemas.microsoft.com/office/drawing/2010/main" val="0"/>
                                    </a:ext>
                                  </a:extLst>
                                </a:blip>
                                <a:srcRect l="40858" t="28969" r="48135" b="48921"/>
                                <a:stretch>
                                  <a:fillRect/>
                                </a:stretch>
                              </pic:blipFill>
                              <pic:spPr>
                                <a:xfrm>
                                  <a:off x="56" y="117"/>
                                  <a:ext cx="885" cy="922"/>
                                </a:xfrm>
                                <a:prstGeom prst="rect">
                                  <a:avLst/>
                                </a:prstGeom>
                                <a:noFill/>
                              </pic:spPr>
                            </pic:pic>
                            <wps:wsp>
                              <wps:cNvPr id="13" name="Rectangle 777"/>
                              <wps:cNvSpPr>
                                <a:spLocks noChangeArrowheads="1"/>
                              </wps:cNvSpPr>
                              <wps:spPr bwMode="auto">
                                <a:xfrm>
                                  <a:off x="0" y="0"/>
                                  <a:ext cx="1035" cy="1038"/>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775" o:spid="_x0000_s1026" o:spt="203" style="position:absolute;left:0pt;margin-left:19.85pt;margin-top:5pt;height:38.8pt;width:39.4pt;z-index:252319744;mso-width-relative:page;mso-height-relative:page;" coordsize="1035,1039" o:gfxdata="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">
                      <o:lock v:ext="edit" aspectratio="f"/>
                      <v:shape id="Picture 776" o:spid="_x0000_s1026" o:spt="75" alt="未标题-1" type="#_x0000_t75" style="position:absolute;left:56;top:117;height:922;width:885;" filled="f" o:preferrelative="t" stroked="f" coordsize="21600,21600" o:gfxdata="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Iw8vQAA&#10;ANsAAAAPAAAAAAAAAAEAIAAAACIAAABkcnMvZG93bnJldi54bWxQSwECFAAUAAAACACHTuJAMy8F&#10;njsAAAA5AAAAEAAAAAAAAAABACAAAAAMAQAAZHJzL3NoYXBleG1sLnhtbFBLBQYAAAAABgAGAFsB&#10;AAC2AwAAAAA=&#10;">
                        <v:fill on="f" focussize="0,0"/>
                        <v:stroke on="f"/>
                        <v:imagedata r:id="rId110" cropleft="26777f" croptop="18985f" cropright="31546f" cropbottom="32061f" gain="86231f" blacklevel="0f" grayscale="t" o:title=""/>
                        <o:lock v:ext="edit" aspectratio="t"/>
                      </v:shape>
                      <v:rect id="Rectangle 777" o:spid="_x0000_s1026" o:spt="1" style="position:absolute;left:0;top:0;height:1038;width:1035;" filled="f" stroked="t" coordsize="21600,21600" o:gfxdata="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88tCi5AAAA2w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rect>
                    </v:group>
                  </w:pict>
                </mc:Fallback>
              </mc:AlternateContent>
            </w:r>
          </w:p>
          <w:p>
            <w:pPr>
              <w:pStyle w:val="40"/>
            </w:pPr>
          </w:p>
          <w:p>
            <w:pPr>
              <w:pStyle w:val="40"/>
            </w:pPr>
          </w:p>
          <w:p>
            <w:pPr>
              <w:pStyle w:val="40"/>
            </w:pPr>
          </w:p>
        </w:tc>
        <w:tc>
          <w:tcPr>
            <w:tcW w:w="1714" w:type="dxa"/>
            <w:vAlign w:val="center"/>
          </w:tcPr>
          <w:p>
            <w:pPr>
              <w:pStyle w:val="40"/>
            </w:pPr>
            <w:r>
              <mc:AlternateContent>
                <mc:Choice Requires="wpg">
                  <w:drawing>
                    <wp:anchor distT="0" distB="0" distL="114300" distR="114300" simplePos="0" relativeHeight="252320768" behindDoc="0" locked="0" layoutInCell="1" allowOverlap="1">
                      <wp:simplePos x="0" y="0"/>
                      <wp:positionH relativeFrom="column">
                        <wp:posOffset>146685</wp:posOffset>
                      </wp:positionH>
                      <wp:positionV relativeFrom="paragraph">
                        <wp:posOffset>56515</wp:posOffset>
                      </wp:positionV>
                      <wp:extent cx="628015" cy="531495"/>
                      <wp:effectExtent l="0" t="0" r="19685" b="20955"/>
                      <wp:wrapNone/>
                      <wp:docPr id="6" name="Group 778"/>
                      <wp:cNvGraphicFramePr/>
                      <a:graphic xmlns:a="http://schemas.openxmlformats.org/drawingml/2006/main">
                        <a:graphicData uri="http://schemas.microsoft.com/office/word/2010/wordprocessingGroup">
                          <wpg:wgp>
                            <wpg:cNvGrpSpPr/>
                            <wpg:grpSpPr>
                              <a:xfrm>
                                <a:off x="0" y="0"/>
                                <a:ext cx="628153" cy="531909"/>
                                <a:chOff x="0" y="0"/>
                                <a:chExt cx="1048" cy="1038"/>
                              </a:xfrm>
                            </wpg:grpSpPr>
                            <pic:pic xmlns:pic="http://schemas.openxmlformats.org/drawingml/2006/picture">
                              <pic:nvPicPr>
                                <pic:cNvPr id="7" name="Picture 779" descr="未标题-1"/>
                                <pic:cNvPicPr>
                                  <a:picLocks noChangeAspect="1" noChangeArrowheads="1"/>
                                </pic:cNvPicPr>
                              </pic:nvPicPr>
                              <pic:blipFill>
                                <a:blip r:embed="rId110">
                                  <a:grayscl/>
                                  <a:lum contrast="24000"/>
                                  <a:extLst>
                                    <a:ext uri="{28A0092B-C50C-407E-A947-70E740481C1C}">
                                      <a14:useLocalDpi xmlns:a14="http://schemas.microsoft.com/office/drawing/2010/main" val="0"/>
                                    </a:ext>
                                  </a:extLst>
                                </a:blip>
                                <a:srcRect l="60822" t="29927" r="27611" b="50002"/>
                                <a:stretch>
                                  <a:fillRect/>
                                </a:stretch>
                              </pic:blipFill>
                              <pic:spPr>
                                <a:xfrm>
                                  <a:off x="0" y="87"/>
                                  <a:ext cx="930" cy="837"/>
                                </a:xfrm>
                                <a:prstGeom prst="rect">
                                  <a:avLst/>
                                </a:prstGeom>
                                <a:noFill/>
                              </pic:spPr>
                            </pic:pic>
                            <wps:wsp>
                              <wps:cNvPr id="9" name="Rectangle 780"/>
                              <wps:cNvSpPr>
                                <a:spLocks noChangeArrowheads="1"/>
                              </wps:cNvSpPr>
                              <wps:spPr bwMode="auto">
                                <a:xfrm>
                                  <a:off x="13" y="0"/>
                                  <a:ext cx="1035" cy="1038"/>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778" o:spid="_x0000_s1026" o:spt="203" style="position:absolute;left:0pt;margin-left:11.55pt;margin-top:4.45pt;height:41.85pt;width:49.45pt;z-index:252320768;mso-width-relative:page;mso-height-relative:page;" coordsize="1048,1038" o:gfxdata="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">
                      <o:lock v:ext="edit" aspectratio="f"/>
                      <v:shape id="Picture 779" o:spid="_x0000_s1026" o:spt="75" alt="未标题-1" type="#_x0000_t75" style="position:absolute;left:0;top:87;height:837;width:930;" filled="f" o:preferrelative="t" stroked="f" coordsize="21600,21600" o:gfxdata="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ZYw7gAAADaAAAA&#10;DwAAAAAAAAABACAAAAAiAAAAZHJzL2Rvd25yZXYueG1sUEsBAhQAFAAAAAgAh07iQDMvBZ47AAAA&#10;OQAAABAAAAAAAAAAAQAgAAAABwEAAGRycy9zaGFwZXhtbC54bWxQSwUGAAAAAAYABgBbAQAAsQMA&#10;AAAA&#10;">
                        <v:fill on="f" focussize="0,0"/>
                        <v:stroke on="f"/>
                        <v:imagedata r:id="rId110" cropleft="39860f" croptop="19613f" cropright="18095f" cropbottom="32769f" gain="86231f" blacklevel="0f" grayscale="t" o:title=""/>
                        <o:lock v:ext="edit" aspectratio="t"/>
                      </v:shape>
                      <v:rect id="Rectangle 780" o:spid="_x0000_s1026" o:spt="1" style="position:absolute;left:13;top:0;height:1038;width:1035;" filled="f" stroked="t" coordsize="21600,21600" o:gfxdata="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AwYa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rect>
                    </v:group>
                  </w:pict>
                </mc:Fallback>
              </mc:AlternateContent>
            </w:r>
          </w:p>
        </w:tc>
        <w:tc>
          <w:tcPr>
            <w:tcW w:w="1714" w:type="dxa"/>
            <w:vAlign w:val="center"/>
          </w:tcPr>
          <w:p>
            <w:pPr>
              <w:pStyle w:val="40"/>
            </w:pPr>
            <w:r>
              <w:drawing>
                <wp:inline distT="0" distB="0" distL="0" distR="0">
                  <wp:extent cx="900430" cy="629285"/>
                  <wp:effectExtent l="0" t="0" r="0" b="0"/>
                  <wp:docPr id="8" name="图片 8" descr="C:\Users\ADMINI~1\AppData\Local\Temp\1588147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88147335(1).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913808" cy="638704"/>
                          </a:xfrm>
                          <a:prstGeom prst="rect">
                            <a:avLst/>
                          </a:prstGeom>
                          <a:noFill/>
                          <a:ln>
                            <a:noFill/>
                          </a:ln>
                        </pic:spPr>
                      </pic:pic>
                    </a:graphicData>
                  </a:graphic>
                </wp:inline>
              </w:drawing>
            </w:r>
          </w:p>
        </w:tc>
        <w:tc>
          <w:tcPr>
            <w:tcW w:w="1759" w:type="dxa"/>
            <w:vAlign w:val="center"/>
          </w:tcPr>
          <w:p>
            <w:pPr>
              <w:widowControl/>
              <w:spacing w:line="240" w:lineRule="auto"/>
              <w:ind w:firstLine="480" w:firstLineChars="0"/>
              <w:jc w:val="left"/>
              <w:rPr>
                <w:rFonts w:ascii="宋体" w:hAnsi="宋体" w:cs="宋体"/>
                <w:kern w:val="0"/>
                <w:szCs w:val="24"/>
              </w:rPr>
            </w:pPr>
            <w:r>
              <w:rPr>
                <w:rFonts w:ascii="宋体" w:hAnsi="宋体" w:cs="宋体"/>
                <w:kern w:val="0"/>
                <w:szCs w:val="24"/>
              </w:rPr>
              <w:drawing>
                <wp:anchor distT="0" distB="0" distL="114300" distR="114300" simplePos="0" relativeHeight="251658240" behindDoc="0" locked="0" layoutInCell="1" allowOverlap="1">
                  <wp:simplePos x="0" y="0"/>
                  <wp:positionH relativeFrom="column">
                    <wp:posOffset>137160</wp:posOffset>
                  </wp:positionH>
                  <wp:positionV relativeFrom="paragraph">
                    <wp:posOffset>11430</wp:posOffset>
                  </wp:positionV>
                  <wp:extent cx="763270" cy="521970"/>
                  <wp:effectExtent l="0" t="0" r="0" b="0"/>
                  <wp:wrapNone/>
                  <wp:docPr id="149" name="图片 149" descr="C:\Users\Administrator\AppData\Roaming\Tencent\Users\914615440\QQ\WinTemp\RichOle\4ANYF8R%E[{)GIEJP{{L$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Users\Administrator\AppData\Roaming\Tencent\Users\914615440\QQ\WinTemp\RichOle\4ANYF8R%E[{)GIEJP{{L$XH.png"/>
                          <pic:cNvPicPr>
                            <a:picLocks noChangeAspect="1" noChangeArrowheads="1"/>
                          </pic:cNvPicPr>
                        </pic:nvPicPr>
                        <pic:blipFill>
                          <a:blip r:embed="rId112" cstate="print"/>
                          <a:srcRect t="9241" b="14787"/>
                          <a:stretch>
                            <a:fillRect/>
                          </a:stretch>
                        </pic:blipFill>
                        <pic:spPr>
                          <a:xfrm>
                            <a:off x="0" y="0"/>
                            <a:ext cx="763270" cy="521970"/>
                          </a:xfrm>
                          <a:prstGeom prst="rect">
                            <a:avLst/>
                          </a:prstGeom>
                          <a:noFill/>
                          <a:ln>
                            <a:noFill/>
                          </a:ln>
                        </pic:spPr>
                      </pic:pic>
                    </a:graphicData>
                  </a:graphic>
                </wp:anchor>
              </w:drawing>
            </w:r>
          </w:p>
          <w:p>
            <w:pPr>
              <w:widowControl/>
              <w:spacing w:line="240" w:lineRule="auto"/>
              <w:ind w:firstLine="480" w:firstLineChars="0"/>
              <w:jc w:val="left"/>
              <w:rPr>
                <w:rFonts w:ascii="宋体" w:hAnsi="宋体" w:cs="宋体"/>
                <w:kern w:val="0"/>
                <w:szCs w:val="24"/>
              </w:rPr>
            </w:pPr>
          </w:p>
          <w:p>
            <w:pPr>
              <w:pStyle w:val="40"/>
              <w:jc w:val="left"/>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03" w:type="dxa"/>
            <w:vAlign w:val="center"/>
          </w:tcPr>
          <w:p>
            <w:pPr>
              <w:pStyle w:val="40"/>
            </w:pPr>
            <w:r>
              <w:rPr>
                <w:rFonts w:hint="eastAsia"/>
              </w:rPr>
              <w:t>功能</w:t>
            </w:r>
          </w:p>
        </w:tc>
        <w:tc>
          <w:tcPr>
            <w:tcW w:w="1814"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表示废气向大气</w:t>
            </w:r>
          </w:p>
          <w:p>
            <w:pPr>
              <w:pStyle w:val="40"/>
            </w:pPr>
            <w:r>
              <w:rPr>
                <w:rFonts w:hint="eastAsia" w:ascii="宋体" w:hAnsi="Calibri" w:cs="宋体"/>
                <w:kern w:val="0"/>
                <w:szCs w:val="21"/>
              </w:rPr>
              <w:t>环境排放</w:t>
            </w:r>
          </w:p>
        </w:tc>
        <w:tc>
          <w:tcPr>
            <w:tcW w:w="1714"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表示噪声向外环</w:t>
            </w:r>
          </w:p>
          <w:p>
            <w:pPr>
              <w:pStyle w:val="40"/>
            </w:pPr>
            <w:r>
              <w:rPr>
                <w:rFonts w:hint="eastAsia" w:ascii="宋体" w:hAnsi="Calibri" w:cs="宋体"/>
                <w:kern w:val="0"/>
                <w:szCs w:val="21"/>
              </w:rPr>
              <w:t>境排放</w:t>
            </w:r>
          </w:p>
        </w:tc>
        <w:tc>
          <w:tcPr>
            <w:tcW w:w="1714"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表示危险废物贮</w:t>
            </w:r>
          </w:p>
          <w:p>
            <w:pPr>
              <w:pStyle w:val="40"/>
            </w:pPr>
            <w:r>
              <w:rPr>
                <w:rFonts w:hint="eastAsia" w:ascii="宋体" w:hAnsi="Calibri" w:cs="宋体"/>
                <w:kern w:val="0"/>
                <w:szCs w:val="21"/>
              </w:rPr>
              <w:t>存场</w:t>
            </w:r>
          </w:p>
        </w:tc>
        <w:tc>
          <w:tcPr>
            <w:tcW w:w="1759"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表示一般固体废物贮存、处置场</w:t>
            </w:r>
          </w:p>
        </w:tc>
      </w:tr>
    </w:tbl>
    <w:p>
      <w:pPr>
        <w:pStyle w:val="4"/>
      </w:pPr>
      <w:r>
        <w:rPr>
          <w:rFonts w:hint="eastAsia"/>
        </w:rPr>
        <w:t>企业</w:t>
      </w:r>
      <w:r>
        <w:t>信息公开</w:t>
      </w:r>
    </w:p>
    <w:p>
      <w:pPr>
        <w:ind w:firstLine="480"/>
      </w:pPr>
      <w:r>
        <w:rPr>
          <w:rFonts w:hint="eastAsia"/>
        </w:rPr>
        <w:t>（1）企业环境信息公开的内容</w:t>
      </w:r>
    </w:p>
    <w:p>
      <w:pPr>
        <w:ind w:firstLine="480"/>
      </w:pPr>
      <w:r>
        <w:rPr>
          <w:rFonts w:hint="eastAsia"/>
        </w:rPr>
        <w:t>根据《企业事业单位环境信息公开办法》（环保部令第31号）的规定以及安康市</w:t>
      </w:r>
      <w:r>
        <w:t>生态环境局的要求，</w:t>
      </w:r>
      <w:r>
        <w:rPr>
          <w:rFonts w:hint="eastAsia"/>
        </w:rPr>
        <w:t>本项目应公开如下环境信息：</w:t>
      </w:r>
    </w:p>
    <w:p>
      <w:pPr>
        <w:ind w:firstLine="480"/>
      </w:pPr>
      <w:r>
        <w:rPr>
          <w:rFonts w:hint="eastAsia"/>
        </w:rPr>
        <w:t>①基础信息，包括单位名称、组织机构代码、法定代表人、生产地址、联系方式，以及生产经营和管理服务的主要内容、产品及规模。</w:t>
      </w:r>
    </w:p>
    <w:p>
      <w:pPr>
        <w:ind w:firstLine="480"/>
      </w:pPr>
      <w:r>
        <w:rPr>
          <w:rFonts w:hint="eastAsia"/>
        </w:rPr>
        <w:t>②排污信息，包括主要污染物及特征污染物的名称、排放方式、排放口数量和分布情况、排放浓度和总量、超标情况，以及执行的污染物排放标准、核定的排放总量。</w:t>
      </w:r>
    </w:p>
    <w:p>
      <w:pPr>
        <w:ind w:firstLine="480"/>
      </w:pPr>
      <w:r>
        <w:rPr>
          <w:rFonts w:hint="eastAsia"/>
        </w:rPr>
        <w:t>③防治污染设施的建设和运行情况</w:t>
      </w:r>
    </w:p>
    <w:p>
      <w:pPr>
        <w:ind w:firstLine="480"/>
      </w:pPr>
      <w:r>
        <w:rPr>
          <w:rFonts w:hint="eastAsia"/>
        </w:rPr>
        <w:t>④建设项目环境影响评价及其他环境保护行政许可情况</w:t>
      </w:r>
    </w:p>
    <w:p>
      <w:pPr>
        <w:ind w:firstLine="480"/>
      </w:pPr>
      <w:r>
        <w:rPr>
          <w:rFonts w:hint="eastAsia"/>
        </w:rPr>
        <w:t>⑤突发环境事件应急预案</w:t>
      </w:r>
    </w:p>
    <w:p>
      <w:pPr>
        <w:ind w:firstLine="480"/>
      </w:pPr>
      <w:r>
        <w:rPr>
          <w:rFonts w:hint="eastAsia"/>
        </w:rPr>
        <w:t>⑥其他应当公开的环境信息</w:t>
      </w:r>
    </w:p>
    <w:p>
      <w:pPr>
        <w:ind w:firstLine="480"/>
      </w:pPr>
      <w:r>
        <w:rPr>
          <w:rFonts w:hint="eastAsia"/>
        </w:rPr>
        <w:t>（2）公开信息的方式</w:t>
      </w:r>
    </w:p>
    <w:p>
      <w:pPr>
        <w:ind w:firstLine="480"/>
      </w:pPr>
      <w:r>
        <w:rPr>
          <w:rFonts w:hint="eastAsia"/>
        </w:rPr>
        <w:t>排污单位应当通过其网站、建设单位环境信息公开平台或者当地报刊等便于公众知晓的方式公开环境信息，同时可以采取以下一种或者几种方式予以公开：</w:t>
      </w:r>
    </w:p>
    <w:p>
      <w:pPr>
        <w:ind w:firstLine="480"/>
      </w:pPr>
      <w:r>
        <w:rPr>
          <w:rFonts w:hint="eastAsia"/>
        </w:rPr>
        <w:t>①公告或者公开发行的信息专刊</w:t>
      </w:r>
    </w:p>
    <w:p>
      <w:pPr>
        <w:ind w:firstLine="480"/>
      </w:pPr>
      <w:r>
        <w:rPr>
          <w:rFonts w:hint="eastAsia"/>
        </w:rPr>
        <w:t>②广播、电视等新闻媒体。</w:t>
      </w:r>
    </w:p>
    <w:p>
      <w:pPr>
        <w:ind w:firstLine="480"/>
      </w:pPr>
      <w:r>
        <w:rPr>
          <w:rFonts w:hint="eastAsia"/>
        </w:rPr>
        <w:t>③信息公开服务、监督热线电话。</w:t>
      </w:r>
    </w:p>
    <w:p>
      <w:pPr>
        <w:ind w:firstLine="480"/>
      </w:pPr>
      <w:r>
        <w:rPr>
          <w:rFonts w:hint="eastAsia"/>
        </w:rPr>
        <w:t>④本单位的资料索取点、信息公开栏、信息亭、电子屏幕、电子触摸屏等场所或者设施。</w:t>
      </w:r>
    </w:p>
    <w:p>
      <w:pPr>
        <w:pStyle w:val="3"/>
        <w:rPr>
          <w:snapToGrid w:val="0"/>
        </w:rPr>
      </w:pPr>
      <w:bookmarkStart w:id="293" w:name="_Toc406942451"/>
      <w:bookmarkStart w:id="294" w:name="_Toc16296"/>
      <w:bookmarkStart w:id="295" w:name="_Toc108422260"/>
      <w:bookmarkStart w:id="296" w:name="_Toc28232"/>
      <w:bookmarkStart w:id="297" w:name="_Toc21232"/>
      <w:r>
        <w:rPr>
          <w:snapToGrid w:val="0"/>
        </w:rPr>
        <w:t>环境监测计划</w:t>
      </w:r>
      <w:bookmarkEnd w:id="293"/>
      <w:bookmarkEnd w:id="294"/>
      <w:bookmarkEnd w:id="295"/>
      <w:bookmarkEnd w:id="296"/>
      <w:bookmarkEnd w:id="297"/>
    </w:p>
    <w:p>
      <w:pPr>
        <w:ind w:firstLine="480"/>
      </w:pPr>
      <w:r>
        <w:rPr>
          <w:rFonts w:hint="eastAsia"/>
        </w:rPr>
        <w:t>根据《排污单位自行监测技术指南总则》（HJ819-2017），《排污</w:t>
      </w:r>
      <w:r>
        <w:t>单位</w:t>
      </w:r>
      <w:r>
        <w:rPr>
          <w:rFonts w:hint="eastAsia"/>
        </w:rPr>
        <w:t>自行</w:t>
      </w:r>
      <w:r>
        <w:t>监测技术指南</w:t>
      </w:r>
      <w:r>
        <w:rPr>
          <w:rFonts w:hint="eastAsia"/>
        </w:rPr>
        <w:t xml:space="preserve"> 畜禽养殖</w:t>
      </w:r>
      <w:r>
        <w:t>行业</w:t>
      </w:r>
      <w:r>
        <w:rPr>
          <w:rFonts w:hint="eastAsia"/>
        </w:rPr>
        <w:t>》（HJ</w:t>
      </w:r>
      <w:r>
        <w:t>1252-2022</w:t>
      </w:r>
      <w:r>
        <w:rPr>
          <w:rFonts w:hint="eastAsia"/>
        </w:rPr>
        <w:t>），为保证项目污染治理措施有效稳定运行，实现污染物稳定达标排放，建设单位需定期进行行监测，以便及时掌握产排污规律，加强污染治理。</w:t>
      </w:r>
    </w:p>
    <w:p>
      <w:pPr>
        <w:ind w:firstLine="480"/>
      </w:pPr>
      <w:r>
        <w:rPr>
          <w:rFonts w:hint="eastAsia"/>
        </w:rPr>
        <w:t>本项目营运期污染源与环境监测质量监测计划见表</w:t>
      </w:r>
      <w:r>
        <w:t>9.3-1</w:t>
      </w:r>
      <w:r>
        <w:rPr>
          <w:rFonts w:hint="eastAsia"/>
        </w:rPr>
        <w:t>。</w:t>
      </w:r>
    </w:p>
    <w:p>
      <w:pPr>
        <w:spacing w:line="240" w:lineRule="auto"/>
        <w:ind w:firstLine="0" w:firstLineChars="0"/>
        <w:jc w:val="center"/>
        <w:rPr>
          <w:b/>
          <w:sz w:val="21"/>
          <w:szCs w:val="24"/>
        </w:rPr>
      </w:pPr>
      <w:bookmarkStart w:id="298" w:name="_Ref25834876"/>
    </w:p>
    <w:p>
      <w:pPr>
        <w:spacing w:line="240" w:lineRule="auto"/>
        <w:ind w:firstLine="0" w:firstLineChars="0"/>
        <w:jc w:val="center"/>
        <w:rPr>
          <w:b/>
          <w:sz w:val="21"/>
          <w:szCs w:val="24"/>
        </w:rPr>
      </w:pPr>
    </w:p>
    <w:p>
      <w:pPr>
        <w:spacing w:line="240" w:lineRule="auto"/>
        <w:ind w:firstLine="0" w:firstLineChars="0"/>
        <w:jc w:val="center"/>
        <w:rPr>
          <w:b/>
          <w:sz w:val="21"/>
          <w:szCs w:val="24"/>
        </w:rPr>
      </w:pPr>
    </w:p>
    <w:p>
      <w:pPr>
        <w:spacing w:line="240" w:lineRule="auto"/>
        <w:ind w:firstLine="0" w:firstLineChars="0"/>
        <w:jc w:val="center"/>
        <w:rPr>
          <w:b/>
          <w:sz w:val="21"/>
          <w:szCs w:val="24"/>
        </w:rPr>
      </w:pPr>
    </w:p>
    <w:p>
      <w:pPr>
        <w:spacing w:line="240" w:lineRule="auto"/>
        <w:ind w:firstLine="0" w:firstLineChars="0"/>
        <w:jc w:val="center"/>
        <w:rPr>
          <w:b/>
          <w:sz w:val="20"/>
          <w:szCs w:val="20"/>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9.3</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298"/>
      <w:r>
        <w:rPr>
          <w:b/>
          <w:sz w:val="21"/>
          <w:szCs w:val="21"/>
        </w:rPr>
        <w:t>污染源与环境质量监测计划表</w:t>
      </w:r>
    </w:p>
    <w:tbl>
      <w:tblPr>
        <w:tblStyle w:val="27"/>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694"/>
        <w:gridCol w:w="2408"/>
        <w:gridCol w:w="1276"/>
        <w:gridCol w:w="707"/>
        <w:gridCol w:w="710"/>
        <w:gridCol w:w="16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852" w:type="dxa"/>
            <w:gridSpan w:val="2"/>
            <w:vAlign w:val="center"/>
          </w:tcPr>
          <w:p>
            <w:pPr>
              <w:spacing w:line="240" w:lineRule="auto"/>
              <w:ind w:firstLine="0" w:firstLineChars="0"/>
              <w:jc w:val="center"/>
              <w:rPr>
                <w:sz w:val="21"/>
                <w:szCs w:val="21"/>
              </w:rPr>
            </w:pPr>
            <w:r>
              <w:rPr>
                <w:sz w:val="21"/>
                <w:szCs w:val="21"/>
              </w:rPr>
              <w:t>类别</w:t>
            </w:r>
          </w:p>
        </w:tc>
        <w:tc>
          <w:tcPr>
            <w:tcW w:w="694" w:type="dxa"/>
            <w:vAlign w:val="center"/>
          </w:tcPr>
          <w:p>
            <w:pPr>
              <w:spacing w:line="240" w:lineRule="auto"/>
              <w:ind w:firstLine="0" w:firstLineChars="0"/>
              <w:jc w:val="center"/>
              <w:rPr>
                <w:sz w:val="21"/>
                <w:szCs w:val="21"/>
              </w:rPr>
            </w:pPr>
            <w:r>
              <w:rPr>
                <w:sz w:val="21"/>
                <w:szCs w:val="21"/>
              </w:rPr>
              <w:t>污染源</w:t>
            </w:r>
          </w:p>
          <w:p>
            <w:pPr>
              <w:spacing w:line="240" w:lineRule="auto"/>
              <w:ind w:firstLine="0" w:firstLineChars="0"/>
              <w:jc w:val="center"/>
              <w:rPr>
                <w:sz w:val="21"/>
                <w:szCs w:val="21"/>
              </w:rPr>
            </w:pPr>
            <w:r>
              <w:rPr>
                <w:sz w:val="21"/>
                <w:szCs w:val="21"/>
              </w:rPr>
              <w:t>名称</w:t>
            </w:r>
          </w:p>
        </w:tc>
        <w:tc>
          <w:tcPr>
            <w:tcW w:w="2408" w:type="dxa"/>
            <w:vAlign w:val="center"/>
          </w:tcPr>
          <w:p>
            <w:pPr>
              <w:spacing w:line="240" w:lineRule="auto"/>
              <w:ind w:firstLine="0" w:firstLineChars="0"/>
              <w:jc w:val="center"/>
              <w:rPr>
                <w:sz w:val="21"/>
                <w:szCs w:val="21"/>
              </w:rPr>
            </w:pPr>
            <w:r>
              <w:rPr>
                <w:sz w:val="21"/>
                <w:szCs w:val="21"/>
              </w:rPr>
              <w:t>监测因子</w:t>
            </w:r>
          </w:p>
        </w:tc>
        <w:tc>
          <w:tcPr>
            <w:tcW w:w="1276" w:type="dxa"/>
            <w:vAlign w:val="center"/>
          </w:tcPr>
          <w:p>
            <w:pPr>
              <w:spacing w:line="240" w:lineRule="auto"/>
              <w:ind w:firstLine="0" w:firstLineChars="0"/>
              <w:jc w:val="center"/>
              <w:rPr>
                <w:sz w:val="21"/>
                <w:szCs w:val="21"/>
              </w:rPr>
            </w:pPr>
            <w:r>
              <w:rPr>
                <w:sz w:val="21"/>
                <w:szCs w:val="21"/>
              </w:rPr>
              <w:t>监测点位置</w:t>
            </w:r>
          </w:p>
        </w:tc>
        <w:tc>
          <w:tcPr>
            <w:tcW w:w="707" w:type="dxa"/>
            <w:vAlign w:val="center"/>
          </w:tcPr>
          <w:p>
            <w:pPr>
              <w:spacing w:line="240" w:lineRule="auto"/>
              <w:ind w:firstLine="0" w:firstLineChars="0"/>
              <w:jc w:val="center"/>
              <w:rPr>
                <w:sz w:val="21"/>
                <w:szCs w:val="21"/>
              </w:rPr>
            </w:pPr>
            <w:r>
              <w:rPr>
                <w:sz w:val="21"/>
                <w:szCs w:val="21"/>
              </w:rPr>
              <w:t>监测</w:t>
            </w:r>
          </w:p>
          <w:p>
            <w:pPr>
              <w:spacing w:line="240" w:lineRule="auto"/>
              <w:ind w:firstLine="0" w:firstLineChars="0"/>
              <w:jc w:val="center"/>
              <w:rPr>
                <w:sz w:val="21"/>
                <w:szCs w:val="21"/>
              </w:rPr>
            </w:pPr>
            <w:r>
              <w:rPr>
                <w:sz w:val="21"/>
                <w:szCs w:val="21"/>
              </w:rPr>
              <w:t>点数</w:t>
            </w:r>
          </w:p>
        </w:tc>
        <w:tc>
          <w:tcPr>
            <w:tcW w:w="710" w:type="dxa"/>
            <w:vAlign w:val="center"/>
          </w:tcPr>
          <w:p>
            <w:pPr>
              <w:spacing w:line="240" w:lineRule="auto"/>
              <w:ind w:firstLine="0" w:firstLineChars="0"/>
              <w:jc w:val="center"/>
              <w:rPr>
                <w:sz w:val="21"/>
                <w:szCs w:val="21"/>
              </w:rPr>
            </w:pPr>
            <w:r>
              <w:rPr>
                <w:sz w:val="21"/>
                <w:szCs w:val="21"/>
              </w:rPr>
              <w:t>监测</w:t>
            </w:r>
          </w:p>
          <w:p>
            <w:pPr>
              <w:spacing w:line="240" w:lineRule="auto"/>
              <w:ind w:firstLine="0" w:firstLineChars="0"/>
              <w:jc w:val="center"/>
              <w:rPr>
                <w:sz w:val="21"/>
                <w:szCs w:val="21"/>
              </w:rPr>
            </w:pPr>
            <w:r>
              <w:rPr>
                <w:sz w:val="21"/>
                <w:szCs w:val="21"/>
              </w:rPr>
              <w:t>频率</w:t>
            </w:r>
          </w:p>
        </w:tc>
        <w:tc>
          <w:tcPr>
            <w:tcW w:w="1629" w:type="dxa"/>
            <w:vAlign w:val="center"/>
          </w:tcPr>
          <w:p>
            <w:pPr>
              <w:spacing w:line="240" w:lineRule="auto"/>
              <w:ind w:firstLine="0" w:firstLineChars="0"/>
              <w:jc w:val="center"/>
              <w:rPr>
                <w:sz w:val="21"/>
                <w:szCs w:val="21"/>
              </w:rPr>
            </w:pPr>
            <w:r>
              <w:rPr>
                <w:rFonts w:hint="eastAsia"/>
                <w:sz w:val="21"/>
                <w:szCs w:val="21"/>
              </w:rPr>
              <w:t>执行</w:t>
            </w:r>
            <w:r>
              <w:rPr>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restart"/>
            <w:vAlign w:val="center"/>
          </w:tcPr>
          <w:p>
            <w:pPr>
              <w:spacing w:line="240" w:lineRule="auto"/>
              <w:ind w:firstLine="0" w:firstLineChars="0"/>
              <w:jc w:val="center"/>
              <w:rPr>
                <w:sz w:val="21"/>
                <w:szCs w:val="21"/>
              </w:rPr>
            </w:pPr>
            <w:r>
              <w:rPr>
                <w:rFonts w:hint="eastAsia"/>
                <w:sz w:val="21"/>
                <w:szCs w:val="21"/>
              </w:rPr>
              <w:t>污染源</w:t>
            </w:r>
            <w:r>
              <w:rPr>
                <w:sz w:val="21"/>
                <w:szCs w:val="21"/>
              </w:rPr>
              <w:t>监测</w:t>
            </w:r>
          </w:p>
        </w:tc>
        <w:tc>
          <w:tcPr>
            <w:tcW w:w="426" w:type="dxa"/>
            <w:vMerge w:val="restart"/>
            <w:vAlign w:val="center"/>
          </w:tcPr>
          <w:p>
            <w:pPr>
              <w:pStyle w:val="89"/>
            </w:pPr>
            <w:r>
              <w:t>废气</w:t>
            </w:r>
          </w:p>
        </w:tc>
        <w:tc>
          <w:tcPr>
            <w:tcW w:w="694" w:type="dxa"/>
            <w:vAlign w:val="center"/>
          </w:tcPr>
          <w:p>
            <w:pPr>
              <w:spacing w:line="240" w:lineRule="auto"/>
              <w:ind w:firstLine="0" w:firstLineChars="0"/>
              <w:jc w:val="center"/>
              <w:rPr>
                <w:sz w:val="21"/>
                <w:szCs w:val="21"/>
              </w:rPr>
            </w:pPr>
            <w:r>
              <w:rPr>
                <w:rFonts w:hint="eastAsia"/>
                <w:sz w:val="21"/>
                <w:szCs w:val="21"/>
              </w:rPr>
              <w:t>食堂</w:t>
            </w:r>
          </w:p>
        </w:tc>
        <w:tc>
          <w:tcPr>
            <w:tcW w:w="2408" w:type="dxa"/>
            <w:vAlign w:val="center"/>
          </w:tcPr>
          <w:p>
            <w:pPr>
              <w:spacing w:line="240" w:lineRule="auto"/>
              <w:ind w:firstLine="0" w:firstLineChars="0"/>
              <w:jc w:val="center"/>
              <w:rPr>
                <w:sz w:val="21"/>
                <w:szCs w:val="21"/>
              </w:rPr>
            </w:pPr>
            <w:r>
              <w:rPr>
                <w:rFonts w:hint="eastAsia"/>
                <w:sz w:val="21"/>
                <w:szCs w:val="21"/>
              </w:rPr>
              <w:t>油烟</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油烟净化器出口</w:t>
            </w:r>
            <w:r>
              <w:rPr>
                <w:kern w:val="0"/>
                <w:sz w:val="21"/>
                <w:szCs w:val="20"/>
              </w:rPr>
              <w:t>出口</w:t>
            </w:r>
          </w:p>
        </w:tc>
        <w:tc>
          <w:tcPr>
            <w:tcW w:w="707" w:type="dxa"/>
            <w:vAlign w:val="center"/>
          </w:tcPr>
          <w:p>
            <w:pPr>
              <w:spacing w:line="240" w:lineRule="auto"/>
              <w:ind w:firstLine="0" w:firstLineChars="0"/>
              <w:jc w:val="center"/>
              <w:rPr>
                <w:sz w:val="21"/>
                <w:szCs w:val="21"/>
              </w:rPr>
            </w:pPr>
            <w:r>
              <w:rPr>
                <w:rFonts w:hint="eastAsia"/>
                <w:sz w:val="21"/>
                <w:szCs w:val="21"/>
              </w:rPr>
              <w:t>1</w:t>
            </w:r>
          </w:p>
        </w:tc>
        <w:tc>
          <w:tcPr>
            <w:tcW w:w="710" w:type="dxa"/>
            <w:vAlign w:val="center"/>
          </w:tcPr>
          <w:p>
            <w:pPr>
              <w:spacing w:line="240" w:lineRule="auto"/>
              <w:ind w:firstLine="0" w:firstLineChars="0"/>
              <w:jc w:val="center"/>
              <w:rPr>
                <w:sz w:val="21"/>
                <w:szCs w:val="21"/>
              </w:rPr>
            </w:pPr>
            <w:r>
              <w:rPr>
                <w:rFonts w:hint="eastAsia"/>
                <w:sz w:val="21"/>
                <w:szCs w:val="21"/>
              </w:rPr>
              <w:t>年</w:t>
            </w:r>
          </w:p>
        </w:tc>
        <w:tc>
          <w:tcPr>
            <w:tcW w:w="1629" w:type="dxa"/>
          </w:tcPr>
          <w:p>
            <w:pPr>
              <w:spacing w:line="240" w:lineRule="auto"/>
              <w:ind w:firstLine="0" w:firstLineChars="0"/>
              <w:rPr>
                <w:sz w:val="21"/>
                <w:szCs w:val="21"/>
              </w:rPr>
            </w:pPr>
            <w:r>
              <w:rPr>
                <w:rFonts w:hint="eastAsia"/>
                <w:sz w:val="21"/>
                <w:szCs w:val="21"/>
              </w:rPr>
              <w:t>《饮食业油烟排放标准》（GB18483-2001）小型饮食业规模限值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694" w:type="dxa"/>
            <w:vMerge w:val="restart"/>
            <w:vAlign w:val="center"/>
          </w:tcPr>
          <w:p>
            <w:pPr>
              <w:spacing w:line="240" w:lineRule="auto"/>
              <w:ind w:firstLine="0" w:firstLineChars="0"/>
              <w:jc w:val="center"/>
              <w:rPr>
                <w:sz w:val="21"/>
                <w:szCs w:val="21"/>
              </w:rPr>
            </w:pPr>
            <w:r>
              <w:rPr>
                <w:rFonts w:hint="eastAsia"/>
                <w:sz w:val="21"/>
                <w:szCs w:val="21"/>
              </w:rPr>
              <w:t>厂界</w:t>
            </w:r>
          </w:p>
        </w:tc>
        <w:tc>
          <w:tcPr>
            <w:tcW w:w="2408" w:type="dxa"/>
            <w:vAlign w:val="center"/>
          </w:tcPr>
          <w:p>
            <w:pPr>
              <w:spacing w:line="240" w:lineRule="auto"/>
              <w:ind w:firstLine="0" w:firstLineChars="0"/>
              <w:jc w:val="center"/>
              <w:rPr>
                <w:sz w:val="21"/>
                <w:szCs w:val="21"/>
              </w:rPr>
            </w:pPr>
            <w:r>
              <w:rPr>
                <w:rFonts w:hint="eastAsia"/>
                <w:sz w:val="21"/>
                <w:szCs w:val="21"/>
              </w:rPr>
              <w:t>NH</w:t>
            </w:r>
            <w:r>
              <w:rPr>
                <w:rFonts w:hint="eastAsia"/>
                <w:sz w:val="21"/>
                <w:szCs w:val="21"/>
                <w:vertAlign w:val="subscript"/>
              </w:rPr>
              <w:t>3</w:t>
            </w:r>
          </w:p>
        </w:tc>
        <w:tc>
          <w:tcPr>
            <w:tcW w:w="1276"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上风向</w:t>
            </w:r>
            <w:r>
              <w:rPr>
                <w:rFonts w:hint="eastAsia"/>
                <w:kern w:val="0"/>
                <w:sz w:val="21"/>
                <w:szCs w:val="20"/>
              </w:rPr>
              <w:t>1个点、下风向3个</w:t>
            </w:r>
            <w:r>
              <w:rPr>
                <w:kern w:val="0"/>
                <w:sz w:val="21"/>
                <w:szCs w:val="20"/>
              </w:rPr>
              <w:t>点</w:t>
            </w:r>
          </w:p>
        </w:tc>
        <w:tc>
          <w:tcPr>
            <w:tcW w:w="707" w:type="dxa"/>
            <w:vAlign w:val="center"/>
          </w:tcPr>
          <w:p>
            <w:pPr>
              <w:spacing w:line="240" w:lineRule="auto"/>
              <w:ind w:firstLine="0" w:firstLineChars="0"/>
              <w:jc w:val="center"/>
              <w:rPr>
                <w:sz w:val="21"/>
                <w:szCs w:val="21"/>
              </w:rPr>
            </w:pPr>
            <w:r>
              <w:rPr>
                <w:rFonts w:hint="eastAsia"/>
                <w:sz w:val="21"/>
                <w:szCs w:val="21"/>
              </w:rPr>
              <w:t>4</w:t>
            </w:r>
          </w:p>
        </w:tc>
        <w:tc>
          <w:tcPr>
            <w:tcW w:w="710" w:type="dxa"/>
            <w:vAlign w:val="center"/>
          </w:tcPr>
          <w:p>
            <w:pPr>
              <w:pStyle w:val="84"/>
            </w:pPr>
            <w:r>
              <w:rPr>
                <w:rFonts w:hint="eastAsia"/>
              </w:rPr>
              <w:t>半年</w:t>
            </w:r>
          </w:p>
        </w:tc>
        <w:tc>
          <w:tcPr>
            <w:tcW w:w="1629" w:type="dxa"/>
            <w:vMerge w:val="restart"/>
          </w:tcPr>
          <w:p>
            <w:pPr>
              <w:pStyle w:val="84"/>
              <w:jc w:val="both"/>
            </w:pPr>
            <w:r>
              <w:t>《恶臭污染物排放标准》（GB14554-93）</w:t>
            </w:r>
            <w:r>
              <w:rPr>
                <w:rFonts w:hint="eastAsia"/>
              </w:rPr>
              <w:t>、</w:t>
            </w:r>
            <w:r>
              <w:rPr>
                <w:rFonts w:hint="eastAsia"/>
                <w:szCs w:val="21"/>
              </w:rPr>
              <w:t>《畜禽养殖业污染物排放标准》（GB 18596-2001）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426"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694" w:type="dxa"/>
            <w:vMerge w:val="continue"/>
            <w:vAlign w:val="center"/>
          </w:tcPr>
          <w:p>
            <w:pPr>
              <w:spacing w:line="240" w:lineRule="auto"/>
              <w:ind w:firstLine="0" w:firstLineChars="0"/>
              <w:jc w:val="center"/>
              <w:rPr>
                <w:sz w:val="21"/>
                <w:szCs w:val="21"/>
              </w:rPr>
            </w:pPr>
          </w:p>
        </w:tc>
        <w:tc>
          <w:tcPr>
            <w:tcW w:w="2408" w:type="dxa"/>
            <w:vAlign w:val="center"/>
          </w:tcPr>
          <w:p>
            <w:pPr>
              <w:spacing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c>
          <w:tcPr>
            <w:tcW w:w="1276"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707" w:type="dxa"/>
            <w:vAlign w:val="center"/>
          </w:tcPr>
          <w:p>
            <w:pPr>
              <w:spacing w:line="240" w:lineRule="auto"/>
              <w:ind w:firstLine="0" w:firstLineChars="0"/>
              <w:jc w:val="center"/>
              <w:rPr>
                <w:sz w:val="21"/>
                <w:szCs w:val="21"/>
              </w:rPr>
            </w:pPr>
            <w:r>
              <w:rPr>
                <w:rFonts w:hint="eastAsia"/>
                <w:sz w:val="21"/>
                <w:szCs w:val="21"/>
              </w:rPr>
              <w:t>4</w:t>
            </w:r>
          </w:p>
        </w:tc>
        <w:tc>
          <w:tcPr>
            <w:tcW w:w="710" w:type="dxa"/>
            <w:vAlign w:val="center"/>
          </w:tcPr>
          <w:p>
            <w:pPr>
              <w:pStyle w:val="84"/>
            </w:pPr>
            <w:r>
              <w:rPr>
                <w:rFonts w:hint="eastAsia"/>
              </w:rPr>
              <w:t>半年</w:t>
            </w:r>
          </w:p>
        </w:tc>
        <w:tc>
          <w:tcPr>
            <w:tcW w:w="1629" w:type="dxa"/>
            <w:vMerge w:val="continue"/>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spacing w:line="240" w:lineRule="auto"/>
              <w:ind w:firstLine="0" w:firstLineChars="0"/>
              <w:jc w:val="center"/>
              <w:rPr>
                <w:sz w:val="21"/>
                <w:szCs w:val="21"/>
              </w:rPr>
            </w:pPr>
          </w:p>
        </w:tc>
        <w:tc>
          <w:tcPr>
            <w:tcW w:w="426" w:type="dxa"/>
            <w:vMerge w:val="continue"/>
            <w:vAlign w:val="center"/>
          </w:tcPr>
          <w:p>
            <w:pPr>
              <w:spacing w:line="240" w:lineRule="auto"/>
              <w:ind w:firstLine="0" w:firstLineChars="0"/>
              <w:jc w:val="center"/>
              <w:rPr>
                <w:sz w:val="21"/>
                <w:szCs w:val="21"/>
              </w:rPr>
            </w:pPr>
          </w:p>
        </w:tc>
        <w:tc>
          <w:tcPr>
            <w:tcW w:w="694" w:type="dxa"/>
            <w:vMerge w:val="continue"/>
            <w:vAlign w:val="center"/>
          </w:tcPr>
          <w:p>
            <w:pPr>
              <w:spacing w:line="240" w:lineRule="auto"/>
              <w:ind w:firstLine="0" w:firstLineChars="0"/>
              <w:jc w:val="center"/>
              <w:rPr>
                <w:sz w:val="21"/>
                <w:szCs w:val="21"/>
              </w:rPr>
            </w:pPr>
          </w:p>
        </w:tc>
        <w:tc>
          <w:tcPr>
            <w:tcW w:w="2408" w:type="dxa"/>
            <w:vAlign w:val="center"/>
          </w:tcPr>
          <w:p>
            <w:pPr>
              <w:spacing w:line="240" w:lineRule="auto"/>
              <w:ind w:firstLine="0" w:firstLineChars="0"/>
              <w:jc w:val="center"/>
              <w:rPr>
                <w:sz w:val="21"/>
                <w:szCs w:val="21"/>
              </w:rPr>
            </w:pPr>
            <w:r>
              <w:rPr>
                <w:rFonts w:hint="eastAsia"/>
                <w:sz w:val="21"/>
                <w:szCs w:val="21"/>
              </w:rPr>
              <w:t>臭气</w:t>
            </w:r>
            <w:r>
              <w:rPr>
                <w:sz w:val="21"/>
                <w:szCs w:val="21"/>
              </w:rPr>
              <w:t>浓度</w:t>
            </w:r>
          </w:p>
        </w:tc>
        <w:tc>
          <w:tcPr>
            <w:tcW w:w="1276"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707" w:type="dxa"/>
            <w:vAlign w:val="center"/>
          </w:tcPr>
          <w:p>
            <w:pPr>
              <w:pStyle w:val="84"/>
            </w:pPr>
            <w:r>
              <w:rPr>
                <w:rFonts w:hint="eastAsia"/>
              </w:rPr>
              <w:t>4</w:t>
            </w:r>
          </w:p>
        </w:tc>
        <w:tc>
          <w:tcPr>
            <w:tcW w:w="710" w:type="dxa"/>
            <w:vAlign w:val="center"/>
          </w:tcPr>
          <w:p>
            <w:pPr>
              <w:pStyle w:val="84"/>
            </w:pPr>
            <w:r>
              <w:rPr>
                <w:rFonts w:hint="eastAsia"/>
              </w:rPr>
              <w:t>半年</w:t>
            </w:r>
          </w:p>
        </w:tc>
        <w:tc>
          <w:tcPr>
            <w:tcW w:w="1629" w:type="dxa"/>
            <w:vMerge w:val="continue"/>
          </w:tcPr>
          <w:p>
            <w:pPr>
              <w:pStyle w:val="84"/>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spacing w:line="240" w:lineRule="auto"/>
              <w:ind w:firstLine="0" w:firstLineChars="0"/>
              <w:jc w:val="center"/>
              <w:rPr>
                <w:sz w:val="21"/>
                <w:szCs w:val="21"/>
              </w:rPr>
            </w:pPr>
          </w:p>
        </w:tc>
        <w:tc>
          <w:tcPr>
            <w:tcW w:w="426" w:type="dxa"/>
            <w:vAlign w:val="center"/>
          </w:tcPr>
          <w:p>
            <w:pPr>
              <w:spacing w:line="240" w:lineRule="auto"/>
              <w:ind w:firstLine="0" w:firstLineChars="0"/>
              <w:jc w:val="center"/>
              <w:rPr>
                <w:sz w:val="21"/>
                <w:szCs w:val="21"/>
              </w:rPr>
            </w:pPr>
            <w:r>
              <w:rPr>
                <w:sz w:val="21"/>
                <w:szCs w:val="21"/>
              </w:rPr>
              <w:t>噪声</w:t>
            </w:r>
          </w:p>
        </w:tc>
        <w:tc>
          <w:tcPr>
            <w:tcW w:w="694" w:type="dxa"/>
            <w:vAlign w:val="center"/>
          </w:tcPr>
          <w:p>
            <w:pPr>
              <w:spacing w:line="240" w:lineRule="auto"/>
              <w:ind w:firstLine="0" w:firstLineChars="0"/>
              <w:jc w:val="center"/>
              <w:rPr>
                <w:sz w:val="21"/>
                <w:szCs w:val="21"/>
              </w:rPr>
            </w:pPr>
            <w:r>
              <w:rPr>
                <w:sz w:val="21"/>
                <w:szCs w:val="21"/>
              </w:rPr>
              <w:t>厂界噪声</w:t>
            </w:r>
          </w:p>
        </w:tc>
        <w:tc>
          <w:tcPr>
            <w:tcW w:w="2408" w:type="dxa"/>
            <w:vAlign w:val="center"/>
          </w:tcPr>
          <w:p>
            <w:pPr>
              <w:spacing w:line="240" w:lineRule="auto"/>
              <w:ind w:firstLine="0" w:firstLineChars="0"/>
              <w:jc w:val="center"/>
              <w:rPr>
                <w:sz w:val="21"/>
                <w:szCs w:val="21"/>
              </w:rPr>
            </w:pPr>
            <w:r>
              <w:rPr>
                <w:sz w:val="21"/>
                <w:szCs w:val="21"/>
              </w:rPr>
              <w:t>Leq(A)</w:t>
            </w:r>
          </w:p>
        </w:tc>
        <w:tc>
          <w:tcPr>
            <w:tcW w:w="1276" w:type="dxa"/>
            <w:vAlign w:val="center"/>
          </w:tcPr>
          <w:p>
            <w:pPr>
              <w:spacing w:line="240" w:lineRule="auto"/>
              <w:ind w:firstLine="0" w:firstLineChars="0"/>
              <w:jc w:val="center"/>
              <w:rPr>
                <w:sz w:val="21"/>
                <w:szCs w:val="21"/>
              </w:rPr>
            </w:pPr>
            <w:r>
              <w:rPr>
                <w:sz w:val="21"/>
                <w:szCs w:val="21"/>
              </w:rPr>
              <w:t>厂界外1米</w:t>
            </w:r>
          </w:p>
        </w:tc>
        <w:tc>
          <w:tcPr>
            <w:tcW w:w="707" w:type="dxa"/>
            <w:vAlign w:val="center"/>
          </w:tcPr>
          <w:p>
            <w:pPr>
              <w:spacing w:line="240" w:lineRule="auto"/>
              <w:ind w:firstLine="0" w:firstLineChars="0"/>
              <w:jc w:val="center"/>
              <w:rPr>
                <w:sz w:val="21"/>
                <w:szCs w:val="21"/>
              </w:rPr>
            </w:pPr>
            <w:r>
              <w:rPr>
                <w:sz w:val="21"/>
                <w:szCs w:val="21"/>
              </w:rPr>
              <w:t>4</w:t>
            </w:r>
          </w:p>
        </w:tc>
        <w:tc>
          <w:tcPr>
            <w:tcW w:w="710" w:type="dxa"/>
            <w:vAlign w:val="center"/>
          </w:tcPr>
          <w:p>
            <w:pPr>
              <w:spacing w:line="240" w:lineRule="auto"/>
              <w:ind w:firstLine="0" w:firstLineChars="0"/>
              <w:jc w:val="center"/>
              <w:rPr>
                <w:sz w:val="21"/>
                <w:szCs w:val="21"/>
              </w:rPr>
            </w:pPr>
            <w:r>
              <w:rPr>
                <w:rFonts w:hint="eastAsia"/>
                <w:sz w:val="21"/>
                <w:szCs w:val="21"/>
              </w:rPr>
              <w:t>季度</w:t>
            </w:r>
          </w:p>
        </w:tc>
        <w:tc>
          <w:tcPr>
            <w:tcW w:w="1629" w:type="dxa"/>
          </w:tcPr>
          <w:p>
            <w:pPr>
              <w:spacing w:line="240" w:lineRule="auto"/>
              <w:ind w:firstLine="0" w:firstLineChars="0"/>
              <w:rPr>
                <w:sz w:val="21"/>
                <w:szCs w:val="21"/>
              </w:rPr>
            </w:pPr>
            <w:r>
              <w:rPr>
                <w:rFonts w:hint="eastAsia"/>
                <w:sz w:val="21"/>
                <w:szCs w:val="21"/>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52" w:type="dxa"/>
            <w:gridSpan w:val="2"/>
            <w:vMerge w:val="restart"/>
            <w:vAlign w:val="center"/>
          </w:tcPr>
          <w:p>
            <w:pPr>
              <w:spacing w:line="240" w:lineRule="auto"/>
              <w:ind w:firstLine="0" w:firstLineChars="0"/>
              <w:jc w:val="center"/>
              <w:rPr>
                <w:sz w:val="21"/>
                <w:szCs w:val="21"/>
              </w:rPr>
            </w:pPr>
            <w:r>
              <w:rPr>
                <w:rFonts w:hint="eastAsia"/>
                <w:sz w:val="21"/>
                <w:szCs w:val="21"/>
              </w:rPr>
              <w:t>环境</w:t>
            </w:r>
            <w:r>
              <w:rPr>
                <w:sz w:val="21"/>
                <w:szCs w:val="21"/>
              </w:rPr>
              <w:t>质量</w:t>
            </w:r>
          </w:p>
        </w:tc>
        <w:tc>
          <w:tcPr>
            <w:tcW w:w="694" w:type="dxa"/>
            <w:vAlign w:val="center"/>
          </w:tcPr>
          <w:p>
            <w:pPr>
              <w:spacing w:line="240" w:lineRule="auto"/>
              <w:ind w:firstLine="0" w:firstLineChars="0"/>
              <w:jc w:val="center"/>
              <w:rPr>
                <w:sz w:val="21"/>
                <w:szCs w:val="21"/>
              </w:rPr>
            </w:pPr>
            <w:r>
              <w:rPr>
                <w:rFonts w:hint="eastAsia"/>
                <w:sz w:val="21"/>
                <w:szCs w:val="21"/>
              </w:rPr>
              <w:t>地下水</w:t>
            </w:r>
          </w:p>
        </w:tc>
        <w:tc>
          <w:tcPr>
            <w:tcW w:w="2408" w:type="dxa"/>
            <w:vAlign w:val="center"/>
          </w:tcPr>
          <w:p>
            <w:pPr>
              <w:spacing w:line="240" w:lineRule="auto"/>
              <w:ind w:firstLine="0" w:firstLineChars="0"/>
              <w:rPr>
                <w:sz w:val="21"/>
                <w:szCs w:val="21"/>
              </w:rPr>
            </w:pPr>
            <w:r>
              <w:rPr>
                <w:sz w:val="21"/>
                <w:szCs w:val="21"/>
              </w:rPr>
              <w:t>pH、总硬度、氨氮、硝酸盐氮、高锰酸盐指数、亚硝酸盐氮、细菌总数、总大肠菌群、氰化物、六价铬、砷、汞、铅、镉、挥发酚、氟、铁、锰、溶解性总固体</w:t>
            </w:r>
          </w:p>
        </w:tc>
        <w:tc>
          <w:tcPr>
            <w:tcW w:w="1276" w:type="dxa"/>
            <w:vAlign w:val="center"/>
          </w:tcPr>
          <w:p>
            <w:pPr>
              <w:spacing w:line="240" w:lineRule="auto"/>
              <w:ind w:firstLine="0" w:firstLineChars="0"/>
              <w:jc w:val="center"/>
              <w:rPr>
                <w:sz w:val="21"/>
                <w:szCs w:val="21"/>
              </w:rPr>
            </w:pPr>
            <w:r>
              <w:rPr>
                <w:rFonts w:hint="eastAsia"/>
                <w:sz w:val="21"/>
                <w:szCs w:val="21"/>
              </w:rPr>
              <w:t>污水</w:t>
            </w:r>
            <w:r>
              <w:rPr>
                <w:sz w:val="21"/>
                <w:szCs w:val="21"/>
              </w:rPr>
              <w:t>处理系统</w:t>
            </w:r>
            <w:r>
              <w:rPr>
                <w:rFonts w:hint="eastAsia"/>
                <w:sz w:val="21"/>
                <w:szCs w:val="21"/>
              </w:rPr>
              <w:t>下游田家前岭村</w:t>
            </w:r>
          </w:p>
        </w:tc>
        <w:tc>
          <w:tcPr>
            <w:tcW w:w="707" w:type="dxa"/>
            <w:vAlign w:val="center"/>
          </w:tcPr>
          <w:p>
            <w:pPr>
              <w:spacing w:line="240" w:lineRule="auto"/>
              <w:ind w:firstLine="0" w:firstLineChars="0"/>
              <w:jc w:val="center"/>
              <w:rPr>
                <w:sz w:val="21"/>
                <w:szCs w:val="21"/>
              </w:rPr>
            </w:pPr>
            <w:r>
              <w:rPr>
                <w:rFonts w:hint="eastAsia"/>
                <w:sz w:val="21"/>
                <w:szCs w:val="21"/>
              </w:rPr>
              <w:t>1</w:t>
            </w:r>
          </w:p>
        </w:tc>
        <w:tc>
          <w:tcPr>
            <w:tcW w:w="710" w:type="dxa"/>
            <w:vAlign w:val="center"/>
          </w:tcPr>
          <w:p>
            <w:pPr>
              <w:spacing w:line="240" w:lineRule="auto"/>
              <w:ind w:firstLine="0" w:firstLineChars="0"/>
              <w:jc w:val="center"/>
              <w:rPr>
                <w:sz w:val="21"/>
                <w:szCs w:val="21"/>
              </w:rPr>
            </w:pPr>
            <w:r>
              <w:rPr>
                <w:rFonts w:hint="eastAsia"/>
                <w:sz w:val="21"/>
                <w:szCs w:val="21"/>
              </w:rPr>
              <w:t>年</w:t>
            </w:r>
          </w:p>
        </w:tc>
        <w:tc>
          <w:tcPr>
            <w:tcW w:w="1629" w:type="dxa"/>
            <w:vAlign w:val="center"/>
          </w:tcPr>
          <w:p>
            <w:pPr>
              <w:spacing w:line="240" w:lineRule="auto"/>
              <w:ind w:firstLine="0" w:firstLineChars="0"/>
              <w:jc w:val="center"/>
              <w:rPr>
                <w:sz w:val="21"/>
                <w:szCs w:val="21"/>
              </w:rPr>
            </w:pPr>
            <w:r>
              <w:rPr>
                <w:rFonts w:hint="eastAsia"/>
                <w:sz w:val="21"/>
                <w:szCs w:val="21"/>
              </w:rPr>
              <w:t>《地下水质量标准》（GB 14848-2017）Ⅲ类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52" w:type="dxa"/>
            <w:gridSpan w:val="2"/>
            <w:vMerge w:val="continue"/>
            <w:vAlign w:val="center"/>
          </w:tcPr>
          <w:p>
            <w:pPr>
              <w:spacing w:line="240" w:lineRule="auto"/>
              <w:ind w:firstLine="0" w:firstLineChars="0"/>
              <w:jc w:val="center"/>
              <w:rPr>
                <w:sz w:val="21"/>
                <w:szCs w:val="21"/>
              </w:rPr>
            </w:pPr>
          </w:p>
        </w:tc>
        <w:tc>
          <w:tcPr>
            <w:tcW w:w="694" w:type="dxa"/>
            <w:vAlign w:val="center"/>
          </w:tcPr>
          <w:p>
            <w:pPr>
              <w:spacing w:line="240" w:lineRule="auto"/>
              <w:ind w:firstLine="0" w:firstLineChars="0"/>
              <w:jc w:val="center"/>
              <w:rPr>
                <w:sz w:val="21"/>
                <w:szCs w:val="21"/>
              </w:rPr>
            </w:pPr>
            <w:r>
              <w:rPr>
                <w:rFonts w:hint="eastAsia"/>
                <w:sz w:val="21"/>
                <w:szCs w:val="21"/>
              </w:rPr>
              <w:t>土壤</w:t>
            </w:r>
            <w:r>
              <w:rPr>
                <w:sz w:val="21"/>
                <w:szCs w:val="21"/>
              </w:rPr>
              <w:t>环境</w:t>
            </w:r>
          </w:p>
        </w:tc>
        <w:tc>
          <w:tcPr>
            <w:tcW w:w="2408" w:type="dxa"/>
            <w:vAlign w:val="center"/>
          </w:tcPr>
          <w:p>
            <w:pPr>
              <w:spacing w:line="240" w:lineRule="auto"/>
              <w:ind w:firstLine="0" w:firstLineChars="0"/>
              <w:jc w:val="center"/>
              <w:rPr>
                <w:sz w:val="21"/>
                <w:szCs w:val="21"/>
              </w:rPr>
            </w:pPr>
            <w:r>
              <w:rPr>
                <w:rFonts w:hint="eastAsia"/>
                <w:sz w:val="21"/>
                <w:szCs w:val="21"/>
              </w:rPr>
              <w:t>pH值、镉、铬、汞、砷、铅、铜、锌、镍</w:t>
            </w:r>
          </w:p>
        </w:tc>
        <w:tc>
          <w:tcPr>
            <w:tcW w:w="1276" w:type="dxa"/>
            <w:vAlign w:val="center"/>
          </w:tcPr>
          <w:p>
            <w:pPr>
              <w:spacing w:line="240" w:lineRule="auto"/>
              <w:ind w:firstLine="0" w:firstLineChars="0"/>
              <w:jc w:val="center"/>
              <w:rPr>
                <w:sz w:val="21"/>
                <w:szCs w:val="21"/>
              </w:rPr>
            </w:pPr>
            <w:r>
              <w:rPr>
                <w:rFonts w:hint="eastAsia"/>
                <w:sz w:val="21"/>
                <w:szCs w:val="21"/>
              </w:rPr>
              <w:t>项目地及</w:t>
            </w:r>
            <w:r>
              <w:rPr>
                <w:sz w:val="21"/>
                <w:szCs w:val="21"/>
              </w:rPr>
              <w:t>周边</w:t>
            </w:r>
          </w:p>
        </w:tc>
        <w:tc>
          <w:tcPr>
            <w:tcW w:w="707" w:type="dxa"/>
            <w:vAlign w:val="center"/>
          </w:tcPr>
          <w:p>
            <w:pPr>
              <w:spacing w:line="240" w:lineRule="auto"/>
              <w:ind w:firstLine="0" w:firstLineChars="0"/>
              <w:jc w:val="center"/>
              <w:rPr>
                <w:sz w:val="21"/>
                <w:szCs w:val="21"/>
              </w:rPr>
            </w:pPr>
            <w:r>
              <w:rPr>
                <w:rFonts w:hint="eastAsia"/>
                <w:sz w:val="21"/>
                <w:szCs w:val="21"/>
              </w:rPr>
              <w:t>3</w:t>
            </w:r>
          </w:p>
        </w:tc>
        <w:tc>
          <w:tcPr>
            <w:tcW w:w="710" w:type="dxa"/>
            <w:vAlign w:val="center"/>
          </w:tcPr>
          <w:p>
            <w:pPr>
              <w:spacing w:line="240" w:lineRule="auto"/>
              <w:ind w:firstLine="0" w:firstLineChars="0"/>
              <w:jc w:val="center"/>
              <w:rPr>
                <w:sz w:val="21"/>
                <w:szCs w:val="21"/>
              </w:rPr>
            </w:pPr>
            <w:r>
              <w:rPr>
                <w:rFonts w:hint="eastAsia"/>
                <w:sz w:val="21"/>
                <w:szCs w:val="21"/>
              </w:rPr>
              <w:t>年</w:t>
            </w:r>
          </w:p>
        </w:tc>
        <w:tc>
          <w:tcPr>
            <w:tcW w:w="1629" w:type="dxa"/>
          </w:tcPr>
          <w:p>
            <w:pPr>
              <w:spacing w:line="240" w:lineRule="auto"/>
              <w:ind w:firstLine="0" w:firstLineChars="0"/>
              <w:rPr>
                <w:sz w:val="21"/>
                <w:szCs w:val="21"/>
              </w:rPr>
            </w:pPr>
            <w:r>
              <w:rPr>
                <w:rFonts w:hint="eastAsia"/>
                <w:sz w:val="21"/>
                <w:szCs w:val="21"/>
              </w:rPr>
              <w:t>《土壤环境质量农用地土壤污染风险管控标准》（GB15618-2018）筛选值</w:t>
            </w:r>
          </w:p>
        </w:tc>
      </w:tr>
    </w:tbl>
    <w:p>
      <w:pPr>
        <w:pStyle w:val="3"/>
      </w:pPr>
      <w:bookmarkStart w:id="299" w:name="_Toc108422261"/>
      <w:r>
        <w:rPr>
          <w:rFonts w:hint="eastAsia"/>
        </w:rPr>
        <w:t>竣工</w:t>
      </w:r>
      <w:r>
        <w:t>环保验收</w:t>
      </w:r>
      <w:r>
        <w:rPr>
          <w:rFonts w:hint="eastAsia"/>
        </w:rPr>
        <w:t>清单</w:t>
      </w:r>
      <w:bookmarkEnd w:id="299"/>
    </w:p>
    <w:p>
      <w:pPr>
        <w:pStyle w:val="79"/>
        <w:ind w:firstLine="480"/>
        <w:rPr>
          <w:rFonts w:cs="Times New Roman"/>
        </w:rPr>
      </w:pPr>
      <w:r>
        <w:rPr>
          <w:rFonts w:cs="Times New Roman"/>
        </w:rPr>
        <w:t>（1）验收范围：环评报告书、批复文件和有关设计文件规定应采取的各项环保治理设施与措施。</w:t>
      </w:r>
    </w:p>
    <w:p>
      <w:pPr>
        <w:pStyle w:val="79"/>
        <w:ind w:firstLine="480"/>
        <w:rPr>
          <w:rFonts w:cs="Times New Roman"/>
        </w:rPr>
      </w:pPr>
      <w:r>
        <w:rPr>
          <w:rFonts w:cs="Times New Roman"/>
        </w:rPr>
        <w:t>（2）验收主体：根据《建设项目环境保护管理条例》、关于发布《建设项目竣工环境保护验收暂行办法的公告》（国环规环评[2017]4号）及《建设项目竣工环境保护验收暂行办法》（2017.11.20），建设项目需要配套建设的废气、废水、噪声</w:t>
      </w:r>
      <w:r>
        <w:rPr>
          <w:rFonts w:hint="eastAsia" w:cs="Times New Roman"/>
        </w:rPr>
        <w:t>及</w:t>
      </w:r>
      <w:r>
        <w:rPr>
          <w:rFonts w:cs="Times New Roman"/>
        </w:rPr>
        <w:t>固体废物</w:t>
      </w:r>
      <w:r>
        <w:rPr>
          <w:rFonts w:hint="eastAsia" w:cs="Times New Roman"/>
        </w:rPr>
        <w:t>污染</w:t>
      </w:r>
      <w:r>
        <w:rPr>
          <w:rFonts w:cs="Times New Roman"/>
        </w:rPr>
        <w:t>防治措施由建设单位自主开展环保验收。</w:t>
      </w:r>
    </w:p>
    <w:p>
      <w:pPr>
        <w:pStyle w:val="79"/>
        <w:ind w:firstLine="480"/>
        <w:rPr>
          <w:rFonts w:cs="Times New Roman"/>
        </w:rPr>
      </w:pPr>
      <w:r>
        <w:rPr>
          <w:rFonts w:cs="Times New Roman"/>
        </w:rPr>
        <w:t>（3）建设单位责任：依据《建设项目竣工环境保护验收暂行办法》（国环规环评[2017]4号，2017.11.20），建设单位应当按照建设项目竣工环境保护验收暂行办法规定的标准和程序，组织对配套建设的环境保护设施进行验收，编制验收监测报告，公开相关信息，接受社会监督，确保建设项目需要配套建设的环境保护设施与主体工程同时投产或者使用，并对验收内容、结论和所公开信息的真实性、准确性和完整性负责，不得在验收过程中弄虚作假。</w:t>
      </w:r>
    </w:p>
    <w:p>
      <w:pPr>
        <w:pStyle w:val="79"/>
        <w:ind w:firstLine="480"/>
        <w:rPr>
          <w:rFonts w:cs="Times New Roman"/>
        </w:rPr>
      </w:pPr>
      <w:r>
        <w:rPr>
          <w:rFonts w:cs="Times New Roman"/>
        </w:rPr>
        <w:t>（4）监督管理：环境保护行政主管部门应当按照《建设项目环境保护事中事后监督管理办法（试行）》等规定，通过</w:t>
      </w:r>
      <w:r>
        <w:rPr>
          <w:rFonts w:hint="eastAsia" w:cs="Times New Roman"/>
        </w:rPr>
        <w:t>“</w:t>
      </w:r>
      <w:r>
        <w:rPr>
          <w:rFonts w:cs="Times New Roman"/>
        </w:rPr>
        <w:t>双随机一公开</w:t>
      </w:r>
      <w:r>
        <w:rPr>
          <w:rFonts w:hint="eastAsia" w:cs="Times New Roman"/>
        </w:rPr>
        <w:t>”</w:t>
      </w:r>
      <w:r>
        <w:rPr>
          <w:rFonts w:cs="Times New Roman"/>
        </w:rPr>
        <w:t>抽查制度，强化建设项目环境保护事中事后监督管理，对建设项目环境保护设施</w:t>
      </w:r>
      <w:r>
        <w:rPr>
          <w:rFonts w:hint="eastAsia" w:cs="Times New Roman"/>
        </w:rPr>
        <w:t>“</w:t>
      </w:r>
      <w:r>
        <w:rPr>
          <w:rFonts w:cs="Times New Roman"/>
        </w:rPr>
        <w:t>三同时</w:t>
      </w:r>
      <w:r>
        <w:rPr>
          <w:rFonts w:hint="eastAsia" w:cs="Times New Roman"/>
        </w:rPr>
        <w:t>”</w:t>
      </w:r>
      <w:r>
        <w:rPr>
          <w:rFonts w:cs="Times New Roman"/>
        </w:rPr>
        <w:t>落实情况、竣工验收等情况进行监督性检查，监督结果向社会公开。</w:t>
      </w:r>
    </w:p>
    <w:p>
      <w:pPr>
        <w:pStyle w:val="79"/>
        <w:ind w:firstLine="480"/>
        <w:rPr>
          <w:rFonts w:cs="Times New Roman"/>
        </w:rPr>
        <w:sectPr>
          <w:headerReference r:id="rId63" w:type="default"/>
          <w:headerReference r:id="rId64" w:type="even"/>
          <w:pgSz w:w="11906" w:h="16838"/>
          <w:pgMar w:top="1440" w:right="1800" w:bottom="1440" w:left="1800" w:header="992" w:footer="992" w:gutter="0"/>
          <w:pgNumType w:fmt="numberInDash"/>
          <w:cols w:space="425" w:num="1"/>
          <w:docGrid w:type="lines" w:linePitch="326" w:charSpace="0"/>
        </w:sectPr>
      </w:pPr>
      <w:r>
        <w:rPr>
          <w:rFonts w:cs="Times New Roman"/>
        </w:rPr>
        <w:t>本项目环保设施竣工验收一览表见</w:t>
      </w:r>
      <w:r>
        <w:rPr>
          <w:rFonts w:hint="eastAsia" w:cs="Times New Roman"/>
        </w:rPr>
        <w:t>表</w:t>
      </w:r>
      <w:r>
        <w:rPr>
          <w:rFonts w:cs="Times New Roman"/>
        </w:rPr>
        <w:t>9.4</w:t>
      </w:r>
      <w:r>
        <w:rPr>
          <w:rFonts w:hint="eastAsia" w:cs="Times New Roman"/>
        </w:rPr>
        <w:t>-1。</w:t>
      </w:r>
    </w:p>
    <w:p>
      <w:pPr>
        <w:spacing w:line="240" w:lineRule="auto"/>
        <w:ind w:firstLine="0" w:firstLineChars="0"/>
        <w:jc w:val="center"/>
        <w:rPr>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9.4</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r>
        <w:rPr>
          <w:b/>
          <w:sz w:val="21"/>
          <w:szCs w:val="24"/>
        </w:rPr>
        <w:t>项目环保验收建议一览表</w:t>
      </w:r>
    </w:p>
    <w:tbl>
      <w:tblPr>
        <w:tblStyle w:val="27"/>
        <w:tblW w:w="139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01"/>
        <w:gridCol w:w="1086"/>
        <w:gridCol w:w="992"/>
        <w:gridCol w:w="3248"/>
        <w:gridCol w:w="1137"/>
        <w:gridCol w:w="1566"/>
        <w:gridCol w:w="855"/>
        <w:gridCol w:w="44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blHeader/>
        </w:trPr>
        <w:tc>
          <w:tcPr>
            <w:tcW w:w="601"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类别</w:t>
            </w:r>
          </w:p>
        </w:tc>
        <w:tc>
          <w:tcPr>
            <w:tcW w:w="2078" w:type="dxa"/>
            <w:gridSpan w:val="2"/>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污染源</w:t>
            </w:r>
          </w:p>
        </w:tc>
        <w:tc>
          <w:tcPr>
            <w:tcW w:w="3248"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环保设施名称</w:t>
            </w:r>
          </w:p>
        </w:tc>
        <w:tc>
          <w:tcPr>
            <w:tcW w:w="1137"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位置</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要求</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数量</w:t>
            </w:r>
          </w:p>
        </w:tc>
        <w:tc>
          <w:tcPr>
            <w:tcW w:w="4443"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废气</w:t>
            </w:r>
          </w:p>
        </w:tc>
        <w:tc>
          <w:tcPr>
            <w:tcW w:w="1086"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猪舍</w:t>
            </w:r>
          </w:p>
        </w:tc>
        <w:tc>
          <w:tcPr>
            <w:tcW w:w="992" w:type="dxa"/>
            <w:vAlign w:val="center"/>
          </w:tcPr>
          <w:p>
            <w:pPr>
              <w:pStyle w:val="84"/>
              <w:rPr>
                <w:rFonts w:hAnsi="Times New Roman"/>
                <w:szCs w:val="21"/>
              </w:rPr>
            </w:pPr>
            <w:r>
              <w:rPr>
                <w:rFonts w:hint="eastAsia" w:hAnsi="Times New Roman"/>
                <w:szCs w:val="21"/>
              </w:rPr>
              <w:t>NH</w:t>
            </w:r>
            <w:r>
              <w:rPr>
                <w:rFonts w:hint="eastAsia" w:hAnsi="Times New Roman"/>
                <w:szCs w:val="21"/>
                <w:vertAlign w:val="subscript"/>
              </w:rPr>
              <w:t>3</w:t>
            </w:r>
          </w:p>
        </w:tc>
        <w:tc>
          <w:tcPr>
            <w:tcW w:w="3248"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优化养殖，饲料中添加抑制剂，干清粪工艺，喷洒除臭剂，加强通风</w:t>
            </w:r>
          </w:p>
        </w:tc>
        <w:tc>
          <w:tcPr>
            <w:tcW w:w="1137"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猪舍</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去除率90%</w:t>
            </w:r>
          </w:p>
        </w:tc>
        <w:tc>
          <w:tcPr>
            <w:tcW w:w="855"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w:t>
            </w:r>
          </w:p>
        </w:tc>
        <w:tc>
          <w:tcPr>
            <w:tcW w:w="4443" w:type="dxa"/>
            <w:vMerge w:val="restart"/>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kern w:val="0"/>
                <w:sz w:val="21"/>
                <w:szCs w:val="21"/>
              </w:rPr>
              <w:t>《恶臭污染物排放标准》（GB14554-93）及</w:t>
            </w:r>
            <w:r>
              <w:rPr>
                <w:rFonts w:hint="eastAsia" w:ascii="宋体" w:hAnsi="Calibri" w:cs="宋体"/>
                <w:kern w:val="0"/>
                <w:sz w:val="21"/>
                <w:szCs w:val="21"/>
              </w:rPr>
              <w:t>《畜禽养殖业污染物排放标准》</w:t>
            </w:r>
            <w:r>
              <w:rPr>
                <w:kern w:val="0"/>
                <w:sz w:val="21"/>
                <w:szCs w:val="21"/>
              </w:rPr>
              <w:t>（</w:t>
            </w:r>
            <w:r>
              <w:rPr>
                <w:rFonts w:eastAsia="TimesNewRomanPSMT"/>
                <w:kern w:val="0"/>
                <w:sz w:val="21"/>
                <w:szCs w:val="21"/>
              </w:rPr>
              <w:t>GB18596-2001</w:t>
            </w: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992" w:type="dxa"/>
            <w:vAlign w:val="center"/>
          </w:tcPr>
          <w:p>
            <w:pPr>
              <w:pStyle w:val="84"/>
              <w:rPr>
                <w:rFonts w:hAnsi="Times New Roman"/>
                <w:szCs w:val="21"/>
              </w:rPr>
            </w:pPr>
            <w:r>
              <w:rPr>
                <w:rFonts w:hint="eastAsia" w:hAnsi="Times New Roman"/>
                <w:szCs w:val="21"/>
              </w:rPr>
              <w:t>H</w:t>
            </w:r>
            <w:r>
              <w:rPr>
                <w:rFonts w:hint="eastAsia" w:hAnsi="Times New Roman"/>
                <w:szCs w:val="21"/>
                <w:vertAlign w:val="subscript"/>
              </w:rPr>
              <w:t>2</w:t>
            </w:r>
            <w:r>
              <w:rPr>
                <w:rFonts w:hint="eastAsia" w:hAnsi="Times New Roman"/>
                <w:szCs w:val="21"/>
              </w:rPr>
              <w:t>S</w:t>
            </w:r>
          </w:p>
        </w:tc>
        <w:tc>
          <w:tcPr>
            <w:tcW w:w="3248"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137"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去除率90%</w:t>
            </w:r>
          </w:p>
        </w:tc>
        <w:tc>
          <w:tcPr>
            <w:tcW w:w="855"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堆粪区</w:t>
            </w:r>
          </w:p>
        </w:tc>
        <w:tc>
          <w:tcPr>
            <w:tcW w:w="992" w:type="dxa"/>
            <w:vAlign w:val="center"/>
          </w:tcPr>
          <w:p>
            <w:pPr>
              <w:pStyle w:val="84"/>
              <w:rPr>
                <w:rFonts w:hAnsi="Times New Roman"/>
                <w:szCs w:val="21"/>
              </w:rPr>
            </w:pPr>
            <w:r>
              <w:rPr>
                <w:rFonts w:hint="eastAsia" w:hAnsi="Times New Roman"/>
                <w:szCs w:val="21"/>
              </w:rPr>
              <w:t>NH</w:t>
            </w:r>
            <w:r>
              <w:rPr>
                <w:rFonts w:hint="eastAsia" w:hAnsi="Times New Roman"/>
                <w:szCs w:val="21"/>
                <w:vertAlign w:val="subscript"/>
              </w:rPr>
              <w:t>3</w:t>
            </w:r>
          </w:p>
        </w:tc>
        <w:tc>
          <w:tcPr>
            <w:tcW w:w="3248"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干</w:t>
            </w:r>
            <w:r>
              <w:rPr>
                <w:kern w:val="0"/>
                <w:sz w:val="21"/>
                <w:szCs w:val="21"/>
              </w:rPr>
              <w:t>清粪，</w:t>
            </w:r>
            <w:r>
              <w:rPr>
                <w:rFonts w:hint="eastAsia"/>
                <w:kern w:val="0"/>
                <w:sz w:val="21"/>
                <w:szCs w:val="21"/>
              </w:rPr>
              <w:t>设置</w:t>
            </w:r>
            <w:r>
              <w:rPr>
                <w:kern w:val="0"/>
                <w:sz w:val="21"/>
                <w:szCs w:val="21"/>
              </w:rPr>
              <w:t>堆粪棚，</w:t>
            </w:r>
            <w:r>
              <w:rPr>
                <w:rFonts w:hint="eastAsia"/>
                <w:kern w:val="0"/>
                <w:sz w:val="21"/>
                <w:szCs w:val="21"/>
              </w:rPr>
              <w:t>喷洒植物性除臭剂，及时清运</w:t>
            </w:r>
            <w:r>
              <w:rPr>
                <w:kern w:val="0"/>
                <w:sz w:val="21"/>
                <w:szCs w:val="21"/>
              </w:rPr>
              <w:t>，</w:t>
            </w:r>
          </w:p>
        </w:tc>
        <w:tc>
          <w:tcPr>
            <w:tcW w:w="1137"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堆粪棚</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去除率85%</w:t>
            </w:r>
          </w:p>
        </w:tc>
        <w:tc>
          <w:tcPr>
            <w:tcW w:w="855"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w:t>
            </w:r>
          </w:p>
        </w:tc>
        <w:tc>
          <w:tcPr>
            <w:tcW w:w="4443" w:type="dxa"/>
            <w:vMerge w:val="continue"/>
            <w:vAlign w:val="center"/>
          </w:tcPr>
          <w:p>
            <w:pPr>
              <w:autoSpaceDE w:val="0"/>
              <w:autoSpaceDN w:val="0"/>
              <w:snapToGrid/>
              <w:spacing w:line="240" w:lineRule="auto"/>
              <w:ind w:firstLine="0" w:firstLineChars="0"/>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992" w:type="dxa"/>
            <w:vAlign w:val="center"/>
          </w:tcPr>
          <w:p>
            <w:pPr>
              <w:pStyle w:val="84"/>
              <w:rPr>
                <w:rFonts w:hAnsi="Times New Roman"/>
                <w:szCs w:val="21"/>
              </w:rPr>
            </w:pPr>
            <w:r>
              <w:rPr>
                <w:rFonts w:hint="eastAsia" w:hAnsi="Times New Roman"/>
                <w:szCs w:val="21"/>
              </w:rPr>
              <w:t>H</w:t>
            </w:r>
            <w:r>
              <w:rPr>
                <w:rFonts w:hint="eastAsia" w:hAnsi="Times New Roman"/>
                <w:szCs w:val="21"/>
                <w:vertAlign w:val="subscript"/>
              </w:rPr>
              <w:t>2</w:t>
            </w:r>
            <w:r>
              <w:rPr>
                <w:rFonts w:hint="eastAsia" w:hAnsi="Times New Roman"/>
                <w:szCs w:val="21"/>
              </w:rPr>
              <w:t>S</w:t>
            </w:r>
          </w:p>
        </w:tc>
        <w:tc>
          <w:tcPr>
            <w:tcW w:w="3248"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137"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去除率85%</w:t>
            </w:r>
          </w:p>
        </w:tc>
        <w:tc>
          <w:tcPr>
            <w:tcW w:w="855"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污水</w:t>
            </w:r>
            <w:r>
              <w:rPr>
                <w:kern w:val="0"/>
                <w:sz w:val="21"/>
                <w:szCs w:val="21"/>
              </w:rPr>
              <w:t>处理区</w:t>
            </w:r>
          </w:p>
        </w:tc>
        <w:tc>
          <w:tcPr>
            <w:tcW w:w="992" w:type="dxa"/>
            <w:vAlign w:val="center"/>
          </w:tcPr>
          <w:p>
            <w:pPr>
              <w:pStyle w:val="84"/>
              <w:rPr>
                <w:rFonts w:hAnsi="Times New Roman"/>
              </w:rPr>
            </w:pPr>
            <w:r>
              <w:rPr>
                <w:rFonts w:hint="eastAsia" w:hAnsi="Times New Roman"/>
              </w:rPr>
              <w:t>NH</w:t>
            </w:r>
            <w:r>
              <w:rPr>
                <w:rFonts w:hint="eastAsia" w:hAnsi="Times New Roman"/>
                <w:vertAlign w:val="subscript"/>
              </w:rPr>
              <w:t>3</w:t>
            </w:r>
          </w:p>
        </w:tc>
        <w:tc>
          <w:tcPr>
            <w:tcW w:w="3248"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池体密闭，喷洒除臭剂</w:t>
            </w:r>
          </w:p>
        </w:tc>
        <w:tc>
          <w:tcPr>
            <w:tcW w:w="1137"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污水</w:t>
            </w:r>
            <w:r>
              <w:rPr>
                <w:kern w:val="0"/>
                <w:sz w:val="21"/>
                <w:szCs w:val="21"/>
              </w:rPr>
              <w:t>处理区</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去除率85%</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992" w:type="dxa"/>
            <w:vAlign w:val="center"/>
          </w:tcPr>
          <w:p>
            <w:pPr>
              <w:pStyle w:val="84"/>
              <w:rPr>
                <w:rFonts w:hAnsi="Times New Roman"/>
              </w:rPr>
            </w:pPr>
            <w:r>
              <w:rPr>
                <w:rFonts w:hint="eastAsia" w:hAnsi="Times New Roman"/>
              </w:rPr>
              <w:t>H</w:t>
            </w:r>
            <w:r>
              <w:rPr>
                <w:rFonts w:hint="eastAsia" w:hAnsi="Times New Roman"/>
                <w:vertAlign w:val="subscript"/>
              </w:rPr>
              <w:t>2</w:t>
            </w:r>
            <w:r>
              <w:rPr>
                <w:rFonts w:hint="eastAsia" w:hAnsi="Times New Roman"/>
              </w:rPr>
              <w:t>S</w:t>
            </w:r>
          </w:p>
        </w:tc>
        <w:tc>
          <w:tcPr>
            <w:tcW w:w="3248"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137"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去除率85%</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沼气</w:t>
            </w:r>
            <w:r>
              <w:rPr>
                <w:kern w:val="0"/>
                <w:sz w:val="21"/>
                <w:szCs w:val="21"/>
              </w:rPr>
              <w:t>火炬燃烧</w:t>
            </w:r>
          </w:p>
        </w:tc>
        <w:tc>
          <w:tcPr>
            <w:tcW w:w="992" w:type="dxa"/>
            <w:vAlign w:val="center"/>
          </w:tcPr>
          <w:p>
            <w:pPr>
              <w:pStyle w:val="89"/>
            </w:pPr>
            <w:r>
              <w:rPr>
                <w:rFonts w:hint="eastAsia"/>
              </w:rPr>
              <w:t>颗粒物</w:t>
            </w:r>
          </w:p>
        </w:tc>
        <w:tc>
          <w:tcPr>
            <w:tcW w:w="3248"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沼气干燥脱离装置，不低于8m高排气筒</w:t>
            </w:r>
          </w:p>
        </w:tc>
        <w:tc>
          <w:tcPr>
            <w:tcW w:w="1137"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沼气火炬</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855"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1套</w:t>
            </w:r>
          </w:p>
        </w:tc>
        <w:tc>
          <w:tcPr>
            <w:tcW w:w="4443"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992" w:type="dxa"/>
            <w:vAlign w:val="center"/>
          </w:tcPr>
          <w:p>
            <w:pPr>
              <w:pStyle w:val="89"/>
            </w:pPr>
            <w:r>
              <w:rPr>
                <w:rFonts w:hint="eastAsia"/>
              </w:rPr>
              <w:t>SO</w:t>
            </w:r>
            <w:r>
              <w:rPr>
                <w:rFonts w:hint="eastAsia"/>
                <w:vertAlign w:val="subscript"/>
              </w:rPr>
              <w:t>2</w:t>
            </w:r>
          </w:p>
        </w:tc>
        <w:tc>
          <w:tcPr>
            <w:tcW w:w="3248"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137"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855"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992" w:type="dxa"/>
            <w:vAlign w:val="center"/>
          </w:tcPr>
          <w:p>
            <w:pPr>
              <w:pStyle w:val="89"/>
            </w:pPr>
            <w:r>
              <w:rPr>
                <w:rFonts w:hint="eastAsia"/>
              </w:rPr>
              <w:t>NOx</w:t>
            </w:r>
          </w:p>
        </w:tc>
        <w:tc>
          <w:tcPr>
            <w:tcW w:w="3248"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137"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855"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108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食堂</w:t>
            </w:r>
          </w:p>
        </w:tc>
        <w:tc>
          <w:tcPr>
            <w:tcW w:w="992" w:type="dxa"/>
            <w:vAlign w:val="center"/>
          </w:tcPr>
          <w:p>
            <w:pPr>
              <w:pStyle w:val="84"/>
              <w:rPr>
                <w:rFonts w:hAnsi="Times New Roman"/>
                <w:szCs w:val="21"/>
              </w:rPr>
            </w:pPr>
            <w:r>
              <w:rPr>
                <w:rFonts w:hint="eastAsia" w:hAnsi="Times New Roman"/>
                <w:szCs w:val="21"/>
              </w:rPr>
              <w:t>油烟</w:t>
            </w:r>
          </w:p>
        </w:tc>
        <w:tc>
          <w:tcPr>
            <w:tcW w:w="324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sz w:val="21"/>
                <w:szCs w:val="24"/>
              </w:rPr>
              <w:t>净化效率大于6</w:t>
            </w:r>
            <w:r>
              <w:rPr>
                <w:sz w:val="21"/>
                <w:szCs w:val="24"/>
              </w:rPr>
              <w:t>0</w:t>
            </w:r>
            <w:r>
              <w:rPr>
                <w:rFonts w:hint="eastAsia"/>
                <w:sz w:val="21"/>
                <w:szCs w:val="24"/>
              </w:rPr>
              <w:t>%的</w:t>
            </w:r>
            <w:r>
              <w:rPr>
                <w:sz w:val="21"/>
                <w:szCs w:val="24"/>
              </w:rPr>
              <w:t>油烟净化器</w:t>
            </w:r>
          </w:p>
        </w:tc>
        <w:tc>
          <w:tcPr>
            <w:tcW w:w="1137"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厨房</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60%</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1套</w:t>
            </w:r>
          </w:p>
        </w:tc>
        <w:tc>
          <w:tcPr>
            <w:tcW w:w="4443"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《饮食业油烟排放标准》（GB18483-2001）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废水</w:t>
            </w:r>
          </w:p>
        </w:tc>
        <w:tc>
          <w:tcPr>
            <w:tcW w:w="2078" w:type="dxa"/>
            <w:gridSpan w:val="2"/>
            <w:vAlign w:val="center"/>
          </w:tcPr>
          <w:p>
            <w:pPr>
              <w:pStyle w:val="84"/>
              <w:rPr>
                <w:rFonts w:hAnsi="Times New Roman"/>
                <w:szCs w:val="21"/>
              </w:rPr>
            </w:pPr>
            <w:r>
              <w:rPr>
                <w:szCs w:val="21"/>
              </w:rPr>
              <w:t>COD、BOD</w:t>
            </w:r>
            <w:r>
              <w:rPr>
                <w:szCs w:val="21"/>
                <w:vertAlign w:val="subscript"/>
              </w:rPr>
              <w:t>5</w:t>
            </w:r>
            <w:r>
              <w:rPr>
                <w:szCs w:val="21"/>
              </w:rPr>
              <w:t>、SS、NH</w:t>
            </w:r>
            <w:r>
              <w:rPr>
                <w:szCs w:val="21"/>
                <w:vertAlign w:val="subscript"/>
              </w:rPr>
              <w:t>3</w:t>
            </w:r>
            <w:r>
              <w:rPr>
                <w:szCs w:val="21"/>
              </w:rPr>
              <w:t>-N</w:t>
            </w:r>
          </w:p>
        </w:tc>
        <w:tc>
          <w:tcPr>
            <w:tcW w:w="3248"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sz w:val="21"/>
                <w:szCs w:val="21"/>
              </w:rPr>
              <w:t>化粪池+污水处理系统</w:t>
            </w:r>
            <w:r>
              <w:rPr>
                <w:sz w:val="21"/>
                <w:szCs w:val="21"/>
              </w:rPr>
              <w:t>，</w:t>
            </w:r>
            <w:r>
              <w:rPr>
                <w:rFonts w:hint="eastAsia"/>
                <w:sz w:val="21"/>
                <w:szCs w:val="21"/>
              </w:rPr>
              <w:t>污水处理系统采用“集</w:t>
            </w:r>
            <w:r>
              <w:rPr>
                <w:sz w:val="21"/>
                <w:szCs w:val="21"/>
              </w:rPr>
              <w:t>粪池</w:t>
            </w:r>
            <w:r>
              <w:rPr>
                <w:rFonts w:hint="eastAsia"/>
                <w:sz w:val="21"/>
                <w:szCs w:val="21"/>
              </w:rPr>
              <w:t>+固液</w:t>
            </w:r>
            <w:r>
              <w:rPr>
                <w:sz w:val="21"/>
                <w:szCs w:val="21"/>
              </w:rPr>
              <w:t>分离</w:t>
            </w:r>
            <w:r>
              <w:rPr>
                <w:rFonts w:hint="eastAsia"/>
                <w:sz w:val="21"/>
                <w:szCs w:val="21"/>
              </w:rPr>
              <w:t>+厌氧</w:t>
            </w:r>
            <w:r>
              <w:rPr>
                <w:sz w:val="21"/>
                <w:szCs w:val="21"/>
              </w:rPr>
              <w:t>发酵池处理</w:t>
            </w:r>
            <w:r>
              <w:rPr>
                <w:rFonts w:hint="eastAsia"/>
                <w:sz w:val="21"/>
                <w:szCs w:val="21"/>
              </w:rPr>
              <w:t>”工艺</w:t>
            </w:r>
          </w:p>
        </w:tc>
        <w:tc>
          <w:tcPr>
            <w:tcW w:w="1137" w:type="dxa"/>
            <w:vAlign w:val="center"/>
          </w:tcPr>
          <w:p>
            <w:pPr>
              <w:autoSpaceDE w:val="0"/>
              <w:autoSpaceDN w:val="0"/>
              <w:snapToGrid/>
              <w:spacing w:line="240" w:lineRule="auto"/>
              <w:ind w:firstLine="0" w:firstLineChars="0"/>
              <w:jc w:val="center"/>
              <w:textAlignment w:val="bottom"/>
              <w:rPr>
                <w:kern w:val="0"/>
                <w:sz w:val="21"/>
                <w:szCs w:val="21"/>
                <w:highlight w:val="yellow"/>
              </w:rPr>
            </w:pPr>
            <w:r>
              <w:rPr>
                <w:rFonts w:hint="eastAsia"/>
                <w:kern w:val="0"/>
                <w:sz w:val="21"/>
                <w:szCs w:val="21"/>
              </w:rPr>
              <w:t>污水</w:t>
            </w:r>
            <w:r>
              <w:rPr>
                <w:kern w:val="0"/>
                <w:sz w:val="21"/>
                <w:szCs w:val="21"/>
              </w:rPr>
              <w:t>处理区</w:t>
            </w:r>
          </w:p>
        </w:tc>
        <w:tc>
          <w:tcPr>
            <w:tcW w:w="1566" w:type="dxa"/>
            <w:vAlign w:val="center"/>
          </w:tcPr>
          <w:p>
            <w:pPr>
              <w:autoSpaceDE w:val="0"/>
              <w:autoSpaceDN w:val="0"/>
              <w:snapToGrid/>
              <w:spacing w:line="240" w:lineRule="auto"/>
              <w:ind w:firstLine="0" w:firstLineChars="0"/>
              <w:textAlignment w:val="bottom"/>
              <w:rPr>
                <w:kern w:val="0"/>
                <w:sz w:val="21"/>
                <w:szCs w:val="21"/>
              </w:rPr>
            </w:pPr>
            <w:r>
              <w:rPr>
                <w:rFonts w:hint="eastAsia"/>
                <w:kern w:val="0"/>
                <w:sz w:val="21"/>
                <w:szCs w:val="21"/>
              </w:rPr>
              <w:t>COD、</w:t>
            </w:r>
            <w:r>
              <w:rPr>
                <w:kern w:val="0"/>
                <w:sz w:val="21"/>
                <w:szCs w:val="21"/>
              </w:rPr>
              <w:t>BOD</w:t>
            </w:r>
            <w:r>
              <w:rPr>
                <w:kern w:val="0"/>
                <w:sz w:val="21"/>
                <w:szCs w:val="21"/>
                <w:vertAlign w:val="subscript"/>
              </w:rPr>
              <w:t>5</w:t>
            </w:r>
            <w:r>
              <w:rPr>
                <w:rFonts w:hint="eastAsia"/>
                <w:kern w:val="0"/>
                <w:sz w:val="21"/>
                <w:szCs w:val="21"/>
              </w:rPr>
              <w:t>去除率</w:t>
            </w:r>
            <w:r>
              <w:rPr>
                <w:kern w:val="0"/>
                <w:sz w:val="21"/>
                <w:szCs w:val="21"/>
              </w:rPr>
              <w:t>80</w:t>
            </w:r>
            <w:r>
              <w:rPr>
                <w:rFonts w:hint="eastAsia"/>
                <w:kern w:val="0"/>
                <w:sz w:val="21"/>
                <w:szCs w:val="21"/>
              </w:rPr>
              <w:t>%</w:t>
            </w:r>
          </w:p>
          <w:p>
            <w:pPr>
              <w:autoSpaceDE w:val="0"/>
              <w:autoSpaceDN w:val="0"/>
              <w:snapToGrid/>
              <w:spacing w:line="240" w:lineRule="auto"/>
              <w:ind w:firstLine="0" w:firstLineChars="0"/>
              <w:textAlignment w:val="bottom"/>
              <w:rPr>
                <w:kern w:val="0"/>
                <w:sz w:val="21"/>
                <w:szCs w:val="21"/>
                <w:highlight w:val="yellow"/>
              </w:rPr>
            </w:pPr>
            <w:r>
              <w:rPr>
                <w:kern w:val="0"/>
                <w:sz w:val="21"/>
                <w:szCs w:val="21"/>
              </w:rPr>
              <w:t xml:space="preserve"> SS</w:t>
            </w:r>
            <w:r>
              <w:rPr>
                <w:rFonts w:hint="eastAsia"/>
                <w:kern w:val="0"/>
                <w:sz w:val="21"/>
                <w:szCs w:val="21"/>
              </w:rPr>
              <w:t>去除率</w:t>
            </w:r>
            <w:r>
              <w:rPr>
                <w:kern w:val="0"/>
                <w:sz w:val="21"/>
                <w:szCs w:val="21"/>
              </w:rPr>
              <w:t>87.5% NH</w:t>
            </w:r>
            <w:r>
              <w:rPr>
                <w:kern w:val="0"/>
                <w:sz w:val="21"/>
                <w:szCs w:val="21"/>
                <w:vertAlign w:val="subscript"/>
              </w:rPr>
              <w:t>3</w:t>
            </w:r>
            <w:r>
              <w:rPr>
                <w:kern w:val="0"/>
                <w:sz w:val="21"/>
                <w:szCs w:val="21"/>
              </w:rPr>
              <w:t>-N、</w:t>
            </w:r>
            <w:r>
              <w:rPr>
                <w:rFonts w:hint="eastAsia"/>
                <w:kern w:val="0"/>
                <w:sz w:val="21"/>
                <w:szCs w:val="21"/>
              </w:rPr>
              <w:t>TP</w:t>
            </w:r>
            <w:r>
              <w:rPr>
                <w:kern w:val="0"/>
                <w:sz w:val="21"/>
                <w:szCs w:val="21"/>
              </w:rPr>
              <w:t>去除率</w:t>
            </w:r>
            <w:r>
              <w:rPr>
                <w:rFonts w:hint="eastAsia"/>
                <w:kern w:val="0"/>
                <w:sz w:val="21"/>
                <w:szCs w:val="21"/>
              </w:rPr>
              <w:t>30%</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1套</w:t>
            </w:r>
          </w:p>
        </w:tc>
        <w:tc>
          <w:tcPr>
            <w:tcW w:w="4443"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废水</w:t>
            </w:r>
            <w:r>
              <w:rPr>
                <w:kern w:val="0"/>
                <w:sz w:val="21"/>
                <w:szCs w:val="21"/>
              </w:rPr>
              <w:t>处理后</w:t>
            </w:r>
            <w:r>
              <w:rPr>
                <w:rFonts w:hint="eastAsia"/>
                <w:kern w:val="0"/>
                <w:sz w:val="21"/>
                <w:szCs w:val="21"/>
              </w:rPr>
              <w:t>用做</w:t>
            </w:r>
            <w:r>
              <w:rPr>
                <w:kern w:val="0"/>
                <w:sz w:val="21"/>
                <w:szCs w:val="21"/>
              </w:rPr>
              <w:t>农肥综合利用，不外排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固体</w:t>
            </w:r>
            <w:r>
              <w:rPr>
                <w:kern w:val="0"/>
                <w:sz w:val="21"/>
                <w:szCs w:val="21"/>
              </w:rPr>
              <w:t>废物</w:t>
            </w:r>
          </w:p>
        </w:tc>
        <w:tc>
          <w:tcPr>
            <w:tcW w:w="2078" w:type="dxa"/>
            <w:gridSpan w:val="2"/>
            <w:vAlign w:val="center"/>
          </w:tcPr>
          <w:p>
            <w:pPr>
              <w:pStyle w:val="84"/>
              <w:rPr>
                <w:szCs w:val="21"/>
              </w:rPr>
            </w:pPr>
            <w:r>
              <w:rPr>
                <w:rFonts w:hint="eastAsia"/>
                <w:szCs w:val="21"/>
              </w:rPr>
              <w:t>生活</w:t>
            </w:r>
            <w:r>
              <w:rPr>
                <w:szCs w:val="21"/>
              </w:rPr>
              <w:t>垃圾</w:t>
            </w:r>
          </w:p>
        </w:tc>
        <w:tc>
          <w:tcPr>
            <w:tcW w:w="4385" w:type="dxa"/>
            <w:gridSpan w:val="2"/>
            <w:vAlign w:val="center"/>
          </w:tcPr>
          <w:p>
            <w:pPr>
              <w:autoSpaceDE w:val="0"/>
              <w:autoSpaceDN w:val="0"/>
              <w:snapToGrid/>
              <w:spacing w:line="240" w:lineRule="auto"/>
              <w:ind w:firstLine="0" w:firstLineChars="0"/>
              <w:jc w:val="center"/>
              <w:textAlignment w:val="bottom"/>
              <w:rPr>
                <w:kern w:val="0"/>
                <w:sz w:val="21"/>
                <w:szCs w:val="21"/>
              </w:rPr>
            </w:pPr>
            <w:r>
              <w:rPr>
                <w:rFonts w:hint="eastAsia"/>
                <w:sz w:val="21"/>
                <w:szCs w:val="21"/>
              </w:rPr>
              <w:t>设置</w:t>
            </w:r>
            <w:r>
              <w:rPr>
                <w:sz w:val="21"/>
                <w:szCs w:val="21"/>
              </w:rPr>
              <w:t>垃圾桶收集，由环卫部门统一清运</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若干</w:t>
            </w:r>
          </w:p>
        </w:tc>
        <w:tc>
          <w:tcPr>
            <w:tcW w:w="4443"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2078" w:type="dxa"/>
            <w:gridSpan w:val="2"/>
            <w:vAlign w:val="center"/>
          </w:tcPr>
          <w:p>
            <w:pPr>
              <w:pStyle w:val="84"/>
              <w:rPr>
                <w:szCs w:val="21"/>
              </w:rPr>
            </w:pPr>
            <w:r>
              <w:rPr>
                <w:rFonts w:hint="eastAsia"/>
                <w:szCs w:val="21"/>
              </w:rPr>
              <w:t>病死猪</w:t>
            </w:r>
            <w:r>
              <w:rPr>
                <w:szCs w:val="21"/>
              </w:rPr>
              <w:t>及分娩胎衣废物</w:t>
            </w:r>
          </w:p>
        </w:tc>
        <w:tc>
          <w:tcPr>
            <w:tcW w:w="3248" w:type="dxa"/>
            <w:vAlign w:val="center"/>
          </w:tcPr>
          <w:p>
            <w:pPr>
              <w:spacing w:line="240" w:lineRule="auto"/>
              <w:ind w:firstLine="0" w:firstLineChars="0"/>
              <w:jc w:val="center"/>
              <w:rPr>
                <w:sz w:val="21"/>
                <w:szCs w:val="21"/>
              </w:rPr>
            </w:pPr>
            <w:r>
              <w:rPr>
                <w:rFonts w:hint="eastAsia"/>
                <w:sz w:val="21"/>
                <w:szCs w:val="21"/>
              </w:rPr>
              <w:t>设置</w:t>
            </w:r>
            <w:r>
              <w:rPr>
                <w:sz w:val="21"/>
                <w:szCs w:val="21"/>
              </w:rPr>
              <w:t>安全填埋井，</w:t>
            </w:r>
            <w:r>
              <w:rPr>
                <w:rFonts w:hint="eastAsia"/>
                <w:sz w:val="21"/>
                <w:szCs w:val="21"/>
              </w:rPr>
              <w:t>在</w:t>
            </w:r>
            <w:r>
              <w:rPr>
                <w:sz w:val="21"/>
                <w:szCs w:val="21"/>
              </w:rPr>
              <w:t>场内安全填埋</w:t>
            </w:r>
          </w:p>
        </w:tc>
        <w:tc>
          <w:tcPr>
            <w:tcW w:w="1137"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2</w:t>
            </w:r>
            <w:r>
              <w:rPr>
                <w:rFonts w:hint="eastAsia"/>
                <w:kern w:val="0"/>
                <w:sz w:val="21"/>
                <w:szCs w:val="21"/>
              </w:rPr>
              <w:t>个</w:t>
            </w:r>
          </w:p>
        </w:tc>
        <w:tc>
          <w:tcPr>
            <w:tcW w:w="4443"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sz w:val="21"/>
                <w:szCs w:val="21"/>
              </w:rPr>
              <w:t>《一般工业固体废物贮存和填埋污染控制标准》（GB18599-2020）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2078" w:type="dxa"/>
            <w:gridSpan w:val="2"/>
            <w:vAlign w:val="center"/>
          </w:tcPr>
          <w:p>
            <w:pPr>
              <w:pStyle w:val="84"/>
              <w:rPr>
                <w:szCs w:val="21"/>
              </w:rPr>
            </w:pPr>
            <w:r>
              <w:rPr>
                <w:rFonts w:hint="eastAsia"/>
                <w:szCs w:val="21"/>
              </w:rPr>
              <w:t>猪粪</w:t>
            </w:r>
          </w:p>
        </w:tc>
        <w:tc>
          <w:tcPr>
            <w:tcW w:w="3248" w:type="dxa"/>
            <w:vAlign w:val="center"/>
          </w:tcPr>
          <w:p>
            <w:pPr>
              <w:spacing w:line="240" w:lineRule="auto"/>
              <w:ind w:firstLine="0" w:firstLineChars="0"/>
              <w:jc w:val="center"/>
              <w:rPr>
                <w:sz w:val="21"/>
                <w:szCs w:val="21"/>
                <w:highlight w:val="yellow"/>
              </w:rPr>
            </w:pPr>
            <w:r>
              <w:rPr>
                <w:rFonts w:hint="eastAsia"/>
                <w:sz w:val="21"/>
                <w:szCs w:val="21"/>
              </w:rPr>
              <w:t>采用</w:t>
            </w:r>
            <w:r>
              <w:rPr>
                <w:sz w:val="21"/>
                <w:szCs w:val="21"/>
              </w:rPr>
              <w:t>干清粪工艺，分离</w:t>
            </w:r>
            <w:r>
              <w:rPr>
                <w:rFonts w:hint="eastAsia"/>
                <w:sz w:val="21"/>
                <w:szCs w:val="21"/>
              </w:rPr>
              <w:t>率</w:t>
            </w:r>
            <w:r>
              <w:rPr>
                <w:sz w:val="21"/>
                <w:szCs w:val="21"/>
              </w:rPr>
              <w:t>80%</w:t>
            </w:r>
            <w:r>
              <w:rPr>
                <w:rFonts w:hint="eastAsia"/>
                <w:sz w:val="21"/>
                <w:szCs w:val="21"/>
              </w:rPr>
              <w:t>收集</w:t>
            </w:r>
            <w:r>
              <w:rPr>
                <w:sz w:val="21"/>
                <w:szCs w:val="21"/>
              </w:rPr>
              <w:t>后</w:t>
            </w:r>
            <w:r>
              <w:rPr>
                <w:rFonts w:hint="eastAsia"/>
                <w:sz w:val="21"/>
                <w:szCs w:val="21"/>
              </w:rPr>
              <w:t>外售</w:t>
            </w:r>
            <w:r>
              <w:rPr>
                <w:sz w:val="21"/>
                <w:szCs w:val="21"/>
              </w:rPr>
              <w:t>有机肥</w:t>
            </w:r>
            <w:r>
              <w:rPr>
                <w:rFonts w:hint="eastAsia"/>
                <w:sz w:val="21"/>
                <w:szCs w:val="21"/>
              </w:rPr>
              <w:t>厂</w:t>
            </w:r>
            <w:r>
              <w:rPr>
                <w:sz w:val="21"/>
                <w:szCs w:val="21"/>
              </w:rPr>
              <w:t>生产有机肥，20%进入沼气池厌氧反应</w:t>
            </w:r>
          </w:p>
        </w:tc>
        <w:tc>
          <w:tcPr>
            <w:tcW w:w="1137"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圈舍</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综合</w:t>
            </w:r>
            <w:r>
              <w:rPr>
                <w:kern w:val="0"/>
                <w:sz w:val="21"/>
                <w:szCs w:val="21"/>
              </w:rPr>
              <w:t>利用</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2078" w:type="dxa"/>
            <w:gridSpan w:val="2"/>
            <w:vAlign w:val="center"/>
          </w:tcPr>
          <w:p>
            <w:pPr>
              <w:pStyle w:val="84"/>
              <w:rPr>
                <w:szCs w:val="21"/>
              </w:rPr>
            </w:pPr>
            <w:r>
              <w:rPr>
                <w:rFonts w:hint="eastAsia"/>
                <w:szCs w:val="21"/>
              </w:rPr>
              <w:t>废脱硫剂</w:t>
            </w:r>
          </w:p>
        </w:tc>
        <w:tc>
          <w:tcPr>
            <w:tcW w:w="3248" w:type="dxa"/>
            <w:vAlign w:val="center"/>
          </w:tcPr>
          <w:p>
            <w:pPr>
              <w:pStyle w:val="84"/>
              <w:rPr>
                <w:szCs w:val="21"/>
              </w:rPr>
            </w:pPr>
            <w:r>
              <w:rPr>
                <w:rFonts w:hint="eastAsia"/>
                <w:szCs w:val="21"/>
              </w:rPr>
              <w:t>厂家</w:t>
            </w:r>
            <w:r>
              <w:rPr>
                <w:szCs w:val="21"/>
              </w:rPr>
              <w:t>回收处置</w:t>
            </w:r>
          </w:p>
        </w:tc>
        <w:tc>
          <w:tcPr>
            <w:tcW w:w="1137"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沼气脱硫</w:t>
            </w:r>
            <w:r>
              <w:rPr>
                <w:kern w:val="0"/>
                <w:sz w:val="21"/>
                <w:szCs w:val="21"/>
              </w:rPr>
              <w:t>装置</w:t>
            </w:r>
          </w:p>
        </w:tc>
        <w:tc>
          <w:tcPr>
            <w:tcW w:w="1566"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rFonts w:hint="eastAsia"/>
                <w:kern w:val="0"/>
                <w:sz w:val="21"/>
                <w:szCs w:val="21"/>
              </w:rPr>
              <w:t>/</w:t>
            </w:r>
          </w:p>
        </w:tc>
        <w:tc>
          <w:tcPr>
            <w:tcW w:w="4443" w:type="dxa"/>
            <w:vAlign w:val="center"/>
          </w:tcPr>
          <w:p>
            <w:pPr>
              <w:autoSpaceDE w:val="0"/>
              <w:autoSpaceDN w:val="0"/>
              <w:snapToGrid/>
              <w:spacing w:line="240" w:lineRule="auto"/>
              <w:ind w:firstLine="0" w:firstLineChars="0"/>
              <w:jc w:val="center"/>
              <w:textAlignment w:val="bottom"/>
              <w:rPr>
                <w:kern w:val="0"/>
                <w:sz w:val="21"/>
                <w:szCs w:val="21"/>
              </w:rPr>
            </w:pPr>
            <w:r>
              <w:rPr>
                <w:sz w:val="21"/>
                <w:szCs w:val="21"/>
              </w:rPr>
              <w:t>《危险废物贮存污染控制标准》（GB18597-2001）及年修改单相关要求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噪声</w:t>
            </w:r>
          </w:p>
        </w:tc>
        <w:tc>
          <w:tcPr>
            <w:tcW w:w="2078" w:type="dxa"/>
            <w:gridSpan w:val="2"/>
            <w:vAlign w:val="center"/>
          </w:tcPr>
          <w:p>
            <w:pPr>
              <w:pStyle w:val="84"/>
              <w:rPr>
                <w:szCs w:val="21"/>
              </w:rPr>
            </w:pPr>
            <w:r>
              <w:rPr>
                <w:rFonts w:hint="eastAsia"/>
                <w:szCs w:val="21"/>
              </w:rPr>
              <w:t>水泵</w:t>
            </w:r>
            <w:r>
              <w:rPr>
                <w:szCs w:val="21"/>
              </w:rPr>
              <w:t>、</w:t>
            </w:r>
            <w:r>
              <w:rPr>
                <w:rFonts w:hint="eastAsia"/>
                <w:szCs w:val="21"/>
              </w:rPr>
              <w:t>换气扇</w:t>
            </w:r>
            <w:r>
              <w:rPr>
                <w:szCs w:val="21"/>
              </w:rPr>
              <w:t>、翻堆机等机械设备</w:t>
            </w:r>
          </w:p>
        </w:tc>
        <w:tc>
          <w:tcPr>
            <w:tcW w:w="4385" w:type="dxa"/>
            <w:gridSpan w:val="2"/>
            <w:vAlign w:val="center"/>
          </w:tcPr>
          <w:p>
            <w:pPr>
              <w:pStyle w:val="84"/>
              <w:rPr>
                <w:szCs w:val="21"/>
              </w:rPr>
            </w:pPr>
            <w:r>
              <w:rPr>
                <w:szCs w:val="21"/>
              </w:rPr>
              <w:t>加减振基础、设置在厂房内、墙体使用隔声材料及窗户封闭</w:t>
            </w:r>
          </w:p>
        </w:tc>
        <w:tc>
          <w:tcPr>
            <w:tcW w:w="1566"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降噪15~20 dB（A）以上</w:t>
            </w: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若干</w:t>
            </w:r>
          </w:p>
        </w:tc>
        <w:tc>
          <w:tcPr>
            <w:tcW w:w="4443" w:type="dxa"/>
            <w:vMerge w:val="restart"/>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《工业企业厂界环境噪声排放标准》（GB12348-2008）中2类标准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601"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2078" w:type="dxa"/>
            <w:gridSpan w:val="2"/>
            <w:vAlign w:val="center"/>
          </w:tcPr>
          <w:p>
            <w:pPr>
              <w:pStyle w:val="84"/>
              <w:rPr>
                <w:szCs w:val="21"/>
              </w:rPr>
            </w:pPr>
            <w:r>
              <w:rPr>
                <w:szCs w:val="21"/>
              </w:rPr>
              <w:t>风机</w:t>
            </w:r>
          </w:p>
        </w:tc>
        <w:tc>
          <w:tcPr>
            <w:tcW w:w="4385" w:type="dxa"/>
            <w:gridSpan w:val="2"/>
            <w:vAlign w:val="center"/>
          </w:tcPr>
          <w:p>
            <w:pPr>
              <w:pStyle w:val="84"/>
              <w:rPr>
                <w:szCs w:val="21"/>
              </w:rPr>
            </w:pPr>
            <w:r>
              <w:rPr>
                <w:szCs w:val="21"/>
              </w:rPr>
              <w:t>选用低噪声设备，风机安装减振垫、风管与设备采用软连接，排风口安装消声器</w:t>
            </w:r>
          </w:p>
        </w:tc>
        <w:tc>
          <w:tcPr>
            <w:tcW w:w="1566"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c>
          <w:tcPr>
            <w:tcW w:w="855" w:type="dxa"/>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若干</w:t>
            </w:r>
          </w:p>
        </w:tc>
        <w:tc>
          <w:tcPr>
            <w:tcW w:w="4443"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2679" w:type="dxa"/>
            <w:gridSpan w:val="3"/>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排污口规范化设置</w:t>
            </w:r>
          </w:p>
        </w:tc>
        <w:tc>
          <w:tcPr>
            <w:tcW w:w="11249" w:type="dxa"/>
            <w:gridSpan w:val="5"/>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废气采样口，排放源标志牌等；危险废物暂存间环境保护图形标志灯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2679" w:type="dxa"/>
            <w:gridSpan w:val="3"/>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环境管理</w:t>
            </w:r>
          </w:p>
        </w:tc>
        <w:tc>
          <w:tcPr>
            <w:tcW w:w="11249" w:type="dxa"/>
            <w:gridSpan w:val="5"/>
            <w:vAlign w:val="center"/>
          </w:tcPr>
          <w:p>
            <w:pPr>
              <w:autoSpaceDE w:val="0"/>
              <w:autoSpaceDN w:val="0"/>
              <w:snapToGrid/>
              <w:spacing w:line="240" w:lineRule="auto"/>
              <w:ind w:firstLine="0" w:firstLineChars="0"/>
              <w:jc w:val="center"/>
              <w:textAlignment w:val="bottom"/>
              <w:rPr>
                <w:kern w:val="0"/>
                <w:sz w:val="21"/>
                <w:szCs w:val="21"/>
              </w:rPr>
            </w:pPr>
            <w:r>
              <w:rPr>
                <w:kern w:val="0"/>
                <w:sz w:val="21"/>
                <w:szCs w:val="21"/>
              </w:rPr>
              <w:t>设专职环保管理人员；建立健全风险防范措施；环保设施、环境管理规章制度、运行期环境监测制度等</w:t>
            </w:r>
          </w:p>
        </w:tc>
      </w:tr>
    </w:tbl>
    <w:p>
      <w:pPr>
        <w:ind w:firstLine="480"/>
      </w:pPr>
    </w:p>
    <w:p>
      <w:pPr>
        <w:ind w:firstLine="480"/>
        <w:rPr>
          <w:szCs w:val="24"/>
        </w:rPr>
        <w:sectPr>
          <w:headerReference r:id="rId65" w:type="default"/>
          <w:pgSz w:w="16838" w:h="11906" w:orient="landscape"/>
          <w:pgMar w:top="1440" w:right="1440" w:bottom="1440" w:left="1440" w:header="992" w:footer="992" w:gutter="0"/>
          <w:cols w:space="425" w:num="1"/>
          <w:docGrid w:type="lines" w:linePitch="326" w:charSpace="0"/>
        </w:sectPr>
      </w:pPr>
    </w:p>
    <w:p>
      <w:pPr>
        <w:pStyle w:val="2"/>
      </w:pPr>
      <w:bookmarkStart w:id="300" w:name="_Toc108422262"/>
      <w:r>
        <w:rPr>
          <w:rFonts w:hint="eastAsia"/>
        </w:rPr>
        <w:t>结论</w:t>
      </w:r>
      <w:r>
        <w:t>和建议</w:t>
      </w:r>
      <w:bookmarkEnd w:id="300"/>
    </w:p>
    <w:p>
      <w:pPr>
        <w:pStyle w:val="3"/>
      </w:pPr>
      <w:bookmarkStart w:id="301" w:name="_Toc488102196"/>
      <w:bookmarkStart w:id="302" w:name="_Toc108422263"/>
      <w:r>
        <w:rPr>
          <w:rFonts w:hint="eastAsia"/>
        </w:rPr>
        <w:t>项目概况</w:t>
      </w:r>
      <w:bookmarkEnd w:id="301"/>
      <w:bookmarkEnd w:id="302"/>
    </w:p>
    <w:p>
      <w:pPr>
        <w:ind w:firstLine="480"/>
        <w:rPr>
          <w:rFonts w:hAnsiTheme="minorEastAsia" w:eastAsiaTheme="minorEastAsia"/>
        </w:rPr>
      </w:pPr>
      <w:r>
        <w:rPr>
          <w:rFonts w:hint="eastAsia"/>
        </w:rPr>
        <w:t>陕西绿森园牧业有限公司</w:t>
      </w:r>
      <w:r>
        <w:rPr>
          <w:rFonts w:hAnsiTheme="minorEastAsia" w:eastAsiaTheme="minorEastAsia"/>
        </w:rPr>
        <w:t>位于旬阳市</w:t>
      </w:r>
      <w:r>
        <w:rPr>
          <w:rFonts w:hint="eastAsia" w:hAnsiTheme="minorEastAsia" w:eastAsiaTheme="minorEastAsia"/>
        </w:rPr>
        <w:t>关口镇关坪村</w:t>
      </w:r>
      <w:r>
        <w:rPr>
          <w:rFonts w:hAnsiTheme="minorEastAsia" w:eastAsiaTheme="minorEastAsia"/>
        </w:rPr>
        <w:t>，年</w:t>
      </w:r>
      <w:r>
        <w:rPr>
          <w:rFonts w:hint="eastAsia" w:hAnsiTheme="minorEastAsia" w:eastAsiaTheme="minorEastAsia"/>
        </w:rPr>
        <w:t>存</w:t>
      </w:r>
      <w:r>
        <w:rPr>
          <w:rFonts w:hAnsiTheme="minorEastAsia" w:eastAsiaTheme="minorEastAsia"/>
        </w:rPr>
        <w:t>栏5</w:t>
      </w:r>
      <w:r>
        <w:rPr>
          <w:rFonts w:hint="eastAsia" w:hAnsiTheme="minorEastAsia" w:eastAsiaTheme="minorEastAsia"/>
        </w:rPr>
        <w:t>000</w:t>
      </w:r>
      <w:r>
        <w:rPr>
          <w:rFonts w:hAnsiTheme="minorEastAsia" w:eastAsiaTheme="minorEastAsia"/>
        </w:rPr>
        <w:t>头</w:t>
      </w:r>
      <w:r>
        <w:rPr>
          <w:rFonts w:hint="eastAsia" w:hAnsiTheme="minorEastAsia" w:eastAsiaTheme="minorEastAsia"/>
        </w:rPr>
        <w:t>标准化生</w:t>
      </w:r>
      <w:r>
        <w:rPr>
          <w:rFonts w:hAnsiTheme="minorEastAsia" w:eastAsiaTheme="minorEastAsia"/>
        </w:rPr>
        <w:t>猪</w:t>
      </w:r>
      <w:r>
        <w:rPr>
          <w:rFonts w:hint="eastAsia" w:hAnsiTheme="minorEastAsia" w:eastAsiaTheme="minorEastAsia"/>
        </w:rPr>
        <w:t>，采用种养殖结合模式，</w:t>
      </w:r>
      <w:r>
        <w:rPr>
          <w:kern w:val="0"/>
          <w:szCs w:val="24"/>
          <w:lang w:val="zh-CN"/>
        </w:rPr>
        <w:t>种植200亩魔芋、150亩特色林果</w:t>
      </w:r>
      <w:r>
        <w:rPr>
          <w:rFonts w:hint="eastAsia" w:hAnsiTheme="minorEastAsia" w:eastAsiaTheme="minorEastAsia"/>
        </w:rPr>
        <w:t>。建设内容主要包括圈舍、饲料加工、库房、消毒室等，修建污水处理设施，铺设园区道路及建设相关配套基础设施等，</w:t>
      </w:r>
      <w:r>
        <w:rPr>
          <w:rFonts w:hAnsiTheme="minorEastAsia" w:eastAsiaTheme="minorEastAsia"/>
        </w:rPr>
        <w:t>项目</w:t>
      </w:r>
      <w:r>
        <w:t>占地面积为</w:t>
      </w:r>
      <w:r>
        <w:rPr>
          <w:rFonts w:hint="eastAsia"/>
        </w:rPr>
        <w:t>27737.7</w:t>
      </w:r>
      <w:r>
        <w:t>m</w:t>
      </w:r>
      <w:r>
        <w:rPr>
          <w:vertAlign w:val="superscript"/>
        </w:rPr>
        <w:t>2</w:t>
      </w:r>
      <w:r>
        <w:t>（</w:t>
      </w:r>
      <w:r>
        <w:rPr>
          <w:rFonts w:hint="eastAsia"/>
        </w:rPr>
        <w:t>41.6065</w:t>
      </w:r>
      <w:r>
        <w:t>亩）</w:t>
      </w:r>
      <w:r>
        <w:rPr>
          <w:rFonts w:hint="eastAsia"/>
        </w:rPr>
        <w:t>，</w:t>
      </w:r>
      <w:r>
        <w:rPr>
          <w:rFonts w:hAnsiTheme="minorEastAsia" w:eastAsiaTheme="minorEastAsia"/>
        </w:rPr>
        <w:t>总投资</w:t>
      </w:r>
      <w:r>
        <w:rPr>
          <w:rFonts w:hint="eastAsia" w:eastAsiaTheme="minorEastAsia"/>
        </w:rPr>
        <w:t>2985</w:t>
      </w:r>
      <w:r>
        <w:rPr>
          <w:rFonts w:hAnsiTheme="minorEastAsia" w:eastAsiaTheme="minorEastAsia"/>
        </w:rPr>
        <w:t>万元，环保投资</w:t>
      </w:r>
      <w:r>
        <w:rPr>
          <w:rFonts w:eastAsiaTheme="minorEastAsia"/>
        </w:rPr>
        <w:t>290.5</w:t>
      </w:r>
      <w:r>
        <w:rPr>
          <w:rFonts w:hAnsiTheme="minorEastAsia" w:eastAsiaTheme="minorEastAsia"/>
        </w:rPr>
        <w:t>万元</w:t>
      </w:r>
      <w:r>
        <w:rPr>
          <w:rFonts w:hint="eastAsia" w:hAnsiTheme="minorEastAsia" w:eastAsiaTheme="minorEastAsia"/>
        </w:rPr>
        <w:t>，</w:t>
      </w:r>
      <w:r>
        <w:rPr>
          <w:rFonts w:hAnsiTheme="minorEastAsia" w:eastAsiaTheme="minorEastAsia"/>
        </w:rPr>
        <w:t>占总投资的9.73%。</w:t>
      </w:r>
    </w:p>
    <w:p>
      <w:pPr>
        <w:pStyle w:val="3"/>
      </w:pPr>
      <w:bookmarkStart w:id="303" w:name="_Toc488102197"/>
      <w:bookmarkStart w:id="304" w:name="_Toc108422264"/>
      <w:r>
        <w:rPr>
          <w:rFonts w:hint="eastAsia"/>
        </w:rPr>
        <w:t>环境质量现状</w:t>
      </w:r>
      <w:bookmarkEnd w:id="303"/>
      <w:r>
        <w:rPr>
          <w:rFonts w:hint="eastAsia"/>
        </w:rPr>
        <w:t>结论</w:t>
      </w:r>
      <w:bookmarkEnd w:id="304"/>
    </w:p>
    <w:p>
      <w:pPr>
        <w:pStyle w:val="4"/>
      </w:pPr>
      <w:r>
        <w:rPr>
          <w:rFonts w:hint="eastAsia"/>
        </w:rPr>
        <w:t>环境空气质量现状</w:t>
      </w:r>
    </w:p>
    <w:p>
      <w:pPr>
        <w:ind w:firstLine="480"/>
      </w:pPr>
      <w:r>
        <w:rPr>
          <w:rFonts w:hint="eastAsia"/>
        </w:rPr>
        <w:t>根据</w:t>
      </w:r>
      <w:r>
        <w:t>安康市生态环境局</w:t>
      </w:r>
      <w:r>
        <w:rPr>
          <w:rFonts w:hint="eastAsia"/>
        </w:rPr>
        <w:t>2022年</w:t>
      </w:r>
      <w:r>
        <w:t>1</w:t>
      </w:r>
      <w:r>
        <w:rPr>
          <w:rFonts w:hint="eastAsia"/>
        </w:rPr>
        <w:t>月</w:t>
      </w:r>
      <w:r>
        <w:t>20</w:t>
      </w:r>
      <w:r>
        <w:rPr>
          <w:rFonts w:hint="eastAsia"/>
        </w:rPr>
        <w:t>日</w:t>
      </w:r>
      <w:r>
        <w:t>发布的《环境空气质量快报第十二期—2021年12月</w:t>
      </w:r>
      <w:r>
        <w:rPr>
          <w:rFonts w:hint="eastAsia"/>
        </w:rPr>
        <w:t>及</w:t>
      </w:r>
      <w:r>
        <w:t>1-12月</w:t>
      </w:r>
      <w:r>
        <w:rPr>
          <w:rFonts w:hint="eastAsia"/>
        </w:rPr>
        <w:t>全市</w:t>
      </w:r>
      <w:r>
        <w:t>环境空气质量状况》</w:t>
      </w:r>
      <w:r>
        <w:rPr>
          <w:rFonts w:hint="eastAsia"/>
        </w:rPr>
        <w:t>，</w:t>
      </w:r>
      <w:r>
        <w:t>项目所在区域为</w:t>
      </w:r>
      <w:r>
        <w:rPr>
          <w:rFonts w:hint="eastAsia"/>
        </w:rPr>
        <w:t>达标</w:t>
      </w:r>
      <w:r>
        <w:t>区域。</w:t>
      </w:r>
    </w:p>
    <w:p>
      <w:pPr>
        <w:pStyle w:val="79"/>
        <w:ind w:firstLine="480"/>
        <w:rPr>
          <w:rFonts w:cs="Times New Roman"/>
        </w:rPr>
      </w:pPr>
      <w:r>
        <w:rPr>
          <w:rFonts w:cs="Times New Roman"/>
        </w:rPr>
        <w:t>本次环评委托</w:t>
      </w:r>
      <w:r>
        <w:rPr>
          <w:kern w:val="0"/>
          <w:szCs w:val="24"/>
          <w:lang w:val="zh-CN"/>
        </w:rPr>
        <w:t>陕西华准通检测技术有限公司</w:t>
      </w:r>
      <w:r>
        <w:rPr>
          <w:rFonts w:cs="Times New Roman"/>
        </w:rPr>
        <w:t>项目所在地</w:t>
      </w:r>
      <w:r>
        <w:rPr>
          <w:rFonts w:hint="eastAsia" w:cs="Times New Roman"/>
        </w:rPr>
        <w:t>特征</w:t>
      </w:r>
      <w:r>
        <w:rPr>
          <w:rFonts w:cs="Times New Roman"/>
        </w:rPr>
        <w:t>污染物进行了监测。</w:t>
      </w:r>
      <w:r>
        <w:rPr>
          <w:rFonts w:hint="eastAsia"/>
        </w:rPr>
        <w:t>由监测</w:t>
      </w:r>
      <w:r>
        <w:t>结果可知，特征</w:t>
      </w:r>
      <w:r>
        <w:rPr>
          <w:rFonts w:hint="eastAsia"/>
        </w:rPr>
        <w:t>污染物NH</w:t>
      </w:r>
      <w:r>
        <w:rPr>
          <w:vertAlign w:val="subscript"/>
        </w:rPr>
        <w:t>3</w:t>
      </w:r>
      <w:r>
        <w:t>、H</w:t>
      </w:r>
      <w:r>
        <w:rPr>
          <w:vertAlign w:val="subscript"/>
        </w:rPr>
        <w:t>2</w:t>
      </w:r>
      <w:r>
        <w:t>S满足《环境影响评价技术导则大气环境》（HJ2.2-2018）表D.1中其他污染物空气质量浓度参考限值。项目建址地周边特征污染物环境背景值现状质量良好。</w:t>
      </w:r>
    </w:p>
    <w:p>
      <w:pPr>
        <w:pStyle w:val="4"/>
      </w:pPr>
      <w:r>
        <w:rPr>
          <w:rFonts w:hint="eastAsia"/>
        </w:rPr>
        <w:t>地表水</w:t>
      </w:r>
      <w:r>
        <w:t>环境质量现状</w:t>
      </w:r>
    </w:p>
    <w:p>
      <w:pPr>
        <w:pStyle w:val="79"/>
        <w:ind w:firstLine="480"/>
        <w:rPr>
          <w:rFonts w:cs="Times New Roman"/>
        </w:rPr>
      </w:pPr>
      <w:r>
        <w:rPr>
          <w:rFonts w:cs="Times New Roman"/>
        </w:rPr>
        <w:t>本次地</w:t>
      </w:r>
      <w:r>
        <w:rPr>
          <w:rFonts w:hint="eastAsia" w:cs="Times New Roman"/>
        </w:rPr>
        <w:t>表</w:t>
      </w:r>
      <w:r>
        <w:rPr>
          <w:rFonts w:cs="Times New Roman"/>
        </w:rPr>
        <w:t>水监测委托</w:t>
      </w:r>
      <w:r>
        <w:rPr>
          <w:kern w:val="0"/>
          <w:szCs w:val="24"/>
          <w:lang w:val="zh-CN"/>
        </w:rPr>
        <w:t>陕西华准通检测技术有限公司</w:t>
      </w:r>
      <w:r>
        <w:rPr>
          <w:rFonts w:cs="Times New Roman"/>
        </w:rPr>
        <w:t>对项目所在地地</w:t>
      </w:r>
      <w:r>
        <w:rPr>
          <w:rFonts w:hint="eastAsia" w:cs="Times New Roman"/>
        </w:rPr>
        <w:t>表</w:t>
      </w:r>
      <w:r>
        <w:rPr>
          <w:rFonts w:cs="Times New Roman"/>
        </w:rPr>
        <w:t>水进行监测，</w:t>
      </w:r>
      <w:r>
        <w:rPr>
          <w:rFonts w:hint="eastAsia"/>
        </w:rPr>
        <w:t>根据项目</w:t>
      </w:r>
      <w:r>
        <w:t>特点，项目周围均为空地，</w:t>
      </w:r>
      <w:r>
        <w:rPr>
          <w:rFonts w:hint="eastAsia"/>
        </w:rPr>
        <w:t>距离项目最近的地表水为项目西南方向约570</w:t>
      </w:r>
      <w:r>
        <w:t>m</w:t>
      </w:r>
      <w:r>
        <w:rPr>
          <w:rFonts w:hint="eastAsia"/>
        </w:rPr>
        <w:t>沈家河，</w:t>
      </w:r>
      <w:r>
        <w:t>本次监测仅对</w:t>
      </w:r>
      <w:r>
        <w:rPr>
          <w:rFonts w:hint="eastAsia"/>
        </w:rPr>
        <w:t>沈家河上游500m断面及下游1000m断面</w:t>
      </w:r>
      <w:r>
        <w:t>进行了监测</w:t>
      </w:r>
      <w:r>
        <w:rPr>
          <w:rFonts w:hint="eastAsia" w:cs="Times New Roman"/>
        </w:rPr>
        <w:t>，</w:t>
      </w:r>
      <w:r>
        <w:rPr>
          <w:rFonts w:cs="Times New Roman"/>
        </w:rPr>
        <w:t>由监测结果可知，项目所在地</w:t>
      </w:r>
      <w:r>
        <w:rPr>
          <w:rFonts w:hint="eastAsia" w:cs="Times New Roman"/>
        </w:rPr>
        <w:t>地表水</w:t>
      </w:r>
      <w:r>
        <w:rPr>
          <w:rFonts w:cs="Times New Roman"/>
        </w:rPr>
        <w:t>水质各项监测因子均能满足</w:t>
      </w:r>
      <w:r>
        <w:rPr>
          <w:rFonts w:hint="eastAsia" w:cs="Times New Roman"/>
        </w:rPr>
        <w:t>《地表水质量标准》（GB3838-2002）中II类标准。</w:t>
      </w:r>
    </w:p>
    <w:p>
      <w:pPr>
        <w:pStyle w:val="4"/>
      </w:pPr>
      <w:r>
        <w:rPr>
          <w:rFonts w:hint="eastAsia"/>
        </w:rPr>
        <w:t>声环境</w:t>
      </w:r>
      <w:r>
        <w:t>质量现状</w:t>
      </w:r>
    </w:p>
    <w:p>
      <w:pPr>
        <w:ind w:firstLine="480"/>
      </w:pPr>
      <w:r>
        <w:rPr>
          <w:rFonts w:hint="eastAsia"/>
        </w:rPr>
        <w:t>由</w:t>
      </w:r>
      <w:r>
        <w:t>监测结果可知，项目所在区域声环境现状良好，厂界四周昼间、夜间监测值均满足《声环境质量标准》中2类标准要求，周围声环境质量较好。</w:t>
      </w:r>
    </w:p>
    <w:p>
      <w:pPr>
        <w:pStyle w:val="4"/>
      </w:pPr>
      <w:r>
        <w:rPr>
          <w:rFonts w:hint="eastAsia"/>
        </w:rPr>
        <w:t>地下水</w:t>
      </w:r>
      <w:r>
        <w:t>质量现状</w:t>
      </w:r>
    </w:p>
    <w:p>
      <w:pPr>
        <w:ind w:firstLine="480"/>
      </w:pPr>
      <w:r>
        <w:rPr>
          <w:rFonts w:hint="eastAsia"/>
        </w:rPr>
        <w:t>由</w:t>
      </w:r>
      <w:r>
        <w:t>监测结果可知，</w:t>
      </w:r>
      <w:r>
        <w:rPr>
          <w:rFonts w:hint="eastAsia"/>
        </w:rPr>
        <w:t>项目项目所在地地下水水质各项监测因子均能满足《地下水质量标准》（GB/T14848-2017）Ⅲ类标准限值。</w:t>
      </w:r>
    </w:p>
    <w:p>
      <w:pPr>
        <w:pStyle w:val="4"/>
      </w:pPr>
      <w:r>
        <w:rPr>
          <w:rFonts w:hint="eastAsia"/>
        </w:rPr>
        <w:t>土壤</w:t>
      </w:r>
      <w:r>
        <w:t>环境质量现状</w:t>
      </w:r>
    </w:p>
    <w:p>
      <w:pPr>
        <w:ind w:firstLine="480"/>
      </w:pPr>
      <w:r>
        <w:rPr>
          <w:rFonts w:hint="eastAsia"/>
        </w:rPr>
        <w:t>项目区土壤环境质量背景值中基本项目和特征因子值均满足达到《土壤环境质量标准农用地土壤污染风险管控标准》（GB</w:t>
      </w:r>
      <w:r>
        <w:t>15618</w:t>
      </w:r>
      <w:r>
        <w:rPr>
          <w:rFonts w:hint="eastAsia"/>
        </w:rPr>
        <w:t>-2018）中第二类用地的筛选值标准要求，，项目所在地土壤环境质量较好。</w:t>
      </w:r>
    </w:p>
    <w:p>
      <w:pPr>
        <w:pStyle w:val="3"/>
      </w:pPr>
      <w:bookmarkStart w:id="305" w:name="_Toc108422265"/>
      <w:r>
        <w:rPr>
          <w:rFonts w:hint="eastAsia"/>
        </w:rPr>
        <w:t>运营期环境影响</w:t>
      </w:r>
      <w:r>
        <w:t>分析及保护措施</w:t>
      </w:r>
      <w:bookmarkEnd w:id="305"/>
    </w:p>
    <w:p>
      <w:pPr>
        <w:pStyle w:val="4"/>
      </w:pPr>
      <w:r>
        <w:rPr>
          <w:rFonts w:hint="eastAsia"/>
        </w:rPr>
        <w:t>大气</w:t>
      </w:r>
      <w:r>
        <w:t>环境</w:t>
      </w:r>
      <w:r>
        <w:rPr>
          <w:rFonts w:hint="eastAsia"/>
        </w:rPr>
        <w:t>影响</w:t>
      </w:r>
      <w:r>
        <w:t>分析及保护措施</w:t>
      </w:r>
    </w:p>
    <w:p>
      <w:pPr>
        <w:ind w:firstLine="480"/>
        <w:rPr>
          <w:kern w:val="0"/>
        </w:rPr>
      </w:pPr>
      <w:r>
        <w:rPr>
          <w:rFonts w:hint="eastAsia"/>
          <w:kern w:val="0"/>
        </w:rPr>
        <w:t>项目</w:t>
      </w:r>
      <w:r>
        <w:rPr>
          <w:kern w:val="0"/>
        </w:rPr>
        <w:t>采用</w:t>
      </w:r>
      <w:r>
        <w:rPr>
          <w:rFonts w:hint="eastAsia"/>
          <w:kern w:val="0"/>
        </w:rPr>
        <w:t>干清粪</w:t>
      </w:r>
      <w:r>
        <w:rPr>
          <w:kern w:val="0"/>
        </w:rPr>
        <w:t>工艺，</w:t>
      </w:r>
      <w:r>
        <w:rPr>
          <w:rFonts w:hint="eastAsia"/>
          <w:kern w:val="0"/>
        </w:rPr>
        <w:t>猪舍、堆粪区</w:t>
      </w:r>
      <w:r>
        <w:rPr>
          <w:kern w:val="0"/>
        </w:rPr>
        <w:t>、</w:t>
      </w:r>
      <w:r>
        <w:rPr>
          <w:rFonts w:hint="eastAsia"/>
          <w:kern w:val="0"/>
        </w:rPr>
        <w:t>污水</w:t>
      </w:r>
      <w:r>
        <w:rPr>
          <w:kern w:val="0"/>
        </w:rPr>
        <w:t>处理区</w:t>
      </w:r>
      <w:r>
        <w:rPr>
          <w:rFonts w:hint="eastAsia"/>
          <w:kern w:val="0"/>
        </w:rPr>
        <w:t>喷洒生物除臭剂，饲料中添加EM 菌，猪舍</w:t>
      </w:r>
      <w:r>
        <w:rPr>
          <w:kern w:val="0"/>
        </w:rPr>
        <w:t>加强通风，</w:t>
      </w:r>
      <w:r>
        <w:rPr>
          <w:rFonts w:hint="eastAsia"/>
          <w:kern w:val="0"/>
        </w:rPr>
        <w:t>堆粪</w:t>
      </w:r>
      <w:r>
        <w:rPr>
          <w:kern w:val="0"/>
        </w:rPr>
        <w:t>区设置堆粪棚并及时清运，</w:t>
      </w:r>
      <w:r>
        <w:rPr>
          <w:rFonts w:hint="eastAsia"/>
          <w:kern w:val="0"/>
        </w:rPr>
        <w:t>污水</w:t>
      </w:r>
      <w:r>
        <w:rPr>
          <w:kern w:val="0"/>
        </w:rPr>
        <w:t>处理构筑物加盖密闭，</w:t>
      </w:r>
      <w:r>
        <w:rPr>
          <w:rFonts w:hint="eastAsia"/>
          <w:kern w:val="0"/>
        </w:rPr>
        <w:t>NH</w:t>
      </w:r>
      <w:r>
        <w:rPr>
          <w:rFonts w:hint="eastAsia"/>
          <w:kern w:val="0"/>
          <w:vertAlign w:val="subscript"/>
        </w:rPr>
        <w:t>3</w:t>
      </w:r>
      <w:r>
        <w:rPr>
          <w:rFonts w:hint="eastAsia"/>
          <w:kern w:val="0"/>
        </w:rPr>
        <w:t>和H</w:t>
      </w:r>
      <w:r>
        <w:rPr>
          <w:rFonts w:hint="eastAsia"/>
          <w:kern w:val="0"/>
          <w:vertAlign w:val="subscript"/>
        </w:rPr>
        <w:t>2</w:t>
      </w:r>
      <w:r>
        <w:rPr>
          <w:rFonts w:hint="eastAsia"/>
          <w:kern w:val="0"/>
        </w:rPr>
        <w:t>S 满足《恶臭污染物排放标准》（GB14554-93）表1中二级新扩改建厂界标准限值要求；沼气经脱水脱硫后通过</w:t>
      </w:r>
      <w:r>
        <w:rPr>
          <w:kern w:val="0"/>
        </w:rPr>
        <w:t>火炬燃烧排放，排气筒高度不低于</w:t>
      </w:r>
      <w:r>
        <w:rPr>
          <w:rFonts w:hint="eastAsia"/>
          <w:kern w:val="0"/>
        </w:rPr>
        <w:t>8</w:t>
      </w:r>
      <w:r>
        <w:rPr>
          <w:kern w:val="0"/>
        </w:rPr>
        <w:t>m</w:t>
      </w:r>
      <w:r>
        <w:rPr>
          <w:rFonts w:hint="eastAsia"/>
          <w:kern w:val="0"/>
        </w:rPr>
        <w:t>，因此，项目产生的废气对周围环境影响较小。</w:t>
      </w:r>
    </w:p>
    <w:p>
      <w:pPr>
        <w:pStyle w:val="4"/>
      </w:pPr>
      <w:r>
        <w:rPr>
          <w:rFonts w:hint="eastAsia"/>
        </w:rPr>
        <w:t>地表水</w:t>
      </w:r>
      <w:r>
        <w:t>环境</w:t>
      </w:r>
      <w:r>
        <w:rPr>
          <w:rFonts w:hint="eastAsia"/>
        </w:rPr>
        <w:t>影响评价</w:t>
      </w:r>
      <w:r>
        <w:t>结论</w:t>
      </w:r>
    </w:p>
    <w:p>
      <w:pPr>
        <w:pStyle w:val="79"/>
        <w:ind w:firstLine="480"/>
        <w:rPr>
          <w:rFonts w:cs="Times New Roman"/>
        </w:rPr>
      </w:pPr>
      <w:r>
        <w:rPr>
          <w:rFonts w:hint="eastAsia"/>
        </w:rPr>
        <w:t>营运期的废水主要为猪尿、猪舍冲洗废水以及职工生活污水。猪尿、猪舍冲洗废水经厂区的污水管道收集至污水处理系统，项目食堂废水经隔油池处理后与其他生活污水一起经化粪池预处理后排入污水处理系统。项目废水采用“集</w:t>
      </w:r>
      <w:r>
        <w:t>粪池</w:t>
      </w:r>
      <w:r>
        <w:rPr>
          <w:rFonts w:hint="eastAsia"/>
        </w:rPr>
        <w:t>+固液</w:t>
      </w:r>
      <w:r>
        <w:t>分离</w:t>
      </w:r>
      <w:r>
        <w:rPr>
          <w:rFonts w:hint="eastAsia"/>
        </w:rPr>
        <w:t>+厌氧</w:t>
      </w:r>
      <w:r>
        <w:t>发酵池处理</w:t>
      </w:r>
      <w:r>
        <w:rPr>
          <w:rFonts w:cs="Times New Roman"/>
        </w:rPr>
        <w:t>”，处理后的</w:t>
      </w:r>
      <w:r>
        <w:rPr>
          <w:rFonts w:hint="eastAsia" w:cs="Times New Roman"/>
        </w:rPr>
        <w:t>沼液</w:t>
      </w:r>
      <w:r>
        <w:rPr>
          <w:rFonts w:cs="Times New Roman"/>
        </w:rPr>
        <w:t>用于</w:t>
      </w:r>
      <w:r>
        <w:rPr>
          <w:rFonts w:hint="eastAsia" w:cs="Times New Roman"/>
        </w:rPr>
        <w:t>种植</w:t>
      </w:r>
      <w:r>
        <w:rPr>
          <w:rFonts w:cs="Times New Roman"/>
        </w:rPr>
        <w:t>区的</w:t>
      </w:r>
      <w:r>
        <w:rPr>
          <w:rFonts w:hint="eastAsia"/>
        </w:rPr>
        <w:t>魔芋、林果等种植农田施肥</w:t>
      </w:r>
      <w:r>
        <w:rPr>
          <w:rFonts w:cs="Times New Roman"/>
        </w:rPr>
        <w:t>。</w:t>
      </w:r>
    </w:p>
    <w:p>
      <w:pPr>
        <w:pStyle w:val="4"/>
      </w:pPr>
      <w:r>
        <w:rPr>
          <w:rFonts w:hint="eastAsia"/>
        </w:rPr>
        <w:t>噪声</w:t>
      </w:r>
    </w:p>
    <w:p>
      <w:pPr>
        <w:pStyle w:val="79"/>
        <w:ind w:firstLine="480"/>
      </w:pPr>
      <w:r>
        <w:rPr>
          <w:rFonts w:hint="eastAsia"/>
        </w:rPr>
        <w:t>项目</w:t>
      </w:r>
      <w:r>
        <w:t>噪声主要来源于猪舍风机、</w:t>
      </w:r>
      <w:r>
        <w:rPr>
          <w:rFonts w:hint="eastAsia"/>
        </w:rPr>
        <w:t>猪叫、换气扇</w:t>
      </w:r>
      <w:r>
        <w:t>、</w:t>
      </w:r>
      <w:r>
        <w:rPr>
          <w:rFonts w:hint="eastAsia"/>
        </w:rPr>
        <w:t>水泵、固液</w:t>
      </w:r>
      <w:r>
        <w:t>分离机等机械设备，</w:t>
      </w:r>
      <w:r>
        <w:rPr>
          <w:rFonts w:hint="eastAsia"/>
        </w:rPr>
        <w:t>行驶车辆噪声等。项目选用低噪声设备，采取基础减振、建筑隔声、消声等措施，车辆禁止鸣笛，在采取降噪措施后，项目厂界噪声可满足《工业企业厂界环境噪声排放</w:t>
      </w:r>
      <w:r>
        <w:rPr>
          <w:rFonts w:cs="Times New Roman"/>
        </w:rPr>
        <w:t>标准》（</w:t>
      </w:r>
      <w:r>
        <w:rPr>
          <w:rFonts w:eastAsia="TimesNewRomanPSMT" w:cs="Times New Roman"/>
        </w:rPr>
        <w:t>GB12348-2008</w:t>
      </w:r>
      <w:r>
        <w:rPr>
          <w:rFonts w:cs="Times New Roman"/>
        </w:rPr>
        <w:t>）</w:t>
      </w:r>
      <w:r>
        <w:rPr>
          <w:rFonts w:eastAsia="TimesNewRomanPSMT" w:cs="Times New Roman"/>
        </w:rPr>
        <w:t xml:space="preserve">2 </w:t>
      </w:r>
      <w:r>
        <w:rPr>
          <w:rFonts w:cs="Times New Roman"/>
        </w:rPr>
        <w:t>类</w:t>
      </w:r>
      <w:r>
        <w:rPr>
          <w:rFonts w:hint="eastAsia"/>
        </w:rPr>
        <w:t>标准要求，不会对周围声环境产生影响。</w:t>
      </w:r>
    </w:p>
    <w:p>
      <w:pPr>
        <w:pStyle w:val="4"/>
      </w:pPr>
      <w:r>
        <w:rPr>
          <w:rFonts w:hint="eastAsia"/>
        </w:rPr>
        <w:t>固体废物</w:t>
      </w:r>
    </w:p>
    <w:p>
      <w:pPr>
        <w:ind w:firstLine="480"/>
      </w:pPr>
      <w:r>
        <w:rPr>
          <w:rFonts w:hint="eastAsia"/>
        </w:rPr>
        <w:t>项目</w:t>
      </w:r>
      <w:r>
        <w:t>猪舍产生的病死猪及分娩胎衣废物</w:t>
      </w:r>
      <w:r>
        <w:rPr>
          <w:rFonts w:hint="eastAsia"/>
        </w:rPr>
        <w:t>设置</w:t>
      </w:r>
      <w:r>
        <w:t>安全填埋井，</w:t>
      </w:r>
      <w:r>
        <w:rPr>
          <w:rFonts w:hint="eastAsia"/>
        </w:rPr>
        <w:t>在</w:t>
      </w:r>
      <w:r>
        <w:t>场内安全填埋</w:t>
      </w:r>
      <w:r>
        <w:rPr>
          <w:rFonts w:hint="eastAsia"/>
        </w:rPr>
        <w:t>，</w:t>
      </w:r>
      <w:r>
        <w:t>猪粪</w:t>
      </w:r>
      <w:r>
        <w:rPr>
          <w:rFonts w:hint="eastAsia"/>
        </w:rPr>
        <w:t>采用干清粪工艺，分离率</w:t>
      </w:r>
      <w:r>
        <w:t>80</w:t>
      </w:r>
      <w:r>
        <w:rPr>
          <w:rFonts w:hint="eastAsia"/>
        </w:rPr>
        <w:t>%外售</w:t>
      </w:r>
      <w:r>
        <w:t>有机肥厂</w:t>
      </w:r>
      <w:r>
        <w:rPr>
          <w:rFonts w:hint="eastAsia"/>
        </w:rPr>
        <w:t>，</w:t>
      </w:r>
      <w:r>
        <w:t>20</w:t>
      </w:r>
      <w:r>
        <w:rPr>
          <w:rFonts w:hint="eastAsia"/>
        </w:rPr>
        <w:t>%进入厌氧</w:t>
      </w:r>
      <w:r>
        <w:t>发酵池，废脱硫剂由厂家回收利用，医疗废物</w:t>
      </w:r>
      <w:r>
        <w:rPr>
          <w:rFonts w:hint="eastAsia"/>
        </w:rPr>
        <w:t>暂存于危废暂存间，交由有危废资质单位处置，</w:t>
      </w:r>
      <w:r>
        <w:t>生活垃圾</w:t>
      </w:r>
      <w:r>
        <w:rPr>
          <w:rFonts w:hint="eastAsia"/>
        </w:rPr>
        <w:t>设置</w:t>
      </w:r>
      <w:r>
        <w:t>垃圾桶统一收集，由环卫部门统一清运</w:t>
      </w:r>
      <w:r>
        <w:rPr>
          <w:rFonts w:hint="eastAsia"/>
        </w:rPr>
        <w:t>。</w:t>
      </w:r>
    </w:p>
    <w:p>
      <w:pPr>
        <w:ind w:firstLine="480"/>
      </w:pPr>
      <w:r>
        <w:rPr>
          <w:rFonts w:hint="eastAsia"/>
        </w:rPr>
        <w:t>综上</w:t>
      </w:r>
      <w:r>
        <w:t>，本项目产生的固体废物首先立足于综合利用，尽量减少向环境排放，通过对固体废物的合理处置，基本不会对周围环境造成影响。</w:t>
      </w:r>
    </w:p>
    <w:p>
      <w:pPr>
        <w:pStyle w:val="4"/>
      </w:pPr>
      <w:r>
        <w:rPr>
          <w:rFonts w:hint="eastAsia"/>
        </w:rPr>
        <w:t>地下水</w:t>
      </w:r>
      <w:r>
        <w:t>及土壤</w:t>
      </w:r>
      <w:r>
        <w:rPr>
          <w:rFonts w:hint="eastAsia"/>
        </w:rPr>
        <w:t>环境</w:t>
      </w:r>
      <w:r>
        <w:t>影响评价结论</w:t>
      </w:r>
    </w:p>
    <w:p>
      <w:pPr>
        <w:ind w:firstLine="480"/>
        <w:rPr>
          <w:kern w:val="0"/>
        </w:rPr>
      </w:pPr>
      <w:r>
        <w:rPr>
          <w:rFonts w:hint="eastAsia"/>
          <w:kern w:val="0"/>
        </w:rPr>
        <w:t>项目废水以COD、NH</w:t>
      </w:r>
      <w:r>
        <w:rPr>
          <w:rFonts w:hint="eastAsia"/>
          <w:kern w:val="0"/>
          <w:vertAlign w:val="subscript"/>
        </w:rPr>
        <w:t>3</w:t>
      </w:r>
      <w:r>
        <w:rPr>
          <w:rFonts w:hint="eastAsia"/>
          <w:kern w:val="0"/>
        </w:rPr>
        <w:t>-N 为代表的有机物污染物质渗入到地下水体，对地下水环境造成影响。项目设置重点防渗区域，包括污水处理区的池底和池壁，养殖区的粪沟和尿道，固废暂存间的池底和池壁等，采用防渗钢筋混凝土，池体内表面涂刷水泥基渗透结晶型防渗涂料（渗透系数不大于1.0×10</w:t>
      </w:r>
      <w:r>
        <w:rPr>
          <w:rFonts w:hint="eastAsia"/>
          <w:kern w:val="0"/>
          <w:vertAlign w:val="superscript"/>
        </w:rPr>
        <w:t>-10</w:t>
      </w:r>
      <w:r>
        <w:rPr>
          <w:rFonts w:hint="eastAsia"/>
          <w:kern w:val="0"/>
        </w:rPr>
        <w:t>cm/s）。一般污染防治区包括保育舍、育肥舍、公猪站等地面；运输道路区域、配电室、消防泵房和消防池等，均参考《一般工业固体废物贮存和填埋污染控制标准》（GB18599-20</w:t>
      </w:r>
      <w:r>
        <w:rPr>
          <w:kern w:val="0"/>
        </w:rPr>
        <w:t>20</w:t>
      </w:r>
      <w:r>
        <w:rPr>
          <w:rFonts w:hint="eastAsia"/>
          <w:kern w:val="0"/>
        </w:rPr>
        <w:t>），一般污染防治区地坪混凝土防渗层抗渗等级不应小于P6，其厚度不宜小于100mm，其防渗层性能应与1.5m厚粘土层（渗透系数1.0×10</w:t>
      </w:r>
      <w:r>
        <w:rPr>
          <w:rFonts w:hint="eastAsia"/>
          <w:kern w:val="0"/>
          <w:vertAlign w:val="superscript"/>
        </w:rPr>
        <w:t>-7</w:t>
      </w:r>
      <w:r>
        <w:rPr>
          <w:rFonts w:hint="eastAsia"/>
          <w:kern w:val="0"/>
        </w:rPr>
        <w:t>cm/s）等效。</w:t>
      </w:r>
    </w:p>
    <w:p>
      <w:pPr>
        <w:ind w:firstLine="480"/>
        <w:rPr>
          <w:kern w:val="0"/>
        </w:rPr>
      </w:pPr>
      <w:r>
        <w:rPr>
          <w:rFonts w:hint="eastAsia"/>
          <w:kern w:val="0"/>
        </w:rPr>
        <w:t>项目场地及周边区域布设一定数量的地下水污染监控井，建立地下水污染监控体系，建立完善的监测制度，配备先进的监测仪器设备，定时监测污染治理情况及其对保护目标地下水水质情况，及时发现，及时处理。</w:t>
      </w:r>
    </w:p>
    <w:p>
      <w:pPr>
        <w:ind w:firstLine="480"/>
        <w:rPr>
          <w:kern w:val="0"/>
        </w:rPr>
      </w:pPr>
      <w:r>
        <w:rPr>
          <w:rFonts w:hint="eastAsia"/>
          <w:kern w:val="0"/>
        </w:rPr>
        <w:t>通过以上措施，项目的运行对地下水及土壤的影响较小。</w:t>
      </w:r>
    </w:p>
    <w:p>
      <w:pPr>
        <w:pStyle w:val="3"/>
        <w:rPr>
          <w:kern w:val="0"/>
        </w:rPr>
      </w:pPr>
      <w:bookmarkStart w:id="306" w:name="_Toc108422266"/>
      <w:bookmarkStart w:id="307" w:name="_Toc488102200"/>
      <w:bookmarkStart w:id="308" w:name="_Toc16081"/>
      <w:r>
        <w:rPr>
          <w:rFonts w:hint="eastAsia"/>
          <w:kern w:val="0"/>
        </w:rPr>
        <w:t>公众参与</w:t>
      </w:r>
      <w:bookmarkEnd w:id="306"/>
      <w:bookmarkEnd w:id="307"/>
      <w:bookmarkEnd w:id="308"/>
    </w:p>
    <w:p>
      <w:pPr>
        <w:ind w:firstLine="480"/>
      </w:pPr>
      <w:r>
        <w:rPr>
          <w:rFonts w:hint="eastAsia"/>
        </w:rPr>
        <w:t>建设单位通过一次和二次公示，公众对项目建设无反对意见。建设单位在制定并落实切实有效的环保措施的</w:t>
      </w:r>
      <w:r>
        <w:t>前提下</w:t>
      </w:r>
      <w:r>
        <w:rPr>
          <w:rFonts w:hint="eastAsia"/>
        </w:rPr>
        <w:t>，同时接受社会和生态环境主管部门的监督，将由本项目建设期和运营期带来的环境影响降低到最低程度，最大限度的体现本项目的社会、环境效益。</w:t>
      </w:r>
    </w:p>
    <w:p>
      <w:pPr>
        <w:pStyle w:val="3"/>
      </w:pPr>
      <w:bookmarkStart w:id="309" w:name="_Toc486470424"/>
      <w:bookmarkStart w:id="310" w:name="_Toc488102204"/>
      <w:bookmarkStart w:id="311" w:name="_Toc108422267"/>
      <w:r>
        <w:rPr>
          <w:rFonts w:hint="eastAsia"/>
        </w:rPr>
        <w:t>总结论</w:t>
      </w:r>
      <w:bookmarkEnd w:id="309"/>
      <w:bookmarkEnd w:id="310"/>
      <w:bookmarkEnd w:id="311"/>
    </w:p>
    <w:p>
      <w:pPr>
        <w:ind w:firstLine="496"/>
        <w:rPr>
          <w:rFonts w:hAnsiTheme="minorEastAsia" w:eastAsiaTheme="minorEastAsia"/>
          <w:b/>
        </w:rPr>
      </w:pPr>
      <w:r>
        <w:rPr>
          <w:rFonts w:asciiTheme="minorEastAsia" w:hAnsiTheme="minorEastAsia" w:eastAsiaTheme="minorEastAsia"/>
          <w:spacing w:val="4"/>
        </w:rPr>
        <w:t>综上所述，</w:t>
      </w:r>
      <w:r>
        <w:rPr>
          <w:rFonts w:hint="eastAsia" w:hAnsiTheme="minorEastAsia" w:eastAsiaTheme="minorEastAsia"/>
        </w:rPr>
        <w:t>陕西绿森园牧业有限公司</w:t>
      </w:r>
      <w:r>
        <w:rPr>
          <w:rFonts w:hint="eastAsia"/>
        </w:rPr>
        <w:t>养殖项目</w:t>
      </w:r>
      <w:r>
        <w:rPr>
          <w:rFonts w:asciiTheme="minorEastAsia" w:hAnsiTheme="minorEastAsia" w:eastAsiaTheme="minorEastAsia"/>
          <w:spacing w:val="4"/>
        </w:rPr>
        <w:t>符合国家产业政策和当地发展规划</w:t>
      </w:r>
      <w:r>
        <w:rPr>
          <w:rFonts w:hint="eastAsia" w:asciiTheme="minorEastAsia" w:hAnsiTheme="minorEastAsia" w:eastAsiaTheme="minorEastAsia"/>
          <w:spacing w:val="4"/>
        </w:rPr>
        <w:t>，项目</w:t>
      </w:r>
      <w:r>
        <w:rPr>
          <w:rFonts w:asciiTheme="minorEastAsia" w:hAnsiTheme="minorEastAsia" w:eastAsiaTheme="minorEastAsia"/>
          <w:spacing w:val="4"/>
        </w:rPr>
        <w:t>选址及平面布置合理</w:t>
      </w:r>
      <w:r>
        <w:rPr>
          <w:rFonts w:hint="eastAsia" w:asciiTheme="minorEastAsia" w:hAnsiTheme="minorEastAsia" w:eastAsiaTheme="minorEastAsia"/>
          <w:spacing w:val="4"/>
        </w:rPr>
        <w:t>，采用的生产</w:t>
      </w:r>
      <w:r>
        <w:rPr>
          <w:rFonts w:asciiTheme="minorEastAsia" w:hAnsiTheme="minorEastAsia" w:eastAsiaTheme="minorEastAsia"/>
          <w:spacing w:val="4"/>
        </w:rPr>
        <w:t>工艺和污染治理措施技术先进</w:t>
      </w:r>
      <w:r>
        <w:rPr>
          <w:rFonts w:hint="eastAsia" w:asciiTheme="minorEastAsia" w:hAnsiTheme="minorEastAsia" w:eastAsiaTheme="minorEastAsia"/>
          <w:spacing w:val="4"/>
        </w:rPr>
        <w:t>、</w:t>
      </w:r>
      <w:r>
        <w:rPr>
          <w:rFonts w:asciiTheme="minorEastAsia" w:hAnsiTheme="minorEastAsia" w:eastAsiaTheme="minorEastAsia"/>
          <w:spacing w:val="4"/>
        </w:rPr>
        <w:t>经济可行</w:t>
      </w:r>
      <w:r>
        <w:rPr>
          <w:rFonts w:hint="eastAsia" w:asciiTheme="minorEastAsia" w:hAnsiTheme="minorEastAsia" w:eastAsiaTheme="minorEastAsia"/>
          <w:spacing w:val="4"/>
        </w:rPr>
        <w:t>，符合清洁生产的要求，在严格执行“三同时”，并采取本环评提出的各项污染治理措施及环境管理措施后，项目运营期污染物排放能够稳定达标，对周围环境的影响较小，不会改变区域环境，环境风险可控，得到了项目区域公众的支持。从环境保护的角度分析，本项目的建设是可行的。</w:t>
      </w:r>
    </w:p>
    <w:p>
      <w:pPr>
        <w:pStyle w:val="3"/>
      </w:pPr>
      <w:bookmarkStart w:id="312" w:name="_Toc108422268"/>
      <w:r>
        <w:rPr>
          <w:rFonts w:hint="eastAsia"/>
        </w:rPr>
        <w:t>要求</w:t>
      </w:r>
      <w:r>
        <w:t>和建议</w:t>
      </w:r>
      <w:bookmarkEnd w:id="312"/>
    </w:p>
    <w:p>
      <w:pPr>
        <w:pStyle w:val="4"/>
      </w:pPr>
      <w:r>
        <w:rPr>
          <w:rFonts w:hint="eastAsia"/>
        </w:rPr>
        <w:t>要求</w:t>
      </w:r>
    </w:p>
    <w:p>
      <w:pPr>
        <w:ind w:firstLine="480"/>
      </w:pPr>
      <w:r>
        <w:rPr>
          <w:rFonts w:hint="eastAsia"/>
        </w:rPr>
        <w:t>（1）项目卫生防护距离范围内不得新建居民区、学校、医院、公园等环境敏感目标；</w:t>
      </w:r>
    </w:p>
    <w:p>
      <w:pPr>
        <w:ind w:firstLine="480"/>
      </w:pPr>
      <w:r>
        <w:rPr>
          <w:rFonts w:hint="eastAsia"/>
        </w:rPr>
        <w:t>（2）在项目实施过程中应严格执行《大中型家畜养殖场建设环境保护</w:t>
      </w:r>
      <w:r>
        <w:t>标准》</w:t>
      </w:r>
      <w:r>
        <w:rPr>
          <w:rFonts w:hint="eastAsia"/>
        </w:rPr>
        <w:t>（DB61/422-2008）及原国家环保总局颁布的《畜禽养殖业污染防治技术规范》（HJ/T81-2001）；</w:t>
      </w:r>
    </w:p>
    <w:p>
      <w:pPr>
        <w:ind w:firstLine="480"/>
      </w:pPr>
      <w:r>
        <w:rPr>
          <w:rFonts w:hint="eastAsia"/>
        </w:rPr>
        <w:t>（3）必须建立健全严格的防疫制度和先进的卫生设施，以确保安全生产；</w:t>
      </w:r>
    </w:p>
    <w:p>
      <w:pPr>
        <w:ind w:firstLine="480"/>
      </w:pPr>
      <w:r>
        <w:rPr>
          <w:rFonts w:hint="eastAsia"/>
        </w:rPr>
        <w:t>（4）企业应做好养殖场猪病预防及猪瘟防治措施，养殖基地需建设围墙、防疫沟及绿化隔离带；</w:t>
      </w:r>
    </w:p>
    <w:p>
      <w:pPr>
        <w:ind w:firstLine="480"/>
      </w:pPr>
      <w:r>
        <w:rPr>
          <w:rFonts w:hint="eastAsia"/>
        </w:rPr>
        <w:t>（5）项目储气设施应符合安全管理要求，确保环境风险的可接受性。</w:t>
      </w:r>
    </w:p>
    <w:p>
      <w:pPr>
        <w:pStyle w:val="4"/>
      </w:pPr>
      <w:r>
        <w:rPr>
          <w:rFonts w:hint="eastAsia"/>
        </w:rPr>
        <w:t>建议</w:t>
      </w:r>
      <w:r>
        <w:tab/>
      </w:r>
    </w:p>
    <w:p>
      <w:pPr>
        <w:ind w:firstLine="480"/>
      </w:pPr>
      <w:r>
        <w:rPr>
          <w:rFonts w:hint="eastAsia"/>
        </w:rPr>
        <w:t>（1）加强场区绿化工作，绿化有利于猪场的防火防疫。种植隔离林带，互不交叉，可防止人畜任意往来而引起的疫病传播；</w:t>
      </w:r>
    </w:p>
    <w:p>
      <w:pPr>
        <w:ind w:firstLine="480"/>
      </w:pPr>
      <w:r>
        <w:rPr>
          <w:rFonts w:hint="eastAsia"/>
        </w:rPr>
        <w:t>（2）尽可能多的接收厂区周围农民为本项目工作人员，并对其进行技术培训，提高当地居民的收入；</w:t>
      </w:r>
    </w:p>
    <w:p>
      <w:pPr>
        <w:ind w:firstLine="480"/>
      </w:pPr>
      <w:r>
        <w:rPr>
          <w:rFonts w:hint="eastAsia"/>
        </w:rPr>
        <w:t>（3）增强职工环境意识，制订环保设施操作运行规程，建立健全各项环保岗位责任制，强化环保管理，确保环保设施正常稳定运行；加强监督管理，消除事故隐患，防止出现事故性和非正常污染排放。</w:t>
      </w:r>
    </w:p>
    <w:sectPr>
      <w:headerReference r:id="rId66" w:type="default"/>
      <w:headerReference r:id="rId67" w:type="even"/>
      <w:type w:val="oddPage"/>
      <w:pgSz w:w="11906" w:h="16838"/>
      <w:pgMar w:top="1418" w:right="1440" w:bottom="1418" w:left="1440" w:header="992" w:footer="992"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TimesNewRomanPSMT">
    <w:altName w:val="Times New Roman"/>
    <w:panose1 w:val="00000000000000000000"/>
    <w:charset w:val="00"/>
    <w:family w:val="auto"/>
    <w:pitch w:val="default"/>
    <w:sig w:usb0="00000000" w:usb1="0000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Chars="111"/>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43535" cy="196850"/>
              <wp:effectExtent l="0" t="0" r="18415" b="12700"/>
              <wp:wrapNone/>
              <wp:docPr id="2"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wps:spPr>
                    <wps:txbx>
                      <w:txbxContent>
                        <w:p>
                          <w:pPr>
                            <w:ind w:firstLine="360"/>
                            <w:rPr>
                              <w:sz w:val="18"/>
                            </w:rPr>
                          </w:pP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15.5pt;width:27.05pt;mso-position-horizontal:center;mso-position-horizontal-relative:margin;mso-wrap-style:none;z-index:251658240;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ajrpdEAAAADAQAADwAAAAAAAAABACAAAAAiAAAAZHJzL2Rvd25yZXYueG1sUEsBAhQAFAAAAAgA&#10;h07iQO2Kv8HzAQAAtwMAAA4AAAAAAAAAAQAgAAAAIAEAAGRycy9lMm9Eb2MueG1sUEsFBgAAAAAG&#10;AAYAWQEAAIUFAAAAAA==&#10;">
              <v:fill on="f" focussize="0,0"/>
              <v:stroke on="f"/>
              <v:imagedata o:title=""/>
              <o:lock v:ext="edit" aspectratio="f"/>
              <v:textbox inset="0mm,0mm,0mm,0mm" style="mso-fit-shape-to-text:t;">
                <w:txbxContent>
                  <w:p>
                    <w:pPr>
                      <w:ind w:firstLine="360"/>
                      <w:rPr>
                        <w:sz w:val="18"/>
                      </w:rPr>
                    </w:pP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343535" cy="196850"/>
              <wp:effectExtent l="0" t="0" r="18415" b="12700"/>
              <wp:wrapNone/>
              <wp:docPr id="1"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wps:spPr>
                    <wps:txbx>
                      <w:txbxContent>
                        <w:p>
                          <w:pPr>
                            <w:ind w:firstLine="360"/>
                            <w:rPr>
                              <w:sz w:val="18"/>
                            </w:rPr>
                          </w:pPr>
                        </w:p>
                      </w:txbxContent>
                    </wps:txbx>
                    <wps:bodyPr rot="0" vert="horz" wrap="none" lIns="0" tIns="0" rIns="0" bIns="0" anchor="t" anchorCtr="0" upright="1">
                      <a:spAutoFit/>
                    </wps:bodyPr>
                  </wps:wsp>
                </a:graphicData>
              </a:graphic>
            </wp:anchor>
          </w:drawing>
        </mc:Choice>
        <mc:Fallback>
          <w:pict>
            <v:shape id="文本框 1028" o:spid="_x0000_s1026" o:spt="202" type="#_x0000_t202" style="position:absolute;left:0pt;margin-top:0pt;height:15.5pt;width:27.05pt;mso-position-horizontal:center;mso-position-horizontal-relative:margin;mso-wrap-style:none;z-index:251657216;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qOul0QAAAAMBAAAPAAAAAAAAAAEAIAAAACIAAABkcnMvZG93bnJldi54bWxQSwECFAAUAAAACACH&#10;TuJAKZYgF/IBAAC3AwAADgAAAAAAAAABACAAAAAgAQAAZHJzL2Uyb0RvYy54bWxQSwUGAAAAAAYA&#10;BgBZAQAAhAUAAAAA&#10;">
              <v:fill on="f" focussize="0,0"/>
              <v:stroke on="f"/>
              <v:imagedata o:title=""/>
              <o:lock v:ext="edit" aspectratio="f"/>
              <v:textbox inset="0mm,0mm,0mm,0mm" style="mso-fit-shape-to-text:t;">
                <w:txbxContent>
                  <w:p>
                    <w:pPr>
                      <w:ind w:firstLine="360"/>
                      <w:rPr>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rPr>
        <w:rFonts w:ascii="宋体" w:hAnsi="宋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9699725"/>
      <w:docPartObj>
        <w:docPartGallery w:val="AutoText"/>
      </w:docPartObj>
    </w:sdtPr>
    <w:sdtContent>
      <w:p>
        <w:pPr>
          <w:pStyle w:val="19"/>
          <w:ind w:firstLine="360"/>
          <w:jc w:val="center"/>
        </w:pPr>
        <w:r>
          <w:fldChar w:fldCharType="begin"/>
        </w:r>
        <w:r>
          <w:instrText xml:space="preserve">PAGE   \* MERGEFORMAT</w:instrText>
        </w:r>
        <w:r>
          <w:fldChar w:fldCharType="separate"/>
        </w:r>
        <w:r>
          <w:rPr>
            <w:lang w:val="zh-CN"/>
          </w:rPr>
          <w:t>II</w:t>
        </w:r>
        <w:r>
          <w:rPr>
            <w:lang w:val="zh-CN"/>
          </w:rPr>
          <w:fldChar w:fldCharType="end"/>
        </w:r>
      </w:p>
    </w:sdtContent>
  </w:sdt>
  <w:p>
    <w:pPr>
      <w:pStyle w:val="19"/>
      <w:pBdr>
        <w:top w:val="single" w:color="auto" w:sz="6" w:space="1"/>
      </w:pBdr>
      <w:spacing w:line="240" w:lineRule="auto"/>
      <w:ind w:firstLine="0" w:firstLineChars="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auto" w:sz="4" w:space="1"/>
      </w:pBdr>
      <w:spacing w:line="240" w:lineRule="auto"/>
      <w:ind w:firstLine="0" w:firstLineChars="0"/>
      <w:jc w:val="center"/>
    </w:pPr>
    <w:r>
      <w:ptab w:relativeTo="margin" w:alignment="center" w:leader="none"/>
    </w:r>
    <w:r>
      <w:fldChar w:fldCharType="begin"/>
    </w:r>
    <w:r>
      <w:instrText xml:space="preserve"> PAGE   \* MERGEFORMAT </w:instrText>
    </w:r>
    <w:r>
      <w:fldChar w:fldCharType="separate"/>
    </w:r>
    <w:r>
      <w:rPr>
        <w:lang w:val="zh-CN"/>
      </w:rPr>
      <w:t>-</w:t>
    </w:r>
    <w:r>
      <w:t xml:space="preserve"> 120 -</w:t>
    </w:r>
    <w:r>
      <w:rPr>
        <w:lang w:val="zh-CN"/>
      </w:rPr>
      <w:fldChar w:fldCharType="end"/>
    </w:r>
    <w:r>
      <w:ptab w:relativeTo="margin" w:alignment="right" w:leader="none"/>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0686661"/>
      <w:docPartObj>
        <w:docPartGallery w:val="AutoText"/>
      </w:docPartObj>
    </w:sdtPr>
    <w:sdtContent>
      <w:p>
        <w:pPr>
          <w:pStyle w:val="19"/>
          <w:pBdr>
            <w:top w:val="thickThinSmallGap" w:color="auto" w:sz="24" w:space="1"/>
          </w:pBdr>
          <w:ind w:firstLine="360"/>
          <w:jc w:val="center"/>
        </w:pPr>
        <w:r>
          <w:fldChar w:fldCharType="begin"/>
        </w:r>
        <w:r>
          <w:instrText xml:space="preserve">PAGE   \* MERGEFORMAT</w:instrText>
        </w:r>
        <w:r>
          <w:fldChar w:fldCharType="separate"/>
        </w:r>
        <w:r>
          <w:rPr>
            <w:lang w:val="zh-CN"/>
          </w:rPr>
          <w:t>-</w:t>
        </w:r>
        <w:r>
          <w:t xml:space="preserve"> 12 -</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w:t>
    </w:r>
    <w:r>
      <w:t>年</w:t>
    </w:r>
    <w:r>
      <w:rPr>
        <w:rFonts w:hint="eastAsia"/>
      </w:rPr>
      <w:t>种养殖项目总则</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总则</w:t>
    </w:r>
    <w:r>
      <w:rPr>
        <w:rFonts w:hint="eastAsia"/>
        <w:bCs/>
      </w:rPr>
      <w:t>陕</w:t>
    </w:r>
    <w:r>
      <w:rPr>
        <w:rFonts w:hint="eastAsia"/>
      </w:rPr>
      <w:t>西绿森园牧业有限公司种养殖项目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w:t>
    </w:r>
    <w:r>
      <w:rPr>
        <w:rFonts w:hint="eastAsia"/>
        <w:bCs/>
      </w:rPr>
      <w:t>陕</w:t>
    </w:r>
    <w:r>
      <w:rPr>
        <w:rFonts w:hint="eastAsia"/>
      </w:rPr>
      <w:t>西绿森园牧业有限公司种养殖项目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工程分析旬阳县懿鑫牧业有限公司年出栏10万头商品猪建设项目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工程分析旬阳县懿鑫牧业有限公司年出栏10万头商品猪建设项目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工程分析旬阳县懿鑫牧业有限公司年出栏10万头商品猪建设项目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工程分析旬阳县懿鑫牧业有限公司年出栏10万头商品猪建设项目</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工程分析旬阳县懿鑫牧业有限公司年出栏10万头商品猪建设项目</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工程分析旬阳县懿鑫牧业有限公司年出栏10万头商品猪建设项目</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西绿森园牧业有限公司种养殖项目工程分析</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工程分析旬阳县懿鑫牧业有限公司年出栏10万头商品猪建设项目</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西绿森园牧业有限公司种养殖项目环境现状</w:t>
    </w:r>
    <w:r>
      <w:t>调查与评价</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环境现状</w:t>
    </w:r>
    <w:r>
      <w:t>调查与评价</w:t>
    </w:r>
    <w:r>
      <w:rPr>
        <w:rFonts w:hint="eastAsia"/>
        <w:bCs/>
      </w:rPr>
      <w:t>陕</w:t>
    </w:r>
    <w:r>
      <w:rPr>
        <w:rFonts w:hint="eastAsia"/>
      </w:rPr>
      <w:t>西绿森园牧业有限公司种养殖项目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西绿森园牧业有限公司种养殖项目环境现状</w:t>
    </w:r>
    <w:r>
      <w:t>调查与评价</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环境现状</w:t>
    </w:r>
    <w:r>
      <w:t>调查与评价</w:t>
    </w:r>
    <w:r>
      <w:rPr>
        <w:rFonts w:hint="eastAsia"/>
      </w:rPr>
      <w:t>旬阳县懿鑫牧业有限公司年出栏10万头商品猪建设项目</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w:t>
    </w:r>
    <w:r>
      <w:t>影响预测与评价</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环境影响</w:t>
    </w:r>
    <w:r>
      <w:t>预测与评价</w:t>
    </w:r>
    <w:r>
      <w:rPr>
        <w:rFonts w:hint="eastAsia"/>
        <w:bCs/>
      </w:rPr>
      <w:t>陕</w:t>
    </w:r>
    <w:r>
      <w:rPr>
        <w:rFonts w:hint="eastAsia"/>
      </w:rPr>
      <w:t>西绿森园牧业有限公司种养殖项目</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w:t>
    </w:r>
    <w:r>
      <w:t>影响预测与评价</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环境影响</w:t>
    </w:r>
    <w:r>
      <w:t>预测与评价</w:t>
    </w:r>
    <w:r>
      <w:rPr>
        <w:rFonts w:hint="eastAsia"/>
      </w:rPr>
      <w:t>旬阳县懿鑫牧业有限公司年出栏10万头商品猪建设项目</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w:t>
    </w:r>
    <w:r>
      <w:t>影响预测与评价</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环境影响</w:t>
    </w:r>
    <w:r>
      <w:t>预测与评价</w:t>
    </w:r>
    <w:r>
      <w:rPr>
        <w:rFonts w:hint="eastAsia"/>
      </w:rPr>
      <w:t>旬阳县懿鑫牧业有限公司年出栏10万头商品猪建设项目</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w:t>
    </w:r>
    <w:r>
      <w:t>影响预测与评价</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环境影响</w:t>
    </w:r>
    <w:r>
      <w:t>预测与评价</w:t>
    </w:r>
    <w:r>
      <w:rPr>
        <w:rFonts w:hint="eastAsia"/>
      </w:rPr>
      <w:t>旬阳县懿鑫牧业有限公司年出栏10万头商品猪建设项目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w:t>
    </w:r>
    <w:r>
      <w:t>影响预测与评价</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环境影响</w:t>
    </w:r>
    <w:r>
      <w:t>预测与评价</w:t>
    </w:r>
    <w:r>
      <w:rPr>
        <w:rFonts w:hint="eastAsia"/>
      </w:rPr>
      <w:t>旬阳县懿鑫牧业有限公司年出栏10万头商品猪建设项目</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西绿森园牧业有限公司种养殖项目环境风险</w:t>
    </w:r>
    <w:r>
      <w:t>评价</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环境风险评价</w:t>
    </w:r>
    <w:r>
      <w:rPr>
        <w:rFonts w:hint="eastAsia"/>
        <w:bCs/>
      </w:rPr>
      <w:t>陕</w:t>
    </w:r>
    <w:r>
      <w:rPr>
        <w:rFonts w:hint="eastAsia"/>
      </w:rPr>
      <w:t>西绿森园牧业有限公司种养殖项目</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w:t>
    </w:r>
    <w:r>
      <w:t>保护措施及其可行性论证</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环境保护措施</w:t>
    </w:r>
    <w:r>
      <w:t>及其可行性论证</w:t>
    </w:r>
    <w:r>
      <w:rPr>
        <w:rFonts w:hint="eastAsia"/>
        <w:bCs/>
      </w:rPr>
      <w:t>陕</w:t>
    </w:r>
    <w:r>
      <w:rPr>
        <w:rFonts w:hint="eastAsia"/>
      </w:rPr>
      <w:t>西绿森园牧业有限公司种养殖项目</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w:t>
    </w:r>
    <w:r>
      <w:t>影响经济损益分析</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环境影响</w:t>
    </w:r>
    <w:r>
      <w:t>经济损益分析</w:t>
    </w:r>
    <w:r>
      <w:rPr>
        <w:rFonts w:hint="eastAsia"/>
        <w:bCs/>
      </w:rPr>
      <w:t>陕</w:t>
    </w:r>
    <w:r>
      <w:rPr>
        <w:rFonts w:hint="eastAsia"/>
      </w:rPr>
      <w:t>西绿森园牧业有限公司种养殖项目</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西绿森园牧业有限公司种养殖项目环境管理</w:t>
    </w:r>
    <w:r>
      <w:t>与监测计划</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环境管理与监测</w:t>
    </w:r>
    <w:r>
      <w:t>计划</w:t>
    </w:r>
    <w:r>
      <w:rPr>
        <w:rFonts w:hint="eastAsia"/>
        <w:bCs/>
      </w:rPr>
      <w:t>陕</w:t>
    </w:r>
    <w:r>
      <w:rPr>
        <w:rFonts w:hint="eastAsia"/>
      </w:rPr>
      <w:t>西绿森园牧业有限公司种养殖项目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0"/>
      </w:pBdr>
      <w:spacing w:line="240" w:lineRule="auto"/>
      <w:ind w:firstLine="0" w:firstLineChars="0"/>
      <w:jc w:val="left"/>
    </w:pPr>
    <w:r>
      <w:rPr>
        <w:rFonts w:hint="eastAsia"/>
      </w:rPr>
      <w:t>陕西绿森园牧业有限公司种养殖项目目录</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西绿森园牧业有限公司种养殖项目环境管理</w:t>
    </w:r>
    <w:r>
      <w:t>与监测计划</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环境管理与监测</w:t>
    </w:r>
    <w:r>
      <w:t>计划</w:t>
    </w:r>
    <w:r>
      <w:rPr>
        <w:rFonts w:hint="eastAsia"/>
      </w:rPr>
      <w:t>旬阳县懿鑫牧业有限公司年出栏10万头商品猪建设项目</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bCs/>
      </w:rPr>
      <w:t>陕</w:t>
    </w:r>
    <w:r>
      <w:rPr>
        <w:rFonts w:hint="eastAsia"/>
      </w:rPr>
      <w:t>西绿森园牧业有限公司种养殖项目环境管理</w:t>
    </w:r>
    <w:r>
      <w:t>与监测计划</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环境管理与监测</w:t>
    </w:r>
    <w:r>
      <w:t>计划</w:t>
    </w:r>
    <w:r>
      <w:rPr>
        <w:rFonts w:hint="eastAsia"/>
      </w:rPr>
      <w:t>旬阳县懿鑫牧业有限公司年出栏10万头商品猪建设项目</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0"/>
      </w:pBdr>
      <w:spacing w:line="240" w:lineRule="auto"/>
      <w:ind w:firstLine="0" w:firstLineChars="0"/>
      <w:jc w:val="left"/>
    </w:pPr>
    <w:r>
      <w:rPr>
        <w:rFonts w:hint="eastAsia"/>
        <w:bCs/>
      </w:rPr>
      <w:t>陕</w:t>
    </w:r>
    <w:r>
      <w:rPr>
        <w:rFonts w:hint="eastAsia"/>
      </w:rPr>
      <w:t>西绿森园牧业有限公司种养殖项目环境管理</w:t>
    </w:r>
    <w:r>
      <w:t>与监测计划</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0"/>
      </w:pBdr>
      <w:spacing w:line="240" w:lineRule="auto"/>
      <w:ind w:firstLine="0" w:firstLineChars="0"/>
      <w:jc w:val="left"/>
    </w:pPr>
    <w:r>
      <w:rPr>
        <w:rFonts w:hint="eastAsia"/>
        <w:bCs/>
      </w:rPr>
      <w:t>陕</w:t>
    </w:r>
    <w:r>
      <w:rPr>
        <w:rFonts w:hint="eastAsia"/>
      </w:rPr>
      <w:t>西绿森园牧业有限公司种养殖</w:t>
    </w:r>
    <w:r>
      <w:t>项目</w:t>
    </w:r>
    <w:r>
      <w:rPr>
        <w:rFonts w:hint="eastAsia"/>
      </w:rPr>
      <w:t>结论和</w:t>
    </w:r>
    <w:r>
      <w:t>建议</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结论和建议</w:t>
    </w:r>
    <w:r>
      <w:rPr>
        <w:rFonts w:hint="eastAsia"/>
        <w:bCs/>
      </w:rPr>
      <w:t>陕</w:t>
    </w:r>
    <w:r>
      <w:rPr>
        <w:rFonts w:hint="eastAsia"/>
      </w:rPr>
      <w:t>西绿森园牧业有限公司种养殖项目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目录陕西绿森园牧业有限公司种养殖项目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1"/>
      </w:pBdr>
      <w:spacing w:line="240" w:lineRule="auto"/>
      <w:ind w:firstLine="0" w:firstLineChars="0"/>
      <w:jc w:val="left"/>
    </w:pPr>
    <w:r>
      <w:rPr>
        <w:rFonts w:hint="eastAsia"/>
      </w:rPr>
      <w:t>陕西绿森园牧业有限公司种养殖项目概述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nThickSmallGap" w:color="auto" w:sz="24" w:space="1"/>
      </w:pBdr>
      <w:spacing w:line="240" w:lineRule="auto"/>
      <w:ind w:firstLine="0" w:firstLineChars="0"/>
      <w:jc w:val="left"/>
    </w:pPr>
    <w:r>
      <w:rPr>
        <w:rFonts w:hint="eastAsia"/>
      </w:rPr>
      <w:t>概述陕西绿森园牧业有限公司种养殖项目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0FF"/>
    <w:multiLevelType w:val="multilevel"/>
    <w:tmpl w:val="022200FF"/>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63F3F38"/>
    <w:multiLevelType w:val="multilevel"/>
    <w:tmpl w:val="063F3F3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EF62F6B"/>
    <w:multiLevelType w:val="multilevel"/>
    <w:tmpl w:val="0EF62F6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104D45"/>
    <w:multiLevelType w:val="multilevel"/>
    <w:tmpl w:val="1C104D45"/>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5737328"/>
    <w:multiLevelType w:val="multilevel"/>
    <w:tmpl w:val="2573732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9FF631B"/>
    <w:multiLevelType w:val="multilevel"/>
    <w:tmpl w:val="29FF631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D376389"/>
    <w:multiLevelType w:val="multilevel"/>
    <w:tmpl w:val="2D376389"/>
    <w:lvl w:ilvl="0" w:tentative="0">
      <w:start w:val="1"/>
      <w:numFmt w:val="decimal"/>
      <w:suff w:val="nothing"/>
      <w:lvlText w:val="%1"/>
      <w:lvlJc w:val="center"/>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FFC0FC0"/>
    <w:multiLevelType w:val="multilevel"/>
    <w:tmpl w:val="2FFC0FC0"/>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AFE61EE"/>
    <w:multiLevelType w:val="multilevel"/>
    <w:tmpl w:val="3AFE61E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BCC34BF"/>
    <w:multiLevelType w:val="multilevel"/>
    <w:tmpl w:val="3BCC34BF"/>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15C2AEA"/>
    <w:multiLevelType w:val="multilevel"/>
    <w:tmpl w:val="415C2AEA"/>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04E169B"/>
    <w:multiLevelType w:val="multilevel"/>
    <w:tmpl w:val="504E169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1A729F3"/>
    <w:multiLevelType w:val="multilevel"/>
    <w:tmpl w:val="51A729F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63ACA35"/>
    <w:multiLevelType w:val="singleLevel"/>
    <w:tmpl w:val="563ACA35"/>
    <w:lvl w:ilvl="0" w:tentative="0">
      <w:start w:val="1"/>
      <w:numFmt w:val="decimal"/>
      <w:suff w:val="nothing"/>
      <w:lvlText w:val="%1、"/>
      <w:lvlJc w:val="left"/>
    </w:lvl>
  </w:abstractNum>
  <w:abstractNum w:abstractNumId="14">
    <w:nsid w:val="5D0C7130"/>
    <w:multiLevelType w:val="multilevel"/>
    <w:tmpl w:val="5D0C7130"/>
    <w:lvl w:ilvl="0" w:tentative="0">
      <w:start w:val="1"/>
      <w:numFmt w:val="decimal"/>
      <w:suff w:val="nothing"/>
      <w:lvlText w:val="%1"/>
      <w:lvlJc w:val="center"/>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3807757"/>
    <w:multiLevelType w:val="multilevel"/>
    <w:tmpl w:val="63807757"/>
    <w:lvl w:ilvl="0" w:tentative="0">
      <w:start w:val="1"/>
      <w:numFmt w:val="decimal"/>
      <w:pStyle w:val="2"/>
      <w:suff w:val="space"/>
      <w:lvlText w:val="%1"/>
      <w:lvlJc w:val="center"/>
      <w:pPr>
        <w:ind w:left="142" w:firstLine="288"/>
      </w:pPr>
      <w:rPr>
        <w:rFonts w:hint="eastAsia"/>
      </w:rPr>
    </w:lvl>
    <w:lvl w:ilvl="1" w:tentative="0">
      <w:start w:val="1"/>
      <w:numFmt w:val="decimal"/>
      <w:pStyle w:val="3"/>
      <w:suff w:val="space"/>
      <w:lvlText w:val="%1.%2"/>
      <w:lvlJc w:val="left"/>
      <w:pPr>
        <w:ind w:left="142"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2" w:tentative="0">
      <w:start w:val="1"/>
      <w:numFmt w:val="decimal"/>
      <w:pStyle w:val="4"/>
      <w:suff w:val="space"/>
      <w:lvlText w:val="%1.%2.%3"/>
      <w:lvlJc w:val="left"/>
      <w:pPr>
        <w:ind w:left="1134" w:firstLine="0"/>
      </w:pPr>
      <w:rPr>
        <w:rFonts w:hint="eastAsia"/>
      </w:rPr>
    </w:lvl>
    <w:lvl w:ilvl="3" w:tentative="0">
      <w:start w:val="1"/>
      <w:numFmt w:val="decimal"/>
      <w:pStyle w:val="5"/>
      <w:suff w:val="space"/>
      <w:lvlText w:val="%1.%2.%3.%4"/>
      <w:lvlJc w:val="left"/>
      <w:pPr>
        <w:ind w:left="1134"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none"/>
      <w:lvlRestart w:val="0"/>
      <w:pStyle w:val="6"/>
      <w:suff w:val="nothing"/>
      <w:lvlText w:val=""/>
      <w:lvlJc w:val="left"/>
      <w:pPr>
        <w:ind w:left="142"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lvlText w:val="%1.%2.%3.%4.%5.%6"/>
      <w:lvlJc w:val="left"/>
      <w:pPr>
        <w:ind w:left="3402" w:hanging="1134"/>
      </w:pPr>
      <w:rPr>
        <w:rFonts w:hint="eastAsia"/>
      </w:rPr>
    </w:lvl>
    <w:lvl w:ilvl="6" w:tentative="0">
      <w:start w:val="1"/>
      <w:numFmt w:val="decimal"/>
      <w:lvlText w:val="%1.%2.%3.%4.%5.%6.%7"/>
      <w:lvlJc w:val="left"/>
      <w:pPr>
        <w:ind w:left="3969" w:hanging="1276"/>
      </w:pPr>
      <w:rPr>
        <w:rFonts w:hint="eastAsia"/>
      </w:rPr>
    </w:lvl>
    <w:lvl w:ilvl="7" w:tentative="0">
      <w:start w:val="1"/>
      <w:numFmt w:val="decimal"/>
      <w:lvlText w:val="%1.%2.%3.%4.%5.%6.%7.%8"/>
      <w:lvlJc w:val="left"/>
      <w:pPr>
        <w:ind w:left="4536" w:hanging="1418"/>
      </w:pPr>
      <w:rPr>
        <w:rFonts w:hint="eastAsia"/>
      </w:rPr>
    </w:lvl>
    <w:lvl w:ilvl="8" w:tentative="0">
      <w:start w:val="1"/>
      <w:numFmt w:val="decimal"/>
      <w:lvlText w:val="%1.%2.%3.%4.%5.%6.%7.%8.%9"/>
      <w:lvlJc w:val="left"/>
      <w:pPr>
        <w:ind w:left="5244" w:hanging="1700"/>
      </w:pPr>
      <w:rPr>
        <w:rFonts w:hint="eastAsia"/>
      </w:rPr>
    </w:lvl>
  </w:abstractNum>
  <w:abstractNum w:abstractNumId="16">
    <w:nsid w:val="710355B5"/>
    <w:multiLevelType w:val="multilevel"/>
    <w:tmpl w:val="710355B5"/>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32A6406"/>
    <w:multiLevelType w:val="multilevel"/>
    <w:tmpl w:val="732A6406"/>
    <w:lvl w:ilvl="0" w:tentative="0">
      <w:start w:val="1"/>
      <w:numFmt w:val="decimal"/>
      <w:suff w:val="nothing"/>
      <w:lvlText w:val="（%1）"/>
      <w:lvlJc w:val="left"/>
      <w:pPr>
        <w:ind w:left="0" w:firstLine="480"/>
      </w:pPr>
      <w:rPr>
        <w:rFonts w:hint="eastAsia"/>
        <w:b w:val="0"/>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A1B212E"/>
    <w:multiLevelType w:val="multilevel"/>
    <w:tmpl w:val="7A1B212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D697C0A"/>
    <w:multiLevelType w:val="multilevel"/>
    <w:tmpl w:val="7D697C0A"/>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5"/>
  </w:num>
  <w:num w:numId="2">
    <w:abstractNumId w:val="4"/>
  </w:num>
  <w:num w:numId="3">
    <w:abstractNumId w:val="11"/>
  </w:num>
  <w:num w:numId="4">
    <w:abstractNumId w:val="3"/>
  </w:num>
  <w:num w:numId="5">
    <w:abstractNumId w:val="16"/>
  </w:num>
  <w:num w:numId="6">
    <w:abstractNumId w:val="17"/>
  </w:num>
  <w:num w:numId="7">
    <w:abstractNumId w:val="7"/>
  </w:num>
  <w:num w:numId="8">
    <w:abstractNumId w:val="10"/>
  </w:num>
  <w:num w:numId="9">
    <w:abstractNumId w:val="19"/>
  </w:num>
  <w:num w:numId="10">
    <w:abstractNumId w:val="12"/>
  </w:num>
  <w:num w:numId="11">
    <w:abstractNumId w:val="5"/>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9"/>
  </w:num>
  <w:num w:numId="17">
    <w:abstractNumId w:val="1"/>
  </w:num>
  <w:num w:numId="18">
    <w:abstractNumId w:val="14"/>
  </w:num>
  <w:num w:numId="19">
    <w:abstractNumId w:val="6"/>
  </w:num>
  <w:num w:numId="20">
    <w:abstractNumId w:val="1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78A"/>
    <w:rsid w:val="000003AE"/>
    <w:rsid w:val="00000BE9"/>
    <w:rsid w:val="00001458"/>
    <w:rsid w:val="000015D6"/>
    <w:rsid w:val="00001B26"/>
    <w:rsid w:val="0000231E"/>
    <w:rsid w:val="00002329"/>
    <w:rsid w:val="00002B1B"/>
    <w:rsid w:val="00002F81"/>
    <w:rsid w:val="00003417"/>
    <w:rsid w:val="000035E6"/>
    <w:rsid w:val="00003B76"/>
    <w:rsid w:val="00003CE8"/>
    <w:rsid w:val="00003E05"/>
    <w:rsid w:val="000040B4"/>
    <w:rsid w:val="00004F1D"/>
    <w:rsid w:val="000054D8"/>
    <w:rsid w:val="00005521"/>
    <w:rsid w:val="00005B27"/>
    <w:rsid w:val="000061ED"/>
    <w:rsid w:val="00006245"/>
    <w:rsid w:val="000062AF"/>
    <w:rsid w:val="00006A61"/>
    <w:rsid w:val="0000723D"/>
    <w:rsid w:val="00007A01"/>
    <w:rsid w:val="00010535"/>
    <w:rsid w:val="00010680"/>
    <w:rsid w:val="0001073B"/>
    <w:rsid w:val="00010984"/>
    <w:rsid w:val="00010E9A"/>
    <w:rsid w:val="00011623"/>
    <w:rsid w:val="00011DF9"/>
    <w:rsid w:val="00011EEE"/>
    <w:rsid w:val="0001226D"/>
    <w:rsid w:val="0001247A"/>
    <w:rsid w:val="00012512"/>
    <w:rsid w:val="00012C16"/>
    <w:rsid w:val="00013128"/>
    <w:rsid w:val="0001372A"/>
    <w:rsid w:val="00013C46"/>
    <w:rsid w:val="00014FF9"/>
    <w:rsid w:val="0001502D"/>
    <w:rsid w:val="00015189"/>
    <w:rsid w:val="00015313"/>
    <w:rsid w:val="00015FC0"/>
    <w:rsid w:val="00016336"/>
    <w:rsid w:val="0001649C"/>
    <w:rsid w:val="000164AE"/>
    <w:rsid w:val="00016524"/>
    <w:rsid w:val="00016A09"/>
    <w:rsid w:val="00016C6E"/>
    <w:rsid w:val="00017252"/>
    <w:rsid w:val="00017531"/>
    <w:rsid w:val="00022060"/>
    <w:rsid w:val="000227BD"/>
    <w:rsid w:val="00022B03"/>
    <w:rsid w:val="000234B0"/>
    <w:rsid w:val="000243CF"/>
    <w:rsid w:val="000245CB"/>
    <w:rsid w:val="00024930"/>
    <w:rsid w:val="00024C68"/>
    <w:rsid w:val="00024D25"/>
    <w:rsid w:val="00024E9B"/>
    <w:rsid w:val="000250E8"/>
    <w:rsid w:val="000261F3"/>
    <w:rsid w:val="000262EA"/>
    <w:rsid w:val="000264AE"/>
    <w:rsid w:val="00026B4D"/>
    <w:rsid w:val="00027125"/>
    <w:rsid w:val="0002721B"/>
    <w:rsid w:val="00027E8A"/>
    <w:rsid w:val="00027FBA"/>
    <w:rsid w:val="0003005C"/>
    <w:rsid w:val="000301E2"/>
    <w:rsid w:val="0003068B"/>
    <w:rsid w:val="00030746"/>
    <w:rsid w:val="00030D33"/>
    <w:rsid w:val="00030EA6"/>
    <w:rsid w:val="00030F6F"/>
    <w:rsid w:val="0003126A"/>
    <w:rsid w:val="00031754"/>
    <w:rsid w:val="0003234E"/>
    <w:rsid w:val="000329AF"/>
    <w:rsid w:val="00032BDB"/>
    <w:rsid w:val="000339DC"/>
    <w:rsid w:val="00033CDB"/>
    <w:rsid w:val="00033E83"/>
    <w:rsid w:val="00033EE9"/>
    <w:rsid w:val="00034376"/>
    <w:rsid w:val="000346CA"/>
    <w:rsid w:val="00034740"/>
    <w:rsid w:val="00034826"/>
    <w:rsid w:val="00034B47"/>
    <w:rsid w:val="00034C95"/>
    <w:rsid w:val="00035B19"/>
    <w:rsid w:val="00035B9D"/>
    <w:rsid w:val="00036186"/>
    <w:rsid w:val="00036BD7"/>
    <w:rsid w:val="00036FC6"/>
    <w:rsid w:val="00037232"/>
    <w:rsid w:val="0003725B"/>
    <w:rsid w:val="00037466"/>
    <w:rsid w:val="000374F1"/>
    <w:rsid w:val="00037548"/>
    <w:rsid w:val="00037592"/>
    <w:rsid w:val="00037BD4"/>
    <w:rsid w:val="00037E3B"/>
    <w:rsid w:val="00040306"/>
    <w:rsid w:val="0004077B"/>
    <w:rsid w:val="00040BB5"/>
    <w:rsid w:val="00040C2E"/>
    <w:rsid w:val="000417FD"/>
    <w:rsid w:val="00041D38"/>
    <w:rsid w:val="00041E91"/>
    <w:rsid w:val="0004293B"/>
    <w:rsid w:val="00042BA4"/>
    <w:rsid w:val="00042C76"/>
    <w:rsid w:val="00042FE7"/>
    <w:rsid w:val="0004329C"/>
    <w:rsid w:val="0004378B"/>
    <w:rsid w:val="00043F2F"/>
    <w:rsid w:val="00045320"/>
    <w:rsid w:val="0004534D"/>
    <w:rsid w:val="00045ACC"/>
    <w:rsid w:val="00045DCB"/>
    <w:rsid w:val="00045F45"/>
    <w:rsid w:val="00046174"/>
    <w:rsid w:val="000466CB"/>
    <w:rsid w:val="00046967"/>
    <w:rsid w:val="00047465"/>
    <w:rsid w:val="0004752A"/>
    <w:rsid w:val="00047562"/>
    <w:rsid w:val="000475A6"/>
    <w:rsid w:val="000479FB"/>
    <w:rsid w:val="00047A4F"/>
    <w:rsid w:val="00047D3D"/>
    <w:rsid w:val="00047D3E"/>
    <w:rsid w:val="00047F57"/>
    <w:rsid w:val="000507E3"/>
    <w:rsid w:val="00050CD7"/>
    <w:rsid w:val="000517AF"/>
    <w:rsid w:val="00051D13"/>
    <w:rsid w:val="00052650"/>
    <w:rsid w:val="00052B45"/>
    <w:rsid w:val="00052D1A"/>
    <w:rsid w:val="0005363E"/>
    <w:rsid w:val="00054089"/>
    <w:rsid w:val="00055113"/>
    <w:rsid w:val="00055CF7"/>
    <w:rsid w:val="000561C7"/>
    <w:rsid w:val="0005694D"/>
    <w:rsid w:val="00056CFF"/>
    <w:rsid w:val="00057370"/>
    <w:rsid w:val="00057549"/>
    <w:rsid w:val="0005760E"/>
    <w:rsid w:val="000576F2"/>
    <w:rsid w:val="00057A2D"/>
    <w:rsid w:val="00057B84"/>
    <w:rsid w:val="00057E07"/>
    <w:rsid w:val="00057E6C"/>
    <w:rsid w:val="0006003F"/>
    <w:rsid w:val="00060138"/>
    <w:rsid w:val="00060955"/>
    <w:rsid w:val="00060B4A"/>
    <w:rsid w:val="0006104A"/>
    <w:rsid w:val="0006158A"/>
    <w:rsid w:val="0006184E"/>
    <w:rsid w:val="000618BE"/>
    <w:rsid w:val="00061D6A"/>
    <w:rsid w:val="00061E63"/>
    <w:rsid w:val="00062151"/>
    <w:rsid w:val="0006218E"/>
    <w:rsid w:val="000622C4"/>
    <w:rsid w:val="0006267D"/>
    <w:rsid w:val="000626C9"/>
    <w:rsid w:val="00062CC4"/>
    <w:rsid w:val="00062D18"/>
    <w:rsid w:val="00063847"/>
    <w:rsid w:val="00063A01"/>
    <w:rsid w:val="00063BF1"/>
    <w:rsid w:val="00063C70"/>
    <w:rsid w:val="000641BD"/>
    <w:rsid w:val="000645FF"/>
    <w:rsid w:val="00064A95"/>
    <w:rsid w:val="00064E7C"/>
    <w:rsid w:val="00065298"/>
    <w:rsid w:val="0006547B"/>
    <w:rsid w:val="0006571F"/>
    <w:rsid w:val="00065762"/>
    <w:rsid w:val="00065789"/>
    <w:rsid w:val="00065D1B"/>
    <w:rsid w:val="000669CC"/>
    <w:rsid w:val="00066C9B"/>
    <w:rsid w:val="00067055"/>
    <w:rsid w:val="00067A42"/>
    <w:rsid w:val="00067DF1"/>
    <w:rsid w:val="00067F25"/>
    <w:rsid w:val="00067F96"/>
    <w:rsid w:val="000702AD"/>
    <w:rsid w:val="0007059C"/>
    <w:rsid w:val="00071B26"/>
    <w:rsid w:val="000720DB"/>
    <w:rsid w:val="000743D3"/>
    <w:rsid w:val="000745AE"/>
    <w:rsid w:val="00074842"/>
    <w:rsid w:val="00075175"/>
    <w:rsid w:val="00075224"/>
    <w:rsid w:val="0007594D"/>
    <w:rsid w:val="000766FD"/>
    <w:rsid w:val="00076958"/>
    <w:rsid w:val="00076B0D"/>
    <w:rsid w:val="00076CC1"/>
    <w:rsid w:val="0007702E"/>
    <w:rsid w:val="0007755B"/>
    <w:rsid w:val="00077638"/>
    <w:rsid w:val="00077796"/>
    <w:rsid w:val="000777D0"/>
    <w:rsid w:val="00077E0B"/>
    <w:rsid w:val="00077FDD"/>
    <w:rsid w:val="00080D90"/>
    <w:rsid w:val="00081559"/>
    <w:rsid w:val="0008157C"/>
    <w:rsid w:val="00082712"/>
    <w:rsid w:val="000827BB"/>
    <w:rsid w:val="00082ABB"/>
    <w:rsid w:val="00082F03"/>
    <w:rsid w:val="00082FDC"/>
    <w:rsid w:val="00083099"/>
    <w:rsid w:val="000833BF"/>
    <w:rsid w:val="0008352A"/>
    <w:rsid w:val="00083862"/>
    <w:rsid w:val="00083DB0"/>
    <w:rsid w:val="00085146"/>
    <w:rsid w:val="00085BAB"/>
    <w:rsid w:val="00086C28"/>
    <w:rsid w:val="00086D91"/>
    <w:rsid w:val="0009036C"/>
    <w:rsid w:val="00090419"/>
    <w:rsid w:val="00090D92"/>
    <w:rsid w:val="0009110E"/>
    <w:rsid w:val="00091261"/>
    <w:rsid w:val="00091315"/>
    <w:rsid w:val="00091D7A"/>
    <w:rsid w:val="00091E20"/>
    <w:rsid w:val="00091FA6"/>
    <w:rsid w:val="00091FF7"/>
    <w:rsid w:val="000921F0"/>
    <w:rsid w:val="000933C1"/>
    <w:rsid w:val="000936B8"/>
    <w:rsid w:val="00093E86"/>
    <w:rsid w:val="000941EC"/>
    <w:rsid w:val="000946F1"/>
    <w:rsid w:val="00094969"/>
    <w:rsid w:val="00094B0F"/>
    <w:rsid w:val="00094D41"/>
    <w:rsid w:val="00094EF5"/>
    <w:rsid w:val="00094FEA"/>
    <w:rsid w:val="000950F2"/>
    <w:rsid w:val="00096077"/>
    <w:rsid w:val="000967AD"/>
    <w:rsid w:val="00096C02"/>
    <w:rsid w:val="00096EEE"/>
    <w:rsid w:val="00096FC1"/>
    <w:rsid w:val="000974B0"/>
    <w:rsid w:val="00097A54"/>
    <w:rsid w:val="00097CEA"/>
    <w:rsid w:val="000A098E"/>
    <w:rsid w:val="000A0DFD"/>
    <w:rsid w:val="000A179E"/>
    <w:rsid w:val="000A233C"/>
    <w:rsid w:val="000A285F"/>
    <w:rsid w:val="000A2C8D"/>
    <w:rsid w:val="000A309E"/>
    <w:rsid w:val="000A3BB9"/>
    <w:rsid w:val="000A40B7"/>
    <w:rsid w:val="000A42D9"/>
    <w:rsid w:val="000A4F2C"/>
    <w:rsid w:val="000A5003"/>
    <w:rsid w:val="000A527E"/>
    <w:rsid w:val="000A5A0D"/>
    <w:rsid w:val="000A5A12"/>
    <w:rsid w:val="000A5BF1"/>
    <w:rsid w:val="000A5F94"/>
    <w:rsid w:val="000A62F6"/>
    <w:rsid w:val="000A6AB5"/>
    <w:rsid w:val="000A6AE1"/>
    <w:rsid w:val="000A76B8"/>
    <w:rsid w:val="000A77C7"/>
    <w:rsid w:val="000A7984"/>
    <w:rsid w:val="000A7CFB"/>
    <w:rsid w:val="000B0FF0"/>
    <w:rsid w:val="000B1201"/>
    <w:rsid w:val="000B1493"/>
    <w:rsid w:val="000B1856"/>
    <w:rsid w:val="000B2627"/>
    <w:rsid w:val="000B306C"/>
    <w:rsid w:val="000B31C1"/>
    <w:rsid w:val="000B3E26"/>
    <w:rsid w:val="000B4240"/>
    <w:rsid w:val="000B4261"/>
    <w:rsid w:val="000B489F"/>
    <w:rsid w:val="000B54D9"/>
    <w:rsid w:val="000B59D5"/>
    <w:rsid w:val="000B5A8C"/>
    <w:rsid w:val="000B5A94"/>
    <w:rsid w:val="000B5BC8"/>
    <w:rsid w:val="000B5E37"/>
    <w:rsid w:val="000B5EDB"/>
    <w:rsid w:val="000B622C"/>
    <w:rsid w:val="000B6CA6"/>
    <w:rsid w:val="000B6CC6"/>
    <w:rsid w:val="000B6D36"/>
    <w:rsid w:val="000B7289"/>
    <w:rsid w:val="000B74F5"/>
    <w:rsid w:val="000B7628"/>
    <w:rsid w:val="000B78DC"/>
    <w:rsid w:val="000B7F6D"/>
    <w:rsid w:val="000C0B76"/>
    <w:rsid w:val="000C1333"/>
    <w:rsid w:val="000C133B"/>
    <w:rsid w:val="000C246C"/>
    <w:rsid w:val="000C250D"/>
    <w:rsid w:val="000C29E5"/>
    <w:rsid w:val="000C3CF4"/>
    <w:rsid w:val="000C3E6B"/>
    <w:rsid w:val="000C45A3"/>
    <w:rsid w:val="000C4CD7"/>
    <w:rsid w:val="000C4F45"/>
    <w:rsid w:val="000C4F75"/>
    <w:rsid w:val="000C52C4"/>
    <w:rsid w:val="000C5612"/>
    <w:rsid w:val="000C56F8"/>
    <w:rsid w:val="000C591A"/>
    <w:rsid w:val="000C5A74"/>
    <w:rsid w:val="000C5F56"/>
    <w:rsid w:val="000C608E"/>
    <w:rsid w:val="000C6227"/>
    <w:rsid w:val="000C6271"/>
    <w:rsid w:val="000C6645"/>
    <w:rsid w:val="000C68D1"/>
    <w:rsid w:val="000C69A6"/>
    <w:rsid w:val="000C6D05"/>
    <w:rsid w:val="000C7167"/>
    <w:rsid w:val="000C77A9"/>
    <w:rsid w:val="000C7CAF"/>
    <w:rsid w:val="000D0E5F"/>
    <w:rsid w:val="000D1151"/>
    <w:rsid w:val="000D11DD"/>
    <w:rsid w:val="000D1CAB"/>
    <w:rsid w:val="000D2C0C"/>
    <w:rsid w:val="000D2CB2"/>
    <w:rsid w:val="000D39C2"/>
    <w:rsid w:val="000D4054"/>
    <w:rsid w:val="000D434B"/>
    <w:rsid w:val="000D464C"/>
    <w:rsid w:val="000D4795"/>
    <w:rsid w:val="000D4AD3"/>
    <w:rsid w:val="000D5107"/>
    <w:rsid w:val="000D5A2C"/>
    <w:rsid w:val="000D5BCC"/>
    <w:rsid w:val="000D6AA4"/>
    <w:rsid w:val="000D6B73"/>
    <w:rsid w:val="000D6C48"/>
    <w:rsid w:val="000D6C8E"/>
    <w:rsid w:val="000D7251"/>
    <w:rsid w:val="000D781F"/>
    <w:rsid w:val="000D7C01"/>
    <w:rsid w:val="000D7E69"/>
    <w:rsid w:val="000D7F73"/>
    <w:rsid w:val="000E009A"/>
    <w:rsid w:val="000E02EB"/>
    <w:rsid w:val="000E0310"/>
    <w:rsid w:val="000E03B4"/>
    <w:rsid w:val="000E051D"/>
    <w:rsid w:val="000E0920"/>
    <w:rsid w:val="000E15E3"/>
    <w:rsid w:val="000E17B1"/>
    <w:rsid w:val="000E1AF2"/>
    <w:rsid w:val="000E1DC4"/>
    <w:rsid w:val="000E24B7"/>
    <w:rsid w:val="000E24ED"/>
    <w:rsid w:val="000E2C0F"/>
    <w:rsid w:val="000E35C6"/>
    <w:rsid w:val="000E3833"/>
    <w:rsid w:val="000E3AC0"/>
    <w:rsid w:val="000E3BCB"/>
    <w:rsid w:val="000E3EDB"/>
    <w:rsid w:val="000E446F"/>
    <w:rsid w:val="000E4FE5"/>
    <w:rsid w:val="000E59A5"/>
    <w:rsid w:val="000E5D15"/>
    <w:rsid w:val="000E61F4"/>
    <w:rsid w:val="000E6446"/>
    <w:rsid w:val="000E6DD0"/>
    <w:rsid w:val="000E6E1C"/>
    <w:rsid w:val="000E6E53"/>
    <w:rsid w:val="000E7B53"/>
    <w:rsid w:val="000E7C8A"/>
    <w:rsid w:val="000F0344"/>
    <w:rsid w:val="000F0E24"/>
    <w:rsid w:val="000F0E33"/>
    <w:rsid w:val="000F0FFF"/>
    <w:rsid w:val="000F16F4"/>
    <w:rsid w:val="000F1A71"/>
    <w:rsid w:val="000F26AE"/>
    <w:rsid w:val="000F2B5F"/>
    <w:rsid w:val="000F319F"/>
    <w:rsid w:val="000F335D"/>
    <w:rsid w:val="000F3491"/>
    <w:rsid w:val="000F4779"/>
    <w:rsid w:val="000F48EF"/>
    <w:rsid w:val="000F4B1E"/>
    <w:rsid w:val="000F4D87"/>
    <w:rsid w:val="000F4E6C"/>
    <w:rsid w:val="000F4F7A"/>
    <w:rsid w:val="000F5682"/>
    <w:rsid w:val="000F58B8"/>
    <w:rsid w:val="000F5BCE"/>
    <w:rsid w:val="000F61B4"/>
    <w:rsid w:val="000F62C1"/>
    <w:rsid w:val="000F6575"/>
    <w:rsid w:val="000F6B03"/>
    <w:rsid w:val="000F720B"/>
    <w:rsid w:val="000F7773"/>
    <w:rsid w:val="000F7D86"/>
    <w:rsid w:val="000F7FB9"/>
    <w:rsid w:val="00100142"/>
    <w:rsid w:val="00100463"/>
    <w:rsid w:val="00100615"/>
    <w:rsid w:val="00101024"/>
    <w:rsid w:val="001013B5"/>
    <w:rsid w:val="00101F33"/>
    <w:rsid w:val="0010247A"/>
    <w:rsid w:val="00102CC2"/>
    <w:rsid w:val="00102CF1"/>
    <w:rsid w:val="00103862"/>
    <w:rsid w:val="0010476F"/>
    <w:rsid w:val="00104A53"/>
    <w:rsid w:val="00104A8E"/>
    <w:rsid w:val="00104CB9"/>
    <w:rsid w:val="00105497"/>
    <w:rsid w:val="00105890"/>
    <w:rsid w:val="00106345"/>
    <w:rsid w:val="00106960"/>
    <w:rsid w:val="00106B42"/>
    <w:rsid w:val="00106C4E"/>
    <w:rsid w:val="00106EBA"/>
    <w:rsid w:val="0010748A"/>
    <w:rsid w:val="0010761A"/>
    <w:rsid w:val="0010772A"/>
    <w:rsid w:val="0010799E"/>
    <w:rsid w:val="00107DB1"/>
    <w:rsid w:val="00107EE9"/>
    <w:rsid w:val="00110E58"/>
    <w:rsid w:val="00110FC8"/>
    <w:rsid w:val="001115CB"/>
    <w:rsid w:val="00111D12"/>
    <w:rsid w:val="001120AB"/>
    <w:rsid w:val="0011214D"/>
    <w:rsid w:val="0011278C"/>
    <w:rsid w:val="00112996"/>
    <w:rsid w:val="00112B59"/>
    <w:rsid w:val="0011327C"/>
    <w:rsid w:val="0011372C"/>
    <w:rsid w:val="0011383D"/>
    <w:rsid w:val="00113849"/>
    <w:rsid w:val="00113B83"/>
    <w:rsid w:val="00113E8B"/>
    <w:rsid w:val="00114713"/>
    <w:rsid w:val="00114A97"/>
    <w:rsid w:val="00114ABD"/>
    <w:rsid w:val="00114FA6"/>
    <w:rsid w:val="00116084"/>
    <w:rsid w:val="001162CA"/>
    <w:rsid w:val="00116408"/>
    <w:rsid w:val="00116487"/>
    <w:rsid w:val="00116589"/>
    <w:rsid w:val="001168C7"/>
    <w:rsid w:val="001176B3"/>
    <w:rsid w:val="00117DC8"/>
    <w:rsid w:val="00121057"/>
    <w:rsid w:val="001210DB"/>
    <w:rsid w:val="001211D2"/>
    <w:rsid w:val="00121880"/>
    <w:rsid w:val="00121CEA"/>
    <w:rsid w:val="00121E23"/>
    <w:rsid w:val="0012262B"/>
    <w:rsid w:val="0012263E"/>
    <w:rsid w:val="00123858"/>
    <w:rsid w:val="00123A4A"/>
    <w:rsid w:val="00123AFE"/>
    <w:rsid w:val="00123C2A"/>
    <w:rsid w:val="00123E93"/>
    <w:rsid w:val="0012413A"/>
    <w:rsid w:val="001242B9"/>
    <w:rsid w:val="0012478A"/>
    <w:rsid w:val="0012549C"/>
    <w:rsid w:val="00125717"/>
    <w:rsid w:val="00125E66"/>
    <w:rsid w:val="00126840"/>
    <w:rsid w:val="00126948"/>
    <w:rsid w:val="001269B7"/>
    <w:rsid w:val="00126D95"/>
    <w:rsid w:val="00126EED"/>
    <w:rsid w:val="0012710E"/>
    <w:rsid w:val="00127B41"/>
    <w:rsid w:val="00127BD3"/>
    <w:rsid w:val="00130E18"/>
    <w:rsid w:val="0013192D"/>
    <w:rsid w:val="00131EC4"/>
    <w:rsid w:val="00131F60"/>
    <w:rsid w:val="00132399"/>
    <w:rsid w:val="0013250B"/>
    <w:rsid w:val="00132BAE"/>
    <w:rsid w:val="00132BBA"/>
    <w:rsid w:val="001335A1"/>
    <w:rsid w:val="00133DA4"/>
    <w:rsid w:val="0013430D"/>
    <w:rsid w:val="00134C1B"/>
    <w:rsid w:val="00134E8C"/>
    <w:rsid w:val="0013525A"/>
    <w:rsid w:val="001352DE"/>
    <w:rsid w:val="001356CA"/>
    <w:rsid w:val="00135A56"/>
    <w:rsid w:val="00135C40"/>
    <w:rsid w:val="00136201"/>
    <w:rsid w:val="001362B2"/>
    <w:rsid w:val="001363B7"/>
    <w:rsid w:val="001364A1"/>
    <w:rsid w:val="001364C1"/>
    <w:rsid w:val="00136DD0"/>
    <w:rsid w:val="00140052"/>
    <w:rsid w:val="001407A6"/>
    <w:rsid w:val="00140DFA"/>
    <w:rsid w:val="00140F1E"/>
    <w:rsid w:val="00141887"/>
    <w:rsid w:val="00141AA0"/>
    <w:rsid w:val="00141AF7"/>
    <w:rsid w:val="0014317A"/>
    <w:rsid w:val="00143431"/>
    <w:rsid w:val="00143CF6"/>
    <w:rsid w:val="001444AA"/>
    <w:rsid w:val="00144845"/>
    <w:rsid w:val="00145623"/>
    <w:rsid w:val="00145643"/>
    <w:rsid w:val="001457AF"/>
    <w:rsid w:val="00145D50"/>
    <w:rsid w:val="001462A3"/>
    <w:rsid w:val="00146413"/>
    <w:rsid w:val="00146532"/>
    <w:rsid w:val="001471F6"/>
    <w:rsid w:val="001476BC"/>
    <w:rsid w:val="00147701"/>
    <w:rsid w:val="00147895"/>
    <w:rsid w:val="00147C5F"/>
    <w:rsid w:val="00147D27"/>
    <w:rsid w:val="00147FCD"/>
    <w:rsid w:val="001501CF"/>
    <w:rsid w:val="00150BCF"/>
    <w:rsid w:val="00150DED"/>
    <w:rsid w:val="001511AF"/>
    <w:rsid w:val="00151270"/>
    <w:rsid w:val="001512AD"/>
    <w:rsid w:val="00151632"/>
    <w:rsid w:val="00151731"/>
    <w:rsid w:val="0015191A"/>
    <w:rsid w:val="00152453"/>
    <w:rsid w:val="0015435A"/>
    <w:rsid w:val="001544DC"/>
    <w:rsid w:val="00154DA8"/>
    <w:rsid w:val="00154FCF"/>
    <w:rsid w:val="001551B2"/>
    <w:rsid w:val="00155B75"/>
    <w:rsid w:val="00155BBF"/>
    <w:rsid w:val="001564F4"/>
    <w:rsid w:val="00156538"/>
    <w:rsid w:val="00156585"/>
    <w:rsid w:val="001565AA"/>
    <w:rsid w:val="00156721"/>
    <w:rsid w:val="0015686F"/>
    <w:rsid w:val="00157055"/>
    <w:rsid w:val="00157112"/>
    <w:rsid w:val="001571CC"/>
    <w:rsid w:val="001576AD"/>
    <w:rsid w:val="00157B0B"/>
    <w:rsid w:val="00157D0C"/>
    <w:rsid w:val="001609D0"/>
    <w:rsid w:val="00161414"/>
    <w:rsid w:val="00162434"/>
    <w:rsid w:val="0016248F"/>
    <w:rsid w:val="0016294A"/>
    <w:rsid w:val="001629A1"/>
    <w:rsid w:val="00162C83"/>
    <w:rsid w:val="001631A2"/>
    <w:rsid w:val="00163259"/>
    <w:rsid w:val="001634C7"/>
    <w:rsid w:val="00163D19"/>
    <w:rsid w:val="00163FDE"/>
    <w:rsid w:val="0016445D"/>
    <w:rsid w:val="0016459E"/>
    <w:rsid w:val="001659DE"/>
    <w:rsid w:val="00165A7C"/>
    <w:rsid w:val="00165AE2"/>
    <w:rsid w:val="001668AE"/>
    <w:rsid w:val="00166A9A"/>
    <w:rsid w:val="001671F3"/>
    <w:rsid w:val="00167315"/>
    <w:rsid w:val="0017011A"/>
    <w:rsid w:val="00170CD1"/>
    <w:rsid w:val="001717AA"/>
    <w:rsid w:val="00172160"/>
    <w:rsid w:val="0017289B"/>
    <w:rsid w:val="00172A34"/>
    <w:rsid w:val="00172BA4"/>
    <w:rsid w:val="0017346F"/>
    <w:rsid w:val="00173794"/>
    <w:rsid w:val="00173A9F"/>
    <w:rsid w:val="00173E64"/>
    <w:rsid w:val="00174036"/>
    <w:rsid w:val="001740D3"/>
    <w:rsid w:val="00174451"/>
    <w:rsid w:val="00174A6A"/>
    <w:rsid w:val="00174C10"/>
    <w:rsid w:val="001751F2"/>
    <w:rsid w:val="00175512"/>
    <w:rsid w:val="00175849"/>
    <w:rsid w:val="001760E2"/>
    <w:rsid w:val="0017661F"/>
    <w:rsid w:val="001769C1"/>
    <w:rsid w:val="0017719B"/>
    <w:rsid w:val="00177D8E"/>
    <w:rsid w:val="001800D5"/>
    <w:rsid w:val="001801B2"/>
    <w:rsid w:val="00180275"/>
    <w:rsid w:val="0018049F"/>
    <w:rsid w:val="001808C1"/>
    <w:rsid w:val="00180AF2"/>
    <w:rsid w:val="001811E1"/>
    <w:rsid w:val="00181F5D"/>
    <w:rsid w:val="00182209"/>
    <w:rsid w:val="0018244B"/>
    <w:rsid w:val="00182881"/>
    <w:rsid w:val="00182B50"/>
    <w:rsid w:val="00182B86"/>
    <w:rsid w:val="001836E8"/>
    <w:rsid w:val="001837C5"/>
    <w:rsid w:val="00183A7B"/>
    <w:rsid w:val="00183B6F"/>
    <w:rsid w:val="00184664"/>
    <w:rsid w:val="001847A4"/>
    <w:rsid w:val="00184973"/>
    <w:rsid w:val="00184A4B"/>
    <w:rsid w:val="00184BDA"/>
    <w:rsid w:val="001864FB"/>
    <w:rsid w:val="001868F9"/>
    <w:rsid w:val="00186B84"/>
    <w:rsid w:val="001870C8"/>
    <w:rsid w:val="00187678"/>
    <w:rsid w:val="001879CB"/>
    <w:rsid w:val="00187DC8"/>
    <w:rsid w:val="001901BF"/>
    <w:rsid w:val="00190532"/>
    <w:rsid w:val="00190802"/>
    <w:rsid w:val="00190A62"/>
    <w:rsid w:val="00190E0C"/>
    <w:rsid w:val="00190FAC"/>
    <w:rsid w:val="00191241"/>
    <w:rsid w:val="00191890"/>
    <w:rsid w:val="001927C7"/>
    <w:rsid w:val="001930B3"/>
    <w:rsid w:val="0019382F"/>
    <w:rsid w:val="001938EF"/>
    <w:rsid w:val="00194320"/>
    <w:rsid w:val="0019434E"/>
    <w:rsid w:val="001945E4"/>
    <w:rsid w:val="00194B6F"/>
    <w:rsid w:val="00195618"/>
    <w:rsid w:val="00195745"/>
    <w:rsid w:val="00195901"/>
    <w:rsid w:val="0019630C"/>
    <w:rsid w:val="00196AC0"/>
    <w:rsid w:val="00197124"/>
    <w:rsid w:val="00197172"/>
    <w:rsid w:val="001974EC"/>
    <w:rsid w:val="00197BD2"/>
    <w:rsid w:val="001A030F"/>
    <w:rsid w:val="001A0465"/>
    <w:rsid w:val="001A0D0A"/>
    <w:rsid w:val="001A2259"/>
    <w:rsid w:val="001A2F88"/>
    <w:rsid w:val="001A31CC"/>
    <w:rsid w:val="001A3BBD"/>
    <w:rsid w:val="001A44B7"/>
    <w:rsid w:val="001A453B"/>
    <w:rsid w:val="001A4670"/>
    <w:rsid w:val="001A4BE4"/>
    <w:rsid w:val="001A4E3B"/>
    <w:rsid w:val="001A4FFC"/>
    <w:rsid w:val="001A58F7"/>
    <w:rsid w:val="001A5B78"/>
    <w:rsid w:val="001A5CC4"/>
    <w:rsid w:val="001A621A"/>
    <w:rsid w:val="001A6F01"/>
    <w:rsid w:val="001A6F4E"/>
    <w:rsid w:val="001A71FB"/>
    <w:rsid w:val="001A73D3"/>
    <w:rsid w:val="001A7554"/>
    <w:rsid w:val="001A7AA1"/>
    <w:rsid w:val="001B06C5"/>
    <w:rsid w:val="001B0D66"/>
    <w:rsid w:val="001B0EC5"/>
    <w:rsid w:val="001B12E9"/>
    <w:rsid w:val="001B18B2"/>
    <w:rsid w:val="001B1FB4"/>
    <w:rsid w:val="001B23EB"/>
    <w:rsid w:val="001B24C8"/>
    <w:rsid w:val="001B31CD"/>
    <w:rsid w:val="001B31D7"/>
    <w:rsid w:val="001B355C"/>
    <w:rsid w:val="001B47D4"/>
    <w:rsid w:val="001B4D6D"/>
    <w:rsid w:val="001B615B"/>
    <w:rsid w:val="001B61D6"/>
    <w:rsid w:val="001B659C"/>
    <w:rsid w:val="001B6DE2"/>
    <w:rsid w:val="001B6FE6"/>
    <w:rsid w:val="001B7265"/>
    <w:rsid w:val="001B77BA"/>
    <w:rsid w:val="001B781C"/>
    <w:rsid w:val="001C039C"/>
    <w:rsid w:val="001C0DBA"/>
    <w:rsid w:val="001C11DF"/>
    <w:rsid w:val="001C1338"/>
    <w:rsid w:val="001C1C92"/>
    <w:rsid w:val="001C1E3C"/>
    <w:rsid w:val="001C2196"/>
    <w:rsid w:val="001C2405"/>
    <w:rsid w:val="001C2D0C"/>
    <w:rsid w:val="001C3C2F"/>
    <w:rsid w:val="001C42EC"/>
    <w:rsid w:val="001C5056"/>
    <w:rsid w:val="001C5E44"/>
    <w:rsid w:val="001C6C6F"/>
    <w:rsid w:val="001C6EA4"/>
    <w:rsid w:val="001C719A"/>
    <w:rsid w:val="001C722E"/>
    <w:rsid w:val="001C72E9"/>
    <w:rsid w:val="001C7EDC"/>
    <w:rsid w:val="001D0203"/>
    <w:rsid w:val="001D04E0"/>
    <w:rsid w:val="001D0749"/>
    <w:rsid w:val="001D0DBC"/>
    <w:rsid w:val="001D1892"/>
    <w:rsid w:val="001D220E"/>
    <w:rsid w:val="001D2357"/>
    <w:rsid w:val="001D250D"/>
    <w:rsid w:val="001D25F8"/>
    <w:rsid w:val="001D2918"/>
    <w:rsid w:val="001D2C46"/>
    <w:rsid w:val="001D2F41"/>
    <w:rsid w:val="001D33AA"/>
    <w:rsid w:val="001D3AAB"/>
    <w:rsid w:val="001D4169"/>
    <w:rsid w:val="001D42B8"/>
    <w:rsid w:val="001D46AC"/>
    <w:rsid w:val="001D5399"/>
    <w:rsid w:val="001D56AD"/>
    <w:rsid w:val="001D586A"/>
    <w:rsid w:val="001D61CF"/>
    <w:rsid w:val="001D6B4B"/>
    <w:rsid w:val="001D6FE1"/>
    <w:rsid w:val="001D71F4"/>
    <w:rsid w:val="001D7B20"/>
    <w:rsid w:val="001D7F2B"/>
    <w:rsid w:val="001E00F8"/>
    <w:rsid w:val="001E0315"/>
    <w:rsid w:val="001E03CF"/>
    <w:rsid w:val="001E0789"/>
    <w:rsid w:val="001E07C9"/>
    <w:rsid w:val="001E0F53"/>
    <w:rsid w:val="001E0F8F"/>
    <w:rsid w:val="001E0F96"/>
    <w:rsid w:val="001E0FC1"/>
    <w:rsid w:val="001E0FD1"/>
    <w:rsid w:val="001E149D"/>
    <w:rsid w:val="001E1683"/>
    <w:rsid w:val="001E178F"/>
    <w:rsid w:val="001E197B"/>
    <w:rsid w:val="001E1B32"/>
    <w:rsid w:val="001E1E26"/>
    <w:rsid w:val="001E24A7"/>
    <w:rsid w:val="001E2AFA"/>
    <w:rsid w:val="001E2B04"/>
    <w:rsid w:val="001E2C79"/>
    <w:rsid w:val="001E2ED0"/>
    <w:rsid w:val="001E334A"/>
    <w:rsid w:val="001E373C"/>
    <w:rsid w:val="001E3B4F"/>
    <w:rsid w:val="001E3F3F"/>
    <w:rsid w:val="001E461C"/>
    <w:rsid w:val="001E483D"/>
    <w:rsid w:val="001E4C08"/>
    <w:rsid w:val="001E58D4"/>
    <w:rsid w:val="001E6151"/>
    <w:rsid w:val="001E6177"/>
    <w:rsid w:val="001E6C47"/>
    <w:rsid w:val="001E6D4E"/>
    <w:rsid w:val="001E7019"/>
    <w:rsid w:val="001E7114"/>
    <w:rsid w:val="001E77DC"/>
    <w:rsid w:val="001F0374"/>
    <w:rsid w:val="001F0A9C"/>
    <w:rsid w:val="001F0D1C"/>
    <w:rsid w:val="001F0E85"/>
    <w:rsid w:val="001F1370"/>
    <w:rsid w:val="001F1682"/>
    <w:rsid w:val="001F1A09"/>
    <w:rsid w:val="001F1C2E"/>
    <w:rsid w:val="001F1E9C"/>
    <w:rsid w:val="001F21EE"/>
    <w:rsid w:val="001F2300"/>
    <w:rsid w:val="001F2833"/>
    <w:rsid w:val="001F3CFD"/>
    <w:rsid w:val="001F3D94"/>
    <w:rsid w:val="001F3F63"/>
    <w:rsid w:val="001F432D"/>
    <w:rsid w:val="001F4CC1"/>
    <w:rsid w:val="001F4E29"/>
    <w:rsid w:val="001F5367"/>
    <w:rsid w:val="001F5933"/>
    <w:rsid w:val="001F5B2C"/>
    <w:rsid w:val="001F6BC7"/>
    <w:rsid w:val="001F6C85"/>
    <w:rsid w:val="001F6FBA"/>
    <w:rsid w:val="001F72C4"/>
    <w:rsid w:val="001F7685"/>
    <w:rsid w:val="002007EB"/>
    <w:rsid w:val="00200898"/>
    <w:rsid w:val="00200F66"/>
    <w:rsid w:val="002017D2"/>
    <w:rsid w:val="00201C11"/>
    <w:rsid w:val="00201E90"/>
    <w:rsid w:val="002026B9"/>
    <w:rsid w:val="00202F1B"/>
    <w:rsid w:val="00203100"/>
    <w:rsid w:val="0020325F"/>
    <w:rsid w:val="00203760"/>
    <w:rsid w:val="00203836"/>
    <w:rsid w:val="002039BA"/>
    <w:rsid w:val="00203BAF"/>
    <w:rsid w:val="002041DA"/>
    <w:rsid w:val="0020486D"/>
    <w:rsid w:val="00205729"/>
    <w:rsid w:val="0020636B"/>
    <w:rsid w:val="00206472"/>
    <w:rsid w:val="00206BD1"/>
    <w:rsid w:val="00206C26"/>
    <w:rsid w:val="00206CFC"/>
    <w:rsid w:val="002071F7"/>
    <w:rsid w:val="00207208"/>
    <w:rsid w:val="00207B4C"/>
    <w:rsid w:val="00207BFD"/>
    <w:rsid w:val="00207EFB"/>
    <w:rsid w:val="00210120"/>
    <w:rsid w:val="00210AF4"/>
    <w:rsid w:val="002110B3"/>
    <w:rsid w:val="00211A80"/>
    <w:rsid w:val="00211D0F"/>
    <w:rsid w:val="00211FEF"/>
    <w:rsid w:val="00212DD9"/>
    <w:rsid w:val="00212F40"/>
    <w:rsid w:val="00213823"/>
    <w:rsid w:val="0021399F"/>
    <w:rsid w:val="00213A31"/>
    <w:rsid w:val="00213BEC"/>
    <w:rsid w:val="00214F12"/>
    <w:rsid w:val="00214FFA"/>
    <w:rsid w:val="00215313"/>
    <w:rsid w:val="00215E8E"/>
    <w:rsid w:val="00216E09"/>
    <w:rsid w:val="00216EF4"/>
    <w:rsid w:val="0021723C"/>
    <w:rsid w:val="0021788B"/>
    <w:rsid w:val="00217A8C"/>
    <w:rsid w:val="00220AAE"/>
    <w:rsid w:val="00220C37"/>
    <w:rsid w:val="002210AF"/>
    <w:rsid w:val="00221156"/>
    <w:rsid w:val="0022128C"/>
    <w:rsid w:val="00221863"/>
    <w:rsid w:val="00221C3C"/>
    <w:rsid w:val="00221C54"/>
    <w:rsid w:val="0022278A"/>
    <w:rsid w:val="00222BE1"/>
    <w:rsid w:val="00223020"/>
    <w:rsid w:val="0022319E"/>
    <w:rsid w:val="00223406"/>
    <w:rsid w:val="0022342C"/>
    <w:rsid w:val="00223755"/>
    <w:rsid w:val="002240D5"/>
    <w:rsid w:val="00224605"/>
    <w:rsid w:val="00224ABA"/>
    <w:rsid w:val="00224FC2"/>
    <w:rsid w:val="0022519D"/>
    <w:rsid w:val="00225400"/>
    <w:rsid w:val="00225AFC"/>
    <w:rsid w:val="00226412"/>
    <w:rsid w:val="00226449"/>
    <w:rsid w:val="00226492"/>
    <w:rsid w:val="002268AD"/>
    <w:rsid w:val="0022704C"/>
    <w:rsid w:val="002270E7"/>
    <w:rsid w:val="00227428"/>
    <w:rsid w:val="00227D28"/>
    <w:rsid w:val="002301B6"/>
    <w:rsid w:val="0023028F"/>
    <w:rsid w:val="0023053A"/>
    <w:rsid w:val="002313A5"/>
    <w:rsid w:val="002317D7"/>
    <w:rsid w:val="00231CD1"/>
    <w:rsid w:val="002321D8"/>
    <w:rsid w:val="00232624"/>
    <w:rsid w:val="00232C96"/>
    <w:rsid w:val="00232F0E"/>
    <w:rsid w:val="00233B19"/>
    <w:rsid w:val="00234656"/>
    <w:rsid w:val="00234AD6"/>
    <w:rsid w:val="00234ED1"/>
    <w:rsid w:val="0023527D"/>
    <w:rsid w:val="002359D7"/>
    <w:rsid w:val="0023679F"/>
    <w:rsid w:val="002375CC"/>
    <w:rsid w:val="00237B65"/>
    <w:rsid w:val="00237C4D"/>
    <w:rsid w:val="002402D8"/>
    <w:rsid w:val="002407FE"/>
    <w:rsid w:val="00240BC3"/>
    <w:rsid w:val="00240F08"/>
    <w:rsid w:val="00241241"/>
    <w:rsid w:val="0024129A"/>
    <w:rsid w:val="002413BB"/>
    <w:rsid w:val="002413F8"/>
    <w:rsid w:val="002414DE"/>
    <w:rsid w:val="00241AED"/>
    <w:rsid w:val="00241DDA"/>
    <w:rsid w:val="0024272E"/>
    <w:rsid w:val="00242CDF"/>
    <w:rsid w:val="00243240"/>
    <w:rsid w:val="00245B8B"/>
    <w:rsid w:val="0024632C"/>
    <w:rsid w:val="00246386"/>
    <w:rsid w:val="00246AAB"/>
    <w:rsid w:val="002470DA"/>
    <w:rsid w:val="00247668"/>
    <w:rsid w:val="002503E6"/>
    <w:rsid w:val="002505FA"/>
    <w:rsid w:val="00250715"/>
    <w:rsid w:val="00250736"/>
    <w:rsid w:val="00250742"/>
    <w:rsid w:val="00250A10"/>
    <w:rsid w:val="00250DF2"/>
    <w:rsid w:val="002512CA"/>
    <w:rsid w:val="00251E9E"/>
    <w:rsid w:val="00252040"/>
    <w:rsid w:val="0025241D"/>
    <w:rsid w:val="00252F50"/>
    <w:rsid w:val="00253B7C"/>
    <w:rsid w:val="00254357"/>
    <w:rsid w:val="002543C4"/>
    <w:rsid w:val="0025490D"/>
    <w:rsid w:val="00254D04"/>
    <w:rsid w:val="002551F2"/>
    <w:rsid w:val="00255291"/>
    <w:rsid w:val="002556A2"/>
    <w:rsid w:val="00255DA7"/>
    <w:rsid w:val="002564B3"/>
    <w:rsid w:val="0025662D"/>
    <w:rsid w:val="0025680D"/>
    <w:rsid w:val="00256CCD"/>
    <w:rsid w:val="00257281"/>
    <w:rsid w:val="002573F3"/>
    <w:rsid w:val="002579FC"/>
    <w:rsid w:val="00257E30"/>
    <w:rsid w:val="002600BB"/>
    <w:rsid w:val="002603BE"/>
    <w:rsid w:val="00260733"/>
    <w:rsid w:val="00260A17"/>
    <w:rsid w:val="00260E90"/>
    <w:rsid w:val="0026173C"/>
    <w:rsid w:val="002618B8"/>
    <w:rsid w:val="00261BD0"/>
    <w:rsid w:val="00261CA0"/>
    <w:rsid w:val="00262153"/>
    <w:rsid w:val="002624E8"/>
    <w:rsid w:val="00262D0D"/>
    <w:rsid w:val="00262D10"/>
    <w:rsid w:val="00262E17"/>
    <w:rsid w:val="00263572"/>
    <w:rsid w:val="00263DBA"/>
    <w:rsid w:val="00264070"/>
    <w:rsid w:val="00264785"/>
    <w:rsid w:val="0026521F"/>
    <w:rsid w:val="00265419"/>
    <w:rsid w:val="00265908"/>
    <w:rsid w:val="002659D3"/>
    <w:rsid w:val="00265A0B"/>
    <w:rsid w:val="00266187"/>
    <w:rsid w:val="00266CB5"/>
    <w:rsid w:val="00266F0D"/>
    <w:rsid w:val="00270573"/>
    <w:rsid w:val="002713CE"/>
    <w:rsid w:val="00271462"/>
    <w:rsid w:val="00273511"/>
    <w:rsid w:val="0027403C"/>
    <w:rsid w:val="002744DD"/>
    <w:rsid w:val="00274673"/>
    <w:rsid w:val="00274774"/>
    <w:rsid w:val="00274DD7"/>
    <w:rsid w:val="00274E61"/>
    <w:rsid w:val="002750B3"/>
    <w:rsid w:val="002752F6"/>
    <w:rsid w:val="00275A5D"/>
    <w:rsid w:val="00275F94"/>
    <w:rsid w:val="00276FCA"/>
    <w:rsid w:val="00277AB7"/>
    <w:rsid w:val="00277C51"/>
    <w:rsid w:val="00277DB4"/>
    <w:rsid w:val="002800F8"/>
    <w:rsid w:val="00280C3F"/>
    <w:rsid w:val="0028112D"/>
    <w:rsid w:val="00281A6A"/>
    <w:rsid w:val="00281B1F"/>
    <w:rsid w:val="00281DF7"/>
    <w:rsid w:val="002824FC"/>
    <w:rsid w:val="00282ECF"/>
    <w:rsid w:val="00282F3E"/>
    <w:rsid w:val="0028369C"/>
    <w:rsid w:val="00283871"/>
    <w:rsid w:val="00283A27"/>
    <w:rsid w:val="00283A8E"/>
    <w:rsid w:val="0028442E"/>
    <w:rsid w:val="00284E0E"/>
    <w:rsid w:val="002851B9"/>
    <w:rsid w:val="0028550F"/>
    <w:rsid w:val="00285B17"/>
    <w:rsid w:val="00285D0A"/>
    <w:rsid w:val="00285F92"/>
    <w:rsid w:val="002860A6"/>
    <w:rsid w:val="002863C9"/>
    <w:rsid w:val="00286775"/>
    <w:rsid w:val="00286E31"/>
    <w:rsid w:val="00286EC9"/>
    <w:rsid w:val="00287E06"/>
    <w:rsid w:val="00290E99"/>
    <w:rsid w:val="00291302"/>
    <w:rsid w:val="002915F2"/>
    <w:rsid w:val="002916CF"/>
    <w:rsid w:val="00291F05"/>
    <w:rsid w:val="002921DB"/>
    <w:rsid w:val="00293617"/>
    <w:rsid w:val="002941DA"/>
    <w:rsid w:val="00294380"/>
    <w:rsid w:val="002948C4"/>
    <w:rsid w:val="0029499C"/>
    <w:rsid w:val="00294AB5"/>
    <w:rsid w:val="00294F8F"/>
    <w:rsid w:val="002952A7"/>
    <w:rsid w:val="00295372"/>
    <w:rsid w:val="002954A1"/>
    <w:rsid w:val="00295527"/>
    <w:rsid w:val="002955E0"/>
    <w:rsid w:val="0029581A"/>
    <w:rsid w:val="00295AFB"/>
    <w:rsid w:val="0029604E"/>
    <w:rsid w:val="00297324"/>
    <w:rsid w:val="00297341"/>
    <w:rsid w:val="002978AB"/>
    <w:rsid w:val="00297BA5"/>
    <w:rsid w:val="002A0B57"/>
    <w:rsid w:val="002A229A"/>
    <w:rsid w:val="002A24AE"/>
    <w:rsid w:val="002A2D94"/>
    <w:rsid w:val="002A3413"/>
    <w:rsid w:val="002A377D"/>
    <w:rsid w:val="002A3862"/>
    <w:rsid w:val="002A3D8E"/>
    <w:rsid w:val="002A3E60"/>
    <w:rsid w:val="002A407C"/>
    <w:rsid w:val="002A43E2"/>
    <w:rsid w:val="002A4A5B"/>
    <w:rsid w:val="002A560B"/>
    <w:rsid w:val="002A57EB"/>
    <w:rsid w:val="002A5A71"/>
    <w:rsid w:val="002A5DB5"/>
    <w:rsid w:val="002A688A"/>
    <w:rsid w:val="002A6AE2"/>
    <w:rsid w:val="002A6B0D"/>
    <w:rsid w:val="002A6E64"/>
    <w:rsid w:val="002A7BDD"/>
    <w:rsid w:val="002A7F67"/>
    <w:rsid w:val="002B02F5"/>
    <w:rsid w:val="002B08E4"/>
    <w:rsid w:val="002B08FB"/>
    <w:rsid w:val="002B0C02"/>
    <w:rsid w:val="002B0D88"/>
    <w:rsid w:val="002B0DD6"/>
    <w:rsid w:val="002B10B5"/>
    <w:rsid w:val="002B1661"/>
    <w:rsid w:val="002B18BE"/>
    <w:rsid w:val="002B1A32"/>
    <w:rsid w:val="002B1F74"/>
    <w:rsid w:val="002B2382"/>
    <w:rsid w:val="002B2489"/>
    <w:rsid w:val="002B2BC8"/>
    <w:rsid w:val="002B4327"/>
    <w:rsid w:val="002B490F"/>
    <w:rsid w:val="002B4D8D"/>
    <w:rsid w:val="002B4F8B"/>
    <w:rsid w:val="002B4FD0"/>
    <w:rsid w:val="002B59D2"/>
    <w:rsid w:val="002B6660"/>
    <w:rsid w:val="002B66EA"/>
    <w:rsid w:val="002B7B9B"/>
    <w:rsid w:val="002B7C48"/>
    <w:rsid w:val="002B7EC1"/>
    <w:rsid w:val="002C0076"/>
    <w:rsid w:val="002C00F8"/>
    <w:rsid w:val="002C1785"/>
    <w:rsid w:val="002C25E9"/>
    <w:rsid w:val="002C270B"/>
    <w:rsid w:val="002C346D"/>
    <w:rsid w:val="002C34F6"/>
    <w:rsid w:val="002C3997"/>
    <w:rsid w:val="002C4356"/>
    <w:rsid w:val="002C4707"/>
    <w:rsid w:val="002C4C46"/>
    <w:rsid w:val="002C4CF1"/>
    <w:rsid w:val="002C4D1D"/>
    <w:rsid w:val="002C5832"/>
    <w:rsid w:val="002C5F31"/>
    <w:rsid w:val="002C5FC9"/>
    <w:rsid w:val="002C6853"/>
    <w:rsid w:val="002C6E19"/>
    <w:rsid w:val="002C6E55"/>
    <w:rsid w:val="002C7190"/>
    <w:rsid w:val="002C72F6"/>
    <w:rsid w:val="002C759A"/>
    <w:rsid w:val="002C7E66"/>
    <w:rsid w:val="002D0CB0"/>
    <w:rsid w:val="002D1890"/>
    <w:rsid w:val="002D1A30"/>
    <w:rsid w:val="002D267A"/>
    <w:rsid w:val="002D2DBA"/>
    <w:rsid w:val="002D2FFB"/>
    <w:rsid w:val="002D3260"/>
    <w:rsid w:val="002D3608"/>
    <w:rsid w:val="002D478A"/>
    <w:rsid w:val="002D55AC"/>
    <w:rsid w:val="002D57B6"/>
    <w:rsid w:val="002D5BD4"/>
    <w:rsid w:val="002D5E89"/>
    <w:rsid w:val="002D7457"/>
    <w:rsid w:val="002D7576"/>
    <w:rsid w:val="002D7774"/>
    <w:rsid w:val="002D7CEE"/>
    <w:rsid w:val="002E0320"/>
    <w:rsid w:val="002E06E7"/>
    <w:rsid w:val="002E1D8E"/>
    <w:rsid w:val="002E2C0A"/>
    <w:rsid w:val="002E3142"/>
    <w:rsid w:val="002E3511"/>
    <w:rsid w:val="002E3544"/>
    <w:rsid w:val="002E3794"/>
    <w:rsid w:val="002E3A9F"/>
    <w:rsid w:val="002E3CD2"/>
    <w:rsid w:val="002E3D91"/>
    <w:rsid w:val="002E3F22"/>
    <w:rsid w:val="002E454D"/>
    <w:rsid w:val="002E4D2A"/>
    <w:rsid w:val="002E536B"/>
    <w:rsid w:val="002E54D9"/>
    <w:rsid w:val="002E5613"/>
    <w:rsid w:val="002E6930"/>
    <w:rsid w:val="002E69AB"/>
    <w:rsid w:val="002E6A02"/>
    <w:rsid w:val="002E6D51"/>
    <w:rsid w:val="002E6D71"/>
    <w:rsid w:val="002E7311"/>
    <w:rsid w:val="002E760C"/>
    <w:rsid w:val="002E7F27"/>
    <w:rsid w:val="002F052D"/>
    <w:rsid w:val="002F0E19"/>
    <w:rsid w:val="002F1530"/>
    <w:rsid w:val="002F1577"/>
    <w:rsid w:val="002F157A"/>
    <w:rsid w:val="002F2273"/>
    <w:rsid w:val="002F2364"/>
    <w:rsid w:val="002F23B7"/>
    <w:rsid w:val="002F2D2E"/>
    <w:rsid w:val="002F3451"/>
    <w:rsid w:val="002F3839"/>
    <w:rsid w:val="002F3E5F"/>
    <w:rsid w:val="002F4261"/>
    <w:rsid w:val="002F4309"/>
    <w:rsid w:val="002F4A05"/>
    <w:rsid w:val="002F5220"/>
    <w:rsid w:val="002F5402"/>
    <w:rsid w:val="002F56A6"/>
    <w:rsid w:val="002F697C"/>
    <w:rsid w:val="002F707A"/>
    <w:rsid w:val="002F7422"/>
    <w:rsid w:val="002F7458"/>
    <w:rsid w:val="002F78C9"/>
    <w:rsid w:val="0030024E"/>
    <w:rsid w:val="00300D86"/>
    <w:rsid w:val="0030151B"/>
    <w:rsid w:val="003018CB"/>
    <w:rsid w:val="0030198F"/>
    <w:rsid w:val="00301BA9"/>
    <w:rsid w:val="00302629"/>
    <w:rsid w:val="003033EB"/>
    <w:rsid w:val="003037BA"/>
    <w:rsid w:val="0030407A"/>
    <w:rsid w:val="00304938"/>
    <w:rsid w:val="00304ABB"/>
    <w:rsid w:val="00304C65"/>
    <w:rsid w:val="00304E5C"/>
    <w:rsid w:val="00305505"/>
    <w:rsid w:val="00305828"/>
    <w:rsid w:val="00305C36"/>
    <w:rsid w:val="0030611F"/>
    <w:rsid w:val="00306967"/>
    <w:rsid w:val="00306B40"/>
    <w:rsid w:val="00306E41"/>
    <w:rsid w:val="00306F4C"/>
    <w:rsid w:val="00311145"/>
    <w:rsid w:val="003118DD"/>
    <w:rsid w:val="00312195"/>
    <w:rsid w:val="00312285"/>
    <w:rsid w:val="0031267C"/>
    <w:rsid w:val="003127BC"/>
    <w:rsid w:val="003129F9"/>
    <w:rsid w:val="003136D8"/>
    <w:rsid w:val="003139E9"/>
    <w:rsid w:val="00313F21"/>
    <w:rsid w:val="0031456F"/>
    <w:rsid w:val="003145DA"/>
    <w:rsid w:val="00314872"/>
    <w:rsid w:val="00314E73"/>
    <w:rsid w:val="003153C5"/>
    <w:rsid w:val="0031564B"/>
    <w:rsid w:val="003161EF"/>
    <w:rsid w:val="0031693A"/>
    <w:rsid w:val="00317314"/>
    <w:rsid w:val="00317549"/>
    <w:rsid w:val="00317CF3"/>
    <w:rsid w:val="003200C7"/>
    <w:rsid w:val="0032010F"/>
    <w:rsid w:val="003202C7"/>
    <w:rsid w:val="00320325"/>
    <w:rsid w:val="00320B94"/>
    <w:rsid w:val="003213CA"/>
    <w:rsid w:val="003213EC"/>
    <w:rsid w:val="003228AE"/>
    <w:rsid w:val="00322A2E"/>
    <w:rsid w:val="00322B87"/>
    <w:rsid w:val="00322F02"/>
    <w:rsid w:val="00322F98"/>
    <w:rsid w:val="0032386F"/>
    <w:rsid w:val="00324357"/>
    <w:rsid w:val="0032436E"/>
    <w:rsid w:val="003243DD"/>
    <w:rsid w:val="003250B0"/>
    <w:rsid w:val="003250EF"/>
    <w:rsid w:val="003253AB"/>
    <w:rsid w:val="003257DE"/>
    <w:rsid w:val="0032662F"/>
    <w:rsid w:val="00326832"/>
    <w:rsid w:val="00326CA3"/>
    <w:rsid w:val="00327676"/>
    <w:rsid w:val="00327A33"/>
    <w:rsid w:val="00327DBF"/>
    <w:rsid w:val="003303D7"/>
    <w:rsid w:val="0033065C"/>
    <w:rsid w:val="00330800"/>
    <w:rsid w:val="003312F3"/>
    <w:rsid w:val="00331394"/>
    <w:rsid w:val="0033193E"/>
    <w:rsid w:val="00331EDE"/>
    <w:rsid w:val="00332B23"/>
    <w:rsid w:val="00332E20"/>
    <w:rsid w:val="0033322A"/>
    <w:rsid w:val="003332FD"/>
    <w:rsid w:val="00333CEA"/>
    <w:rsid w:val="00333D63"/>
    <w:rsid w:val="0033431D"/>
    <w:rsid w:val="00334A0A"/>
    <w:rsid w:val="00334BD5"/>
    <w:rsid w:val="003353A3"/>
    <w:rsid w:val="003354D2"/>
    <w:rsid w:val="00335763"/>
    <w:rsid w:val="003361E7"/>
    <w:rsid w:val="00336287"/>
    <w:rsid w:val="0033655F"/>
    <w:rsid w:val="00336623"/>
    <w:rsid w:val="00336625"/>
    <w:rsid w:val="00336772"/>
    <w:rsid w:val="00336D62"/>
    <w:rsid w:val="003374C0"/>
    <w:rsid w:val="00337560"/>
    <w:rsid w:val="003377EA"/>
    <w:rsid w:val="003377EE"/>
    <w:rsid w:val="00340558"/>
    <w:rsid w:val="00340849"/>
    <w:rsid w:val="00340B70"/>
    <w:rsid w:val="00341A2E"/>
    <w:rsid w:val="00342747"/>
    <w:rsid w:val="003428AD"/>
    <w:rsid w:val="00342974"/>
    <w:rsid w:val="003429F6"/>
    <w:rsid w:val="00342AF2"/>
    <w:rsid w:val="00342E49"/>
    <w:rsid w:val="00342F8C"/>
    <w:rsid w:val="00343BA1"/>
    <w:rsid w:val="00343DFF"/>
    <w:rsid w:val="0034405B"/>
    <w:rsid w:val="003446CF"/>
    <w:rsid w:val="00344B5A"/>
    <w:rsid w:val="00344E11"/>
    <w:rsid w:val="00345969"/>
    <w:rsid w:val="00345B74"/>
    <w:rsid w:val="00345BA6"/>
    <w:rsid w:val="00345DE4"/>
    <w:rsid w:val="00346756"/>
    <w:rsid w:val="00346C43"/>
    <w:rsid w:val="00346CBB"/>
    <w:rsid w:val="00346D44"/>
    <w:rsid w:val="00347089"/>
    <w:rsid w:val="00347286"/>
    <w:rsid w:val="00347D82"/>
    <w:rsid w:val="003502A2"/>
    <w:rsid w:val="00350362"/>
    <w:rsid w:val="0035066D"/>
    <w:rsid w:val="003507E0"/>
    <w:rsid w:val="00350C2A"/>
    <w:rsid w:val="00351561"/>
    <w:rsid w:val="00351EDB"/>
    <w:rsid w:val="00352FE1"/>
    <w:rsid w:val="00353123"/>
    <w:rsid w:val="00353160"/>
    <w:rsid w:val="003536D2"/>
    <w:rsid w:val="0035439E"/>
    <w:rsid w:val="003546F9"/>
    <w:rsid w:val="00354702"/>
    <w:rsid w:val="00354B74"/>
    <w:rsid w:val="00354CE9"/>
    <w:rsid w:val="00354D52"/>
    <w:rsid w:val="00355050"/>
    <w:rsid w:val="00355260"/>
    <w:rsid w:val="00355A91"/>
    <w:rsid w:val="00355BC8"/>
    <w:rsid w:val="0035619C"/>
    <w:rsid w:val="003562E3"/>
    <w:rsid w:val="00356B43"/>
    <w:rsid w:val="00356C6A"/>
    <w:rsid w:val="00356FAF"/>
    <w:rsid w:val="0035716F"/>
    <w:rsid w:val="00357923"/>
    <w:rsid w:val="00357FB5"/>
    <w:rsid w:val="00360150"/>
    <w:rsid w:val="003605C7"/>
    <w:rsid w:val="00360664"/>
    <w:rsid w:val="00360A99"/>
    <w:rsid w:val="00361104"/>
    <w:rsid w:val="003613F9"/>
    <w:rsid w:val="00361B7F"/>
    <w:rsid w:val="00362037"/>
    <w:rsid w:val="00362041"/>
    <w:rsid w:val="003623E9"/>
    <w:rsid w:val="003625D3"/>
    <w:rsid w:val="00362F3F"/>
    <w:rsid w:val="003631BB"/>
    <w:rsid w:val="003637B9"/>
    <w:rsid w:val="00363B7B"/>
    <w:rsid w:val="00363DB3"/>
    <w:rsid w:val="00364097"/>
    <w:rsid w:val="00364A7C"/>
    <w:rsid w:val="00364DC0"/>
    <w:rsid w:val="00364FB5"/>
    <w:rsid w:val="00364FDF"/>
    <w:rsid w:val="0036541D"/>
    <w:rsid w:val="00365BBA"/>
    <w:rsid w:val="00365BF2"/>
    <w:rsid w:val="00366342"/>
    <w:rsid w:val="00366737"/>
    <w:rsid w:val="00366882"/>
    <w:rsid w:val="00366D8D"/>
    <w:rsid w:val="00366DA7"/>
    <w:rsid w:val="00367345"/>
    <w:rsid w:val="00367BF2"/>
    <w:rsid w:val="00367F10"/>
    <w:rsid w:val="00367F4F"/>
    <w:rsid w:val="003705A2"/>
    <w:rsid w:val="0037083F"/>
    <w:rsid w:val="00371003"/>
    <w:rsid w:val="003719F2"/>
    <w:rsid w:val="00371DBE"/>
    <w:rsid w:val="00372B7E"/>
    <w:rsid w:val="00372C2D"/>
    <w:rsid w:val="00372E98"/>
    <w:rsid w:val="00372FF9"/>
    <w:rsid w:val="0037379A"/>
    <w:rsid w:val="003745BF"/>
    <w:rsid w:val="00374F5E"/>
    <w:rsid w:val="0037545B"/>
    <w:rsid w:val="003756C8"/>
    <w:rsid w:val="0037584E"/>
    <w:rsid w:val="00375F89"/>
    <w:rsid w:val="00376C30"/>
    <w:rsid w:val="00376DB6"/>
    <w:rsid w:val="00376F64"/>
    <w:rsid w:val="00377340"/>
    <w:rsid w:val="003773BA"/>
    <w:rsid w:val="003779EE"/>
    <w:rsid w:val="00377CCE"/>
    <w:rsid w:val="00380809"/>
    <w:rsid w:val="003809B9"/>
    <w:rsid w:val="00380CE2"/>
    <w:rsid w:val="0038110F"/>
    <w:rsid w:val="00381361"/>
    <w:rsid w:val="00382141"/>
    <w:rsid w:val="0038278A"/>
    <w:rsid w:val="00382FEF"/>
    <w:rsid w:val="003831D0"/>
    <w:rsid w:val="00384717"/>
    <w:rsid w:val="003848FD"/>
    <w:rsid w:val="00384A7E"/>
    <w:rsid w:val="00384DFD"/>
    <w:rsid w:val="0038532B"/>
    <w:rsid w:val="003853FE"/>
    <w:rsid w:val="0038556E"/>
    <w:rsid w:val="00385C1F"/>
    <w:rsid w:val="00387EDC"/>
    <w:rsid w:val="00390049"/>
    <w:rsid w:val="00390CCF"/>
    <w:rsid w:val="00390CE0"/>
    <w:rsid w:val="00390F9B"/>
    <w:rsid w:val="0039185F"/>
    <w:rsid w:val="003919C2"/>
    <w:rsid w:val="00391B4E"/>
    <w:rsid w:val="00391BC5"/>
    <w:rsid w:val="00391F5B"/>
    <w:rsid w:val="00392090"/>
    <w:rsid w:val="00393497"/>
    <w:rsid w:val="003939FF"/>
    <w:rsid w:val="00393BF8"/>
    <w:rsid w:val="00393F38"/>
    <w:rsid w:val="003948A6"/>
    <w:rsid w:val="00395386"/>
    <w:rsid w:val="00395389"/>
    <w:rsid w:val="0039576F"/>
    <w:rsid w:val="00395AB4"/>
    <w:rsid w:val="00395BD8"/>
    <w:rsid w:val="00395EDA"/>
    <w:rsid w:val="003960F3"/>
    <w:rsid w:val="00396239"/>
    <w:rsid w:val="003962AD"/>
    <w:rsid w:val="0039641B"/>
    <w:rsid w:val="00396A83"/>
    <w:rsid w:val="00396FA3"/>
    <w:rsid w:val="0039777E"/>
    <w:rsid w:val="003A07A7"/>
    <w:rsid w:val="003A13C7"/>
    <w:rsid w:val="003A16E0"/>
    <w:rsid w:val="003A18FA"/>
    <w:rsid w:val="003A29F6"/>
    <w:rsid w:val="003A2FBD"/>
    <w:rsid w:val="003A3006"/>
    <w:rsid w:val="003A32B8"/>
    <w:rsid w:val="003A3D29"/>
    <w:rsid w:val="003A41AF"/>
    <w:rsid w:val="003A420D"/>
    <w:rsid w:val="003A47EB"/>
    <w:rsid w:val="003A4B56"/>
    <w:rsid w:val="003A4DDC"/>
    <w:rsid w:val="003A52A7"/>
    <w:rsid w:val="003A603E"/>
    <w:rsid w:val="003A607F"/>
    <w:rsid w:val="003A628E"/>
    <w:rsid w:val="003A681D"/>
    <w:rsid w:val="003A68CB"/>
    <w:rsid w:val="003B0338"/>
    <w:rsid w:val="003B0B78"/>
    <w:rsid w:val="003B0BD8"/>
    <w:rsid w:val="003B128B"/>
    <w:rsid w:val="003B1635"/>
    <w:rsid w:val="003B1881"/>
    <w:rsid w:val="003B18F2"/>
    <w:rsid w:val="003B1BF6"/>
    <w:rsid w:val="003B1E65"/>
    <w:rsid w:val="003B228D"/>
    <w:rsid w:val="003B251C"/>
    <w:rsid w:val="003B266B"/>
    <w:rsid w:val="003B2764"/>
    <w:rsid w:val="003B2E28"/>
    <w:rsid w:val="003B37A0"/>
    <w:rsid w:val="003B4337"/>
    <w:rsid w:val="003B4B72"/>
    <w:rsid w:val="003B59BA"/>
    <w:rsid w:val="003B5A48"/>
    <w:rsid w:val="003B5AC4"/>
    <w:rsid w:val="003B6ADB"/>
    <w:rsid w:val="003B6DE3"/>
    <w:rsid w:val="003B726E"/>
    <w:rsid w:val="003B7618"/>
    <w:rsid w:val="003B7C06"/>
    <w:rsid w:val="003B7DA0"/>
    <w:rsid w:val="003B7F1A"/>
    <w:rsid w:val="003C0186"/>
    <w:rsid w:val="003C01F4"/>
    <w:rsid w:val="003C04EC"/>
    <w:rsid w:val="003C0BAC"/>
    <w:rsid w:val="003C0F7D"/>
    <w:rsid w:val="003C1029"/>
    <w:rsid w:val="003C1945"/>
    <w:rsid w:val="003C1AF1"/>
    <w:rsid w:val="003C2126"/>
    <w:rsid w:val="003C259B"/>
    <w:rsid w:val="003C25E2"/>
    <w:rsid w:val="003C296A"/>
    <w:rsid w:val="003C2D47"/>
    <w:rsid w:val="003C36B5"/>
    <w:rsid w:val="003C3C80"/>
    <w:rsid w:val="003C3E8F"/>
    <w:rsid w:val="003C3F24"/>
    <w:rsid w:val="003C5513"/>
    <w:rsid w:val="003C5643"/>
    <w:rsid w:val="003C5A8F"/>
    <w:rsid w:val="003C5AE1"/>
    <w:rsid w:val="003C5C8E"/>
    <w:rsid w:val="003C65EC"/>
    <w:rsid w:val="003C6A77"/>
    <w:rsid w:val="003C6A7C"/>
    <w:rsid w:val="003C7772"/>
    <w:rsid w:val="003C792A"/>
    <w:rsid w:val="003C7CF3"/>
    <w:rsid w:val="003C7DDF"/>
    <w:rsid w:val="003D053C"/>
    <w:rsid w:val="003D0586"/>
    <w:rsid w:val="003D0C6E"/>
    <w:rsid w:val="003D0DAE"/>
    <w:rsid w:val="003D0E30"/>
    <w:rsid w:val="003D170C"/>
    <w:rsid w:val="003D2971"/>
    <w:rsid w:val="003D298D"/>
    <w:rsid w:val="003D361A"/>
    <w:rsid w:val="003D3C6D"/>
    <w:rsid w:val="003D3F0C"/>
    <w:rsid w:val="003D44D6"/>
    <w:rsid w:val="003D44FB"/>
    <w:rsid w:val="003D47E4"/>
    <w:rsid w:val="003D5009"/>
    <w:rsid w:val="003D5083"/>
    <w:rsid w:val="003D5A67"/>
    <w:rsid w:val="003D65D0"/>
    <w:rsid w:val="003D6D8C"/>
    <w:rsid w:val="003D6DCE"/>
    <w:rsid w:val="003D7129"/>
    <w:rsid w:val="003D7238"/>
    <w:rsid w:val="003D74C5"/>
    <w:rsid w:val="003D782D"/>
    <w:rsid w:val="003D7A8C"/>
    <w:rsid w:val="003E0224"/>
    <w:rsid w:val="003E070C"/>
    <w:rsid w:val="003E0A0B"/>
    <w:rsid w:val="003E0D61"/>
    <w:rsid w:val="003E11C7"/>
    <w:rsid w:val="003E18B3"/>
    <w:rsid w:val="003E281C"/>
    <w:rsid w:val="003E2AB2"/>
    <w:rsid w:val="003E3D71"/>
    <w:rsid w:val="003E416F"/>
    <w:rsid w:val="003E4730"/>
    <w:rsid w:val="003E4AA1"/>
    <w:rsid w:val="003E542A"/>
    <w:rsid w:val="003E5554"/>
    <w:rsid w:val="003E5676"/>
    <w:rsid w:val="003E5FD4"/>
    <w:rsid w:val="003E6038"/>
    <w:rsid w:val="003E6059"/>
    <w:rsid w:val="003E60D5"/>
    <w:rsid w:val="003E6D3D"/>
    <w:rsid w:val="003E6D50"/>
    <w:rsid w:val="003E74D3"/>
    <w:rsid w:val="003F024C"/>
    <w:rsid w:val="003F0C99"/>
    <w:rsid w:val="003F0FD8"/>
    <w:rsid w:val="003F1473"/>
    <w:rsid w:val="003F1EAC"/>
    <w:rsid w:val="003F23F4"/>
    <w:rsid w:val="003F2611"/>
    <w:rsid w:val="003F2A83"/>
    <w:rsid w:val="003F3006"/>
    <w:rsid w:val="003F38CC"/>
    <w:rsid w:val="003F3900"/>
    <w:rsid w:val="003F39EC"/>
    <w:rsid w:val="003F45CF"/>
    <w:rsid w:val="003F4EBB"/>
    <w:rsid w:val="003F52C4"/>
    <w:rsid w:val="003F5459"/>
    <w:rsid w:val="003F557B"/>
    <w:rsid w:val="003F649F"/>
    <w:rsid w:val="003F652D"/>
    <w:rsid w:val="003F6D9D"/>
    <w:rsid w:val="003F6F08"/>
    <w:rsid w:val="003F71F3"/>
    <w:rsid w:val="003F7DC1"/>
    <w:rsid w:val="00400400"/>
    <w:rsid w:val="00400455"/>
    <w:rsid w:val="00400669"/>
    <w:rsid w:val="0040074D"/>
    <w:rsid w:val="00400CE0"/>
    <w:rsid w:val="00400E60"/>
    <w:rsid w:val="00400F4C"/>
    <w:rsid w:val="00401816"/>
    <w:rsid w:val="0040191C"/>
    <w:rsid w:val="00401D16"/>
    <w:rsid w:val="00401FF8"/>
    <w:rsid w:val="00402A6A"/>
    <w:rsid w:val="00402D38"/>
    <w:rsid w:val="00403B99"/>
    <w:rsid w:val="00403C91"/>
    <w:rsid w:val="00403F0C"/>
    <w:rsid w:val="004040D0"/>
    <w:rsid w:val="00404772"/>
    <w:rsid w:val="00404BC4"/>
    <w:rsid w:val="00404D03"/>
    <w:rsid w:val="00404E6A"/>
    <w:rsid w:val="00404FE2"/>
    <w:rsid w:val="004055F9"/>
    <w:rsid w:val="00405FE6"/>
    <w:rsid w:val="00406948"/>
    <w:rsid w:val="004074A1"/>
    <w:rsid w:val="00407855"/>
    <w:rsid w:val="004103B7"/>
    <w:rsid w:val="004105EF"/>
    <w:rsid w:val="00410C21"/>
    <w:rsid w:val="004113D2"/>
    <w:rsid w:val="0041143F"/>
    <w:rsid w:val="00411B1E"/>
    <w:rsid w:val="00412611"/>
    <w:rsid w:val="00412659"/>
    <w:rsid w:val="0041265F"/>
    <w:rsid w:val="00412CB5"/>
    <w:rsid w:val="004137CC"/>
    <w:rsid w:val="00414122"/>
    <w:rsid w:val="00414836"/>
    <w:rsid w:val="00414C3B"/>
    <w:rsid w:val="00414E60"/>
    <w:rsid w:val="00414F32"/>
    <w:rsid w:val="00415328"/>
    <w:rsid w:val="00415378"/>
    <w:rsid w:val="00416233"/>
    <w:rsid w:val="004167C4"/>
    <w:rsid w:val="00416892"/>
    <w:rsid w:val="0041695C"/>
    <w:rsid w:val="004169E8"/>
    <w:rsid w:val="00416B57"/>
    <w:rsid w:val="0041728D"/>
    <w:rsid w:val="0041768A"/>
    <w:rsid w:val="0041781F"/>
    <w:rsid w:val="00417BC6"/>
    <w:rsid w:val="00417D32"/>
    <w:rsid w:val="0042001D"/>
    <w:rsid w:val="004203C5"/>
    <w:rsid w:val="00420710"/>
    <w:rsid w:val="0042096A"/>
    <w:rsid w:val="00420B83"/>
    <w:rsid w:val="004211C0"/>
    <w:rsid w:val="00421468"/>
    <w:rsid w:val="004219BE"/>
    <w:rsid w:val="00421F05"/>
    <w:rsid w:val="00422101"/>
    <w:rsid w:val="00422435"/>
    <w:rsid w:val="004228E8"/>
    <w:rsid w:val="00422B51"/>
    <w:rsid w:val="00422F33"/>
    <w:rsid w:val="0042382C"/>
    <w:rsid w:val="00423F25"/>
    <w:rsid w:val="00424BA5"/>
    <w:rsid w:val="0042554B"/>
    <w:rsid w:val="00425594"/>
    <w:rsid w:val="00425A62"/>
    <w:rsid w:val="004260CE"/>
    <w:rsid w:val="004263FA"/>
    <w:rsid w:val="0042646B"/>
    <w:rsid w:val="00426876"/>
    <w:rsid w:val="00426CD8"/>
    <w:rsid w:val="00426E50"/>
    <w:rsid w:val="0042736F"/>
    <w:rsid w:val="004274B2"/>
    <w:rsid w:val="00431901"/>
    <w:rsid w:val="004322AF"/>
    <w:rsid w:val="00432442"/>
    <w:rsid w:val="00432551"/>
    <w:rsid w:val="0043309F"/>
    <w:rsid w:val="0043314F"/>
    <w:rsid w:val="00434170"/>
    <w:rsid w:val="00434257"/>
    <w:rsid w:val="00434CBB"/>
    <w:rsid w:val="00434E30"/>
    <w:rsid w:val="00435102"/>
    <w:rsid w:val="00435D79"/>
    <w:rsid w:val="00435EC9"/>
    <w:rsid w:val="0043600C"/>
    <w:rsid w:val="0043618C"/>
    <w:rsid w:val="0043626C"/>
    <w:rsid w:val="00436337"/>
    <w:rsid w:val="004370AA"/>
    <w:rsid w:val="00440D11"/>
    <w:rsid w:val="00440D6D"/>
    <w:rsid w:val="00441391"/>
    <w:rsid w:val="004419F2"/>
    <w:rsid w:val="00441CC3"/>
    <w:rsid w:val="00442E15"/>
    <w:rsid w:val="00443F68"/>
    <w:rsid w:val="004448F7"/>
    <w:rsid w:val="00444DCA"/>
    <w:rsid w:val="004451EC"/>
    <w:rsid w:val="004454E5"/>
    <w:rsid w:val="00445B86"/>
    <w:rsid w:val="004460E1"/>
    <w:rsid w:val="00446C9C"/>
    <w:rsid w:val="00447961"/>
    <w:rsid w:val="00447CB0"/>
    <w:rsid w:val="00447D14"/>
    <w:rsid w:val="00447E5B"/>
    <w:rsid w:val="00447EB8"/>
    <w:rsid w:val="0045079F"/>
    <w:rsid w:val="00450DAA"/>
    <w:rsid w:val="004523CB"/>
    <w:rsid w:val="004524C4"/>
    <w:rsid w:val="00452FBB"/>
    <w:rsid w:val="00453282"/>
    <w:rsid w:val="00453372"/>
    <w:rsid w:val="004534D1"/>
    <w:rsid w:val="004538DB"/>
    <w:rsid w:val="00453943"/>
    <w:rsid w:val="00453C7D"/>
    <w:rsid w:val="004541A3"/>
    <w:rsid w:val="00454523"/>
    <w:rsid w:val="00455348"/>
    <w:rsid w:val="00455378"/>
    <w:rsid w:val="00455592"/>
    <w:rsid w:val="0045589C"/>
    <w:rsid w:val="00456450"/>
    <w:rsid w:val="00456605"/>
    <w:rsid w:val="004568E1"/>
    <w:rsid w:val="00456CDA"/>
    <w:rsid w:val="00456DC9"/>
    <w:rsid w:val="00456DFB"/>
    <w:rsid w:val="00456EED"/>
    <w:rsid w:val="00457985"/>
    <w:rsid w:val="004616EA"/>
    <w:rsid w:val="00461B17"/>
    <w:rsid w:val="00462014"/>
    <w:rsid w:val="00462269"/>
    <w:rsid w:val="00462B49"/>
    <w:rsid w:val="00462B5B"/>
    <w:rsid w:val="00463096"/>
    <w:rsid w:val="00463AEB"/>
    <w:rsid w:val="00464473"/>
    <w:rsid w:val="00464A60"/>
    <w:rsid w:val="00464A73"/>
    <w:rsid w:val="00464A84"/>
    <w:rsid w:val="00465361"/>
    <w:rsid w:val="004653C1"/>
    <w:rsid w:val="00465843"/>
    <w:rsid w:val="00465858"/>
    <w:rsid w:val="00466202"/>
    <w:rsid w:val="00466732"/>
    <w:rsid w:val="0046733E"/>
    <w:rsid w:val="00467B35"/>
    <w:rsid w:val="00467BEA"/>
    <w:rsid w:val="004704A2"/>
    <w:rsid w:val="0047163A"/>
    <w:rsid w:val="00471B05"/>
    <w:rsid w:val="00471B52"/>
    <w:rsid w:val="00471C36"/>
    <w:rsid w:val="00472418"/>
    <w:rsid w:val="00472496"/>
    <w:rsid w:val="00472A20"/>
    <w:rsid w:val="00472DB5"/>
    <w:rsid w:val="00472E64"/>
    <w:rsid w:val="00474C96"/>
    <w:rsid w:val="00474E06"/>
    <w:rsid w:val="004753F6"/>
    <w:rsid w:val="00475AF0"/>
    <w:rsid w:val="00475C92"/>
    <w:rsid w:val="00475F12"/>
    <w:rsid w:val="0047675A"/>
    <w:rsid w:val="0047677A"/>
    <w:rsid w:val="00476D2E"/>
    <w:rsid w:val="00477348"/>
    <w:rsid w:val="00477BEB"/>
    <w:rsid w:val="00477E54"/>
    <w:rsid w:val="00477FE9"/>
    <w:rsid w:val="0048022F"/>
    <w:rsid w:val="00480353"/>
    <w:rsid w:val="004803F7"/>
    <w:rsid w:val="00480E6C"/>
    <w:rsid w:val="00480F50"/>
    <w:rsid w:val="0048115C"/>
    <w:rsid w:val="004811EA"/>
    <w:rsid w:val="00481223"/>
    <w:rsid w:val="004814D8"/>
    <w:rsid w:val="00481600"/>
    <w:rsid w:val="004816C5"/>
    <w:rsid w:val="0048172E"/>
    <w:rsid w:val="00481B75"/>
    <w:rsid w:val="0048260E"/>
    <w:rsid w:val="00482AB5"/>
    <w:rsid w:val="00482EA5"/>
    <w:rsid w:val="0048304B"/>
    <w:rsid w:val="0048351C"/>
    <w:rsid w:val="004837A5"/>
    <w:rsid w:val="0048392F"/>
    <w:rsid w:val="00484480"/>
    <w:rsid w:val="00484990"/>
    <w:rsid w:val="00484D01"/>
    <w:rsid w:val="0048552B"/>
    <w:rsid w:val="00485606"/>
    <w:rsid w:val="004856C0"/>
    <w:rsid w:val="004856D4"/>
    <w:rsid w:val="004856F4"/>
    <w:rsid w:val="00485BAA"/>
    <w:rsid w:val="00485DAA"/>
    <w:rsid w:val="00486161"/>
    <w:rsid w:val="00486547"/>
    <w:rsid w:val="00486D30"/>
    <w:rsid w:val="00487005"/>
    <w:rsid w:val="004873B1"/>
    <w:rsid w:val="0049006B"/>
    <w:rsid w:val="0049055D"/>
    <w:rsid w:val="0049065D"/>
    <w:rsid w:val="004908FA"/>
    <w:rsid w:val="004914FA"/>
    <w:rsid w:val="00491AF0"/>
    <w:rsid w:val="00491D13"/>
    <w:rsid w:val="00491DD7"/>
    <w:rsid w:val="00492A87"/>
    <w:rsid w:val="00493124"/>
    <w:rsid w:val="004935F2"/>
    <w:rsid w:val="004938E4"/>
    <w:rsid w:val="004939A6"/>
    <w:rsid w:val="00493F87"/>
    <w:rsid w:val="00494053"/>
    <w:rsid w:val="0049461D"/>
    <w:rsid w:val="00494788"/>
    <w:rsid w:val="00494E24"/>
    <w:rsid w:val="00494FAB"/>
    <w:rsid w:val="00495471"/>
    <w:rsid w:val="0049581C"/>
    <w:rsid w:val="00495E63"/>
    <w:rsid w:val="00496229"/>
    <w:rsid w:val="00496737"/>
    <w:rsid w:val="00496EF2"/>
    <w:rsid w:val="00497107"/>
    <w:rsid w:val="004973D3"/>
    <w:rsid w:val="004973E1"/>
    <w:rsid w:val="00497631"/>
    <w:rsid w:val="00497A6C"/>
    <w:rsid w:val="00497E5A"/>
    <w:rsid w:val="004A01D7"/>
    <w:rsid w:val="004A141D"/>
    <w:rsid w:val="004A15A4"/>
    <w:rsid w:val="004A1F48"/>
    <w:rsid w:val="004A20F8"/>
    <w:rsid w:val="004A21D0"/>
    <w:rsid w:val="004A2368"/>
    <w:rsid w:val="004A27E4"/>
    <w:rsid w:val="004A296B"/>
    <w:rsid w:val="004A2D97"/>
    <w:rsid w:val="004A2FE4"/>
    <w:rsid w:val="004A315B"/>
    <w:rsid w:val="004A3643"/>
    <w:rsid w:val="004A3FB8"/>
    <w:rsid w:val="004A4666"/>
    <w:rsid w:val="004A5182"/>
    <w:rsid w:val="004A5A03"/>
    <w:rsid w:val="004A5AB0"/>
    <w:rsid w:val="004A5E17"/>
    <w:rsid w:val="004A66D9"/>
    <w:rsid w:val="004A6F54"/>
    <w:rsid w:val="004A7230"/>
    <w:rsid w:val="004A74F7"/>
    <w:rsid w:val="004A7CF7"/>
    <w:rsid w:val="004A7EDB"/>
    <w:rsid w:val="004B0648"/>
    <w:rsid w:val="004B06BD"/>
    <w:rsid w:val="004B1495"/>
    <w:rsid w:val="004B1628"/>
    <w:rsid w:val="004B17E4"/>
    <w:rsid w:val="004B19C6"/>
    <w:rsid w:val="004B1EC2"/>
    <w:rsid w:val="004B21E7"/>
    <w:rsid w:val="004B355B"/>
    <w:rsid w:val="004B36BD"/>
    <w:rsid w:val="004B3B31"/>
    <w:rsid w:val="004B3C71"/>
    <w:rsid w:val="004B3C9A"/>
    <w:rsid w:val="004B4A8F"/>
    <w:rsid w:val="004B5043"/>
    <w:rsid w:val="004B5148"/>
    <w:rsid w:val="004B5251"/>
    <w:rsid w:val="004B5293"/>
    <w:rsid w:val="004B6750"/>
    <w:rsid w:val="004B700D"/>
    <w:rsid w:val="004B72B3"/>
    <w:rsid w:val="004B75C4"/>
    <w:rsid w:val="004B7781"/>
    <w:rsid w:val="004B798E"/>
    <w:rsid w:val="004B7B69"/>
    <w:rsid w:val="004B7BED"/>
    <w:rsid w:val="004B7F1A"/>
    <w:rsid w:val="004C0069"/>
    <w:rsid w:val="004C01BD"/>
    <w:rsid w:val="004C0346"/>
    <w:rsid w:val="004C0551"/>
    <w:rsid w:val="004C08DA"/>
    <w:rsid w:val="004C0D52"/>
    <w:rsid w:val="004C16A9"/>
    <w:rsid w:val="004C1792"/>
    <w:rsid w:val="004C1976"/>
    <w:rsid w:val="004C1A3A"/>
    <w:rsid w:val="004C1CB6"/>
    <w:rsid w:val="004C268F"/>
    <w:rsid w:val="004C35BF"/>
    <w:rsid w:val="004C367D"/>
    <w:rsid w:val="004C3770"/>
    <w:rsid w:val="004C38D8"/>
    <w:rsid w:val="004C3A6F"/>
    <w:rsid w:val="004C3B78"/>
    <w:rsid w:val="004C3D4A"/>
    <w:rsid w:val="004C3DC6"/>
    <w:rsid w:val="004C3DE4"/>
    <w:rsid w:val="004C426A"/>
    <w:rsid w:val="004C4846"/>
    <w:rsid w:val="004C49EB"/>
    <w:rsid w:val="004C5213"/>
    <w:rsid w:val="004C53AD"/>
    <w:rsid w:val="004C5DF7"/>
    <w:rsid w:val="004C6BBF"/>
    <w:rsid w:val="004C735E"/>
    <w:rsid w:val="004C78E1"/>
    <w:rsid w:val="004C7A47"/>
    <w:rsid w:val="004C7B8B"/>
    <w:rsid w:val="004D0552"/>
    <w:rsid w:val="004D1489"/>
    <w:rsid w:val="004D1E5A"/>
    <w:rsid w:val="004D1EE1"/>
    <w:rsid w:val="004D20A0"/>
    <w:rsid w:val="004D3ACA"/>
    <w:rsid w:val="004D3B7E"/>
    <w:rsid w:val="004D4D55"/>
    <w:rsid w:val="004D56E2"/>
    <w:rsid w:val="004D5B3E"/>
    <w:rsid w:val="004D669C"/>
    <w:rsid w:val="004D703A"/>
    <w:rsid w:val="004D7320"/>
    <w:rsid w:val="004D7469"/>
    <w:rsid w:val="004D7966"/>
    <w:rsid w:val="004E09F7"/>
    <w:rsid w:val="004E0AD0"/>
    <w:rsid w:val="004E0AFB"/>
    <w:rsid w:val="004E0D80"/>
    <w:rsid w:val="004E0ED7"/>
    <w:rsid w:val="004E0F13"/>
    <w:rsid w:val="004E11D5"/>
    <w:rsid w:val="004E1432"/>
    <w:rsid w:val="004E174E"/>
    <w:rsid w:val="004E210B"/>
    <w:rsid w:val="004E21DA"/>
    <w:rsid w:val="004E27E8"/>
    <w:rsid w:val="004E2B47"/>
    <w:rsid w:val="004E2F9F"/>
    <w:rsid w:val="004E32EF"/>
    <w:rsid w:val="004E3E77"/>
    <w:rsid w:val="004E4239"/>
    <w:rsid w:val="004E4390"/>
    <w:rsid w:val="004E45FE"/>
    <w:rsid w:val="004E46ED"/>
    <w:rsid w:val="004E4C57"/>
    <w:rsid w:val="004E4C74"/>
    <w:rsid w:val="004E5A2D"/>
    <w:rsid w:val="004E5ECD"/>
    <w:rsid w:val="004E682D"/>
    <w:rsid w:val="004E6CB3"/>
    <w:rsid w:val="004E6D94"/>
    <w:rsid w:val="004E7445"/>
    <w:rsid w:val="004E7E10"/>
    <w:rsid w:val="004E7E41"/>
    <w:rsid w:val="004F066C"/>
    <w:rsid w:val="004F0704"/>
    <w:rsid w:val="004F0C3B"/>
    <w:rsid w:val="004F1213"/>
    <w:rsid w:val="004F1A3D"/>
    <w:rsid w:val="004F22AD"/>
    <w:rsid w:val="004F23B6"/>
    <w:rsid w:val="004F24BF"/>
    <w:rsid w:val="004F255B"/>
    <w:rsid w:val="004F28DE"/>
    <w:rsid w:val="004F3150"/>
    <w:rsid w:val="004F382C"/>
    <w:rsid w:val="004F3A70"/>
    <w:rsid w:val="004F3FFB"/>
    <w:rsid w:val="004F515F"/>
    <w:rsid w:val="004F57BF"/>
    <w:rsid w:val="004F59B2"/>
    <w:rsid w:val="004F59FE"/>
    <w:rsid w:val="004F666F"/>
    <w:rsid w:val="004F685C"/>
    <w:rsid w:val="004F6CDD"/>
    <w:rsid w:val="004F7865"/>
    <w:rsid w:val="004F7D46"/>
    <w:rsid w:val="004F7E98"/>
    <w:rsid w:val="00500043"/>
    <w:rsid w:val="005002D9"/>
    <w:rsid w:val="005003F2"/>
    <w:rsid w:val="005005CC"/>
    <w:rsid w:val="00500648"/>
    <w:rsid w:val="005007AC"/>
    <w:rsid w:val="005013BA"/>
    <w:rsid w:val="005014BC"/>
    <w:rsid w:val="005015F1"/>
    <w:rsid w:val="005019E6"/>
    <w:rsid w:val="00501FEA"/>
    <w:rsid w:val="005022BA"/>
    <w:rsid w:val="00502C47"/>
    <w:rsid w:val="00502E0C"/>
    <w:rsid w:val="00502FC0"/>
    <w:rsid w:val="005032B4"/>
    <w:rsid w:val="0050369E"/>
    <w:rsid w:val="0050401E"/>
    <w:rsid w:val="00504550"/>
    <w:rsid w:val="00504586"/>
    <w:rsid w:val="00504812"/>
    <w:rsid w:val="00504DBD"/>
    <w:rsid w:val="00504F3E"/>
    <w:rsid w:val="00504F61"/>
    <w:rsid w:val="005059BE"/>
    <w:rsid w:val="005062AC"/>
    <w:rsid w:val="00506D6F"/>
    <w:rsid w:val="00506DFA"/>
    <w:rsid w:val="005072A6"/>
    <w:rsid w:val="0050757E"/>
    <w:rsid w:val="005105AF"/>
    <w:rsid w:val="00510B55"/>
    <w:rsid w:val="0051169B"/>
    <w:rsid w:val="00511A06"/>
    <w:rsid w:val="00511ADE"/>
    <w:rsid w:val="00512388"/>
    <w:rsid w:val="0051277A"/>
    <w:rsid w:val="005134D8"/>
    <w:rsid w:val="005136CA"/>
    <w:rsid w:val="00513992"/>
    <w:rsid w:val="00513B35"/>
    <w:rsid w:val="00514290"/>
    <w:rsid w:val="00514616"/>
    <w:rsid w:val="0051468B"/>
    <w:rsid w:val="00515153"/>
    <w:rsid w:val="00515155"/>
    <w:rsid w:val="005154ED"/>
    <w:rsid w:val="00515712"/>
    <w:rsid w:val="00515CF9"/>
    <w:rsid w:val="00515D18"/>
    <w:rsid w:val="00516054"/>
    <w:rsid w:val="00516279"/>
    <w:rsid w:val="00516B12"/>
    <w:rsid w:val="005171CE"/>
    <w:rsid w:val="0051750A"/>
    <w:rsid w:val="005176E6"/>
    <w:rsid w:val="00517A5B"/>
    <w:rsid w:val="005202DE"/>
    <w:rsid w:val="00520702"/>
    <w:rsid w:val="00520A32"/>
    <w:rsid w:val="00520CEC"/>
    <w:rsid w:val="00520E55"/>
    <w:rsid w:val="00521077"/>
    <w:rsid w:val="00521099"/>
    <w:rsid w:val="0052113D"/>
    <w:rsid w:val="005215D0"/>
    <w:rsid w:val="00521816"/>
    <w:rsid w:val="00521B5C"/>
    <w:rsid w:val="00521FA6"/>
    <w:rsid w:val="00522098"/>
    <w:rsid w:val="00522DCA"/>
    <w:rsid w:val="0052313F"/>
    <w:rsid w:val="0052364F"/>
    <w:rsid w:val="00523816"/>
    <w:rsid w:val="0052455A"/>
    <w:rsid w:val="005248C5"/>
    <w:rsid w:val="00524BCA"/>
    <w:rsid w:val="00524FA1"/>
    <w:rsid w:val="00525153"/>
    <w:rsid w:val="005251BE"/>
    <w:rsid w:val="00525994"/>
    <w:rsid w:val="00525EC8"/>
    <w:rsid w:val="00526168"/>
    <w:rsid w:val="005264AF"/>
    <w:rsid w:val="00526731"/>
    <w:rsid w:val="00526C0E"/>
    <w:rsid w:val="005273AB"/>
    <w:rsid w:val="005278CE"/>
    <w:rsid w:val="00527A17"/>
    <w:rsid w:val="00527D68"/>
    <w:rsid w:val="00530456"/>
    <w:rsid w:val="00530BBA"/>
    <w:rsid w:val="00530FCB"/>
    <w:rsid w:val="00530FE2"/>
    <w:rsid w:val="00531684"/>
    <w:rsid w:val="00531BD3"/>
    <w:rsid w:val="00532A8C"/>
    <w:rsid w:val="00533620"/>
    <w:rsid w:val="005338B2"/>
    <w:rsid w:val="00533A57"/>
    <w:rsid w:val="0053520A"/>
    <w:rsid w:val="00535A7A"/>
    <w:rsid w:val="00536A89"/>
    <w:rsid w:val="00536CE8"/>
    <w:rsid w:val="00536DBE"/>
    <w:rsid w:val="00536E84"/>
    <w:rsid w:val="005370ED"/>
    <w:rsid w:val="00537161"/>
    <w:rsid w:val="005372F9"/>
    <w:rsid w:val="00537376"/>
    <w:rsid w:val="00537C7B"/>
    <w:rsid w:val="00537CA3"/>
    <w:rsid w:val="00540342"/>
    <w:rsid w:val="00540882"/>
    <w:rsid w:val="00540DFA"/>
    <w:rsid w:val="00541447"/>
    <w:rsid w:val="00541B83"/>
    <w:rsid w:val="00541E33"/>
    <w:rsid w:val="005420C4"/>
    <w:rsid w:val="005426ED"/>
    <w:rsid w:val="00542A6A"/>
    <w:rsid w:val="00542A7C"/>
    <w:rsid w:val="00543D76"/>
    <w:rsid w:val="00544747"/>
    <w:rsid w:val="0054484F"/>
    <w:rsid w:val="00544DBA"/>
    <w:rsid w:val="00545394"/>
    <w:rsid w:val="00545622"/>
    <w:rsid w:val="0054564C"/>
    <w:rsid w:val="00545978"/>
    <w:rsid w:val="00545A4B"/>
    <w:rsid w:val="005461B9"/>
    <w:rsid w:val="0054628E"/>
    <w:rsid w:val="005470F5"/>
    <w:rsid w:val="00547FFC"/>
    <w:rsid w:val="00550014"/>
    <w:rsid w:val="0055030E"/>
    <w:rsid w:val="00550421"/>
    <w:rsid w:val="00550942"/>
    <w:rsid w:val="00550CB2"/>
    <w:rsid w:val="0055129D"/>
    <w:rsid w:val="005512B2"/>
    <w:rsid w:val="00551768"/>
    <w:rsid w:val="00551B74"/>
    <w:rsid w:val="005526E4"/>
    <w:rsid w:val="00552741"/>
    <w:rsid w:val="00552A80"/>
    <w:rsid w:val="00552F74"/>
    <w:rsid w:val="00553017"/>
    <w:rsid w:val="0055338C"/>
    <w:rsid w:val="00553BFE"/>
    <w:rsid w:val="0055416A"/>
    <w:rsid w:val="00554925"/>
    <w:rsid w:val="00554943"/>
    <w:rsid w:val="00554BA4"/>
    <w:rsid w:val="0055521F"/>
    <w:rsid w:val="00555510"/>
    <w:rsid w:val="005559B5"/>
    <w:rsid w:val="00555AE4"/>
    <w:rsid w:val="00555D61"/>
    <w:rsid w:val="005565FD"/>
    <w:rsid w:val="00556647"/>
    <w:rsid w:val="00556A05"/>
    <w:rsid w:val="00556F6F"/>
    <w:rsid w:val="00556FD7"/>
    <w:rsid w:val="0055704C"/>
    <w:rsid w:val="00557B13"/>
    <w:rsid w:val="00560278"/>
    <w:rsid w:val="005604DA"/>
    <w:rsid w:val="00560C3C"/>
    <w:rsid w:val="00560D3F"/>
    <w:rsid w:val="00560E83"/>
    <w:rsid w:val="00561445"/>
    <w:rsid w:val="0056206E"/>
    <w:rsid w:val="00562309"/>
    <w:rsid w:val="005624E0"/>
    <w:rsid w:val="005627B8"/>
    <w:rsid w:val="00563009"/>
    <w:rsid w:val="005636A2"/>
    <w:rsid w:val="0056385F"/>
    <w:rsid w:val="00563E7E"/>
    <w:rsid w:val="00563F86"/>
    <w:rsid w:val="005658A4"/>
    <w:rsid w:val="00566A05"/>
    <w:rsid w:val="00566B34"/>
    <w:rsid w:val="0056759C"/>
    <w:rsid w:val="005676DB"/>
    <w:rsid w:val="00567700"/>
    <w:rsid w:val="005678E5"/>
    <w:rsid w:val="0056796B"/>
    <w:rsid w:val="00567A08"/>
    <w:rsid w:val="00567BC0"/>
    <w:rsid w:val="005703EC"/>
    <w:rsid w:val="00570EA3"/>
    <w:rsid w:val="005710E6"/>
    <w:rsid w:val="0057176F"/>
    <w:rsid w:val="0057199C"/>
    <w:rsid w:val="005725EF"/>
    <w:rsid w:val="00572C0E"/>
    <w:rsid w:val="00572D96"/>
    <w:rsid w:val="005736CD"/>
    <w:rsid w:val="005737A8"/>
    <w:rsid w:val="005738EE"/>
    <w:rsid w:val="00573A0A"/>
    <w:rsid w:val="00573C7E"/>
    <w:rsid w:val="00574426"/>
    <w:rsid w:val="00575482"/>
    <w:rsid w:val="005759B6"/>
    <w:rsid w:val="00575B4C"/>
    <w:rsid w:val="00576BBE"/>
    <w:rsid w:val="005770BA"/>
    <w:rsid w:val="00577CCA"/>
    <w:rsid w:val="00577E74"/>
    <w:rsid w:val="00577FAE"/>
    <w:rsid w:val="005804C9"/>
    <w:rsid w:val="00580960"/>
    <w:rsid w:val="00582B29"/>
    <w:rsid w:val="00582D18"/>
    <w:rsid w:val="00582DA9"/>
    <w:rsid w:val="005833FA"/>
    <w:rsid w:val="0058398B"/>
    <w:rsid w:val="0058477E"/>
    <w:rsid w:val="00584DFB"/>
    <w:rsid w:val="005851AB"/>
    <w:rsid w:val="005853A4"/>
    <w:rsid w:val="0058553A"/>
    <w:rsid w:val="00585D2C"/>
    <w:rsid w:val="00585F0D"/>
    <w:rsid w:val="00585F43"/>
    <w:rsid w:val="0058740D"/>
    <w:rsid w:val="0058747D"/>
    <w:rsid w:val="00587661"/>
    <w:rsid w:val="00587FE1"/>
    <w:rsid w:val="0059070D"/>
    <w:rsid w:val="00590AB8"/>
    <w:rsid w:val="00590BF7"/>
    <w:rsid w:val="00590CED"/>
    <w:rsid w:val="00590EC7"/>
    <w:rsid w:val="00591140"/>
    <w:rsid w:val="005913A8"/>
    <w:rsid w:val="00591755"/>
    <w:rsid w:val="0059195E"/>
    <w:rsid w:val="00591A11"/>
    <w:rsid w:val="00591B95"/>
    <w:rsid w:val="00592102"/>
    <w:rsid w:val="00592618"/>
    <w:rsid w:val="00592670"/>
    <w:rsid w:val="00592AAD"/>
    <w:rsid w:val="00592BF4"/>
    <w:rsid w:val="00592D8F"/>
    <w:rsid w:val="00592DFC"/>
    <w:rsid w:val="00592E4B"/>
    <w:rsid w:val="00593235"/>
    <w:rsid w:val="00593240"/>
    <w:rsid w:val="00593623"/>
    <w:rsid w:val="00593812"/>
    <w:rsid w:val="00593932"/>
    <w:rsid w:val="00593ECE"/>
    <w:rsid w:val="005946E9"/>
    <w:rsid w:val="005954C4"/>
    <w:rsid w:val="0059589A"/>
    <w:rsid w:val="005963EF"/>
    <w:rsid w:val="0059686F"/>
    <w:rsid w:val="00596954"/>
    <w:rsid w:val="005969A4"/>
    <w:rsid w:val="00596ECC"/>
    <w:rsid w:val="00597B63"/>
    <w:rsid w:val="00597FEA"/>
    <w:rsid w:val="005A0303"/>
    <w:rsid w:val="005A090C"/>
    <w:rsid w:val="005A13FA"/>
    <w:rsid w:val="005A1411"/>
    <w:rsid w:val="005A1D8F"/>
    <w:rsid w:val="005A1DF7"/>
    <w:rsid w:val="005A225E"/>
    <w:rsid w:val="005A23F2"/>
    <w:rsid w:val="005A27E5"/>
    <w:rsid w:val="005A29E3"/>
    <w:rsid w:val="005A2D88"/>
    <w:rsid w:val="005A30CD"/>
    <w:rsid w:val="005A31B3"/>
    <w:rsid w:val="005A31CB"/>
    <w:rsid w:val="005A3F22"/>
    <w:rsid w:val="005A431C"/>
    <w:rsid w:val="005A4573"/>
    <w:rsid w:val="005A47CE"/>
    <w:rsid w:val="005A55B9"/>
    <w:rsid w:val="005A603B"/>
    <w:rsid w:val="005A615B"/>
    <w:rsid w:val="005A695B"/>
    <w:rsid w:val="005A69C7"/>
    <w:rsid w:val="005A6C40"/>
    <w:rsid w:val="005A6C7A"/>
    <w:rsid w:val="005A6FC9"/>
    <w:rsid w:val="005A7155"/>
    <w:rsid w:val="005A7ABB"/>
    <w:rsid w:val="005B0097"/>
    <w:rsid w:val="005B0479"/>
    <w:rsid w:val="005B0A88"/>
    <w:rsid w:val="005B0D7F"/>
    <w:rsid w:val="005B10E0"/>
    <w:rsid w:val="005B15FF"/>
    <w:rsid w:val="005B1657"/>
    <w:rsid w:val="005B1739"/>
    <w:rsid w:val="005B1A27"/>
    <w:rsid w:val="005B1C88"/>
    <w:rsid w:val="005B25F7"/>
    <w:rsid w:val="005B2BA1"/>
    <w:rsid w:val="005B2BF4"/>
    <w:rsid w:val="005B2DDD"/>
    <w:rsid w:val="005B325F"/>
    <w:rsid w:val="005B35DF"/>
    <w:rsid w:val="005B43A6"/>
    <w:rsid w:val="005B46C4"/>
    <w:rsid w:val="005B4C7E"/>
    <w:rsid w:val="005B4D3C"/>
    <w:rsid w:val="005B56DB"/>
    <w:rsid w:val="005B58CB"/>
    <w:rsid w:val="005B5EE6"/>
    <w:rsid w:val="005B6A62"/>
    <w:rsid w:val="005B7089"/>
    <w:rsid w:val="005B7918"/>
    <w:rsid w:val="005B7CD7"/>
    <w:rsid w:val="005B7CF9"/>
    <w:rsid w:val="005C00CF"/>
    <w:rsid w:val="005C05DF"/>
    <w:rsid w:val="005C093B"/>
    <w:rsid w:val="005C0A9F"/>
    <w:rsid w:val="005C0FA5"/>
    <w:rsid w:val="005C16CA"/>
    <w:rsid w:val="005C18E9"/>
    <w:rsid w:val="005C26FC"/>
    <w:rsid w:val="005C2A4A"/>
    <w:rsid w:val="005C2B34"/>
    <w:rsid w:val="005C2C56"/>
    <w:rsid w:val="005C2CDF"/>
    <w:rsid w:val="005C2F2F"/>
    <w:rsid w:val="005C3A5D"/>
    <w:rsid w:val="005C3B93"/>
    <w:rsid w:val="005C3BBA"/>
    <w:rsid w:val="005C3CA6"/>
    <w:rsid w:val="005C3E11"/>
    <w:rsid w:val="005C3EF7"/>
    <w:rsid w:val="005C4A1B"/>
    <w:rsid w:val="005C577F"/>
    <w:rsid w:val="005C5A43"/>
    <w:rsid w:val="005C5FFB"/>
    <w:rsid w:val="005C60DA"/>
    <w:rsid w:val="005C6435"/>
    <w:rsid w:val="005C656F"/>
    <w:rsid w:val="005C6661"/>
    <w:rsid w:val="005C7059"/>
    <w:rsid w:val="005C71FA"/>
    <w:rsid w:val="005C73B7"/>
    <w:rsid w:val="005C7A80"/>
    <w:rsid w:val="005D00E1"/>
    <w:rsid w:val="005D1320"/>
    <w:rsid w:val="005D1885"/>
    <w:rsid w:val="005D241A"/>
    <w:rsid w:val="005D2A0C"/>
    <w:rsid w:val="005D3204"/>
    <w:rsid w:val="005D3C9D"/>
    <w:rsid w:val="005D4165"/>
    <w:rsid w:val="005D42E4"/>
    <w:rsid w:val="005D43B3"/>
    <w:rsid w:val="005D4A8E"/>
    <w:rsid w:val="005D6AFF"/>
    <w:rsid w:val="005D6F1B"/>
    <w:rsid w:val="005D7016"/>
    <w:rsid w:val="005E0749"/>
    <w:rsid w:val="005E0768"/>
    <w:rsid w:val="005E07A9"/>
    <w:rsid w:val="005E09A1"/>
    <w:rsid w:val="005E1BB8"/>
    <w:rsid w:val="005E21AD"/>
    <w:rsid w:val="005E226C"/>
    <w:rsid w:val="005E2424"/>
    <w:rsid w:val="005E2F57"/>
    <w:rsid w:val="005E447E"/>
    <w:rsid w:val="005E4511"/>
    <w:rsid w:val="005E4615"/>
    <w:rsid w:val="005E498B"/>
    <w:rsid w:val="005E4D07"/>
    <w:rsid w:val="005E4D16"/>
    <w:rsid w:val="005E509B"/>
    <w:rsid w:val="005E5290"/>
    <w:rsid w:val="005E551C"/>
    <w:rsid w:val="005E57A2"/>
    <w:rsid w:val="005E5934"/>
    <w:rsid w:val="005E690D"/>
    <w:rsid w:val="005E7EC9"/>
    <w:rsid w:val="005E7F29"/>
    <w:rsid w:val="005F02C1"/>
    <w:rsid w:val="005F055A"/>
    <w:rsid w:val="005F1AB5"/>
    <w:rsid w:val="005F1F3A"/>
    <w:rsid w:val="005F24C0"/>
    <w:rsid w:val="005F256C"/>
    <w:rsid w:val="005F3488"/>
    <w:rsid w:val="005F39DB"/>
    <w:rsid w:val="005F3B14"/>
    <w:rsid w:val="005F42F2"/>
    <w:rsid w:val="005F438E"/>
    <w:rsid w:val="005F48E4"/>
    <w:rsid w:val="005F4999"/>
    <w:rsid w:val="005F4B5B"/>
    <w:rsid w:val="005F4F7D"/>
    <w:rsid w:val="005F5261"/>
    <w:rsid w:val="005F5512"/>
    <w:rsid w:val="005F5590"/>
    <w:rsid w:val="005F59CD"/>
    <w:rsid w:val="005F5AEF"/>
    <w:rsid w:val="005F6273"/>
    <w:rsid w:val="005F6A0C"/>
    <w:rsid w:val="005F6EF9"/>
    <w:rsid w:val="005F6F5A"/>
    <w:rsid w:val="005F7053"/>
    <w:rsid w:val="005F78FC"/>
    <w:rsid w:val="0060151D"/>
    <w:rsid w:val="00601EC9"/>
    <w:rsid w:val="006025BE"/>
    <w:rsid w:val="00602950"/>
    <w:rsid w:val="00602F3E"/>
    <w:rsid w:val="00603F2C"/>
    <w:rsid w:val="0060450F"/>
    <w:rsid w:val="0060458A"/>
    <w:rsid w:val="00604C5C"/>
    <w:rsid w:val="006050C1"/>
    <w:rsid w:val="006053D6"/>
    <w:rsid w:val="00605861"/>
    <w:rsid w:val="006058AC"/>
    <w:rsid w:val="00606079"/>
    <w:rsid w:val="006063BF"/>
    <w:rsid w:val="0060641D"/>
    <w:rsid w:val="0060753D"/>
    <w:rsid w:val="006079F7"/>
    <w:rsid w:val="00607D90"/>
    <w:rsid w:val="00610108"/>
    <w:rsid w:val="006107B8"/>
    <w:rsid w:val="006108AD"/>
    <w:rsid w:val="0061096A"/>
    <w:rsid w:val="00610C25"/>
    <w:rsid w:val="00611A23"/>
    <w:rsid w:val="00611DB0"/>
    <w:rsid w:val="00611F08"/>
    <w:rsid w:val="0061211C"/>
    <w:rsid w:val="00612368"/>
    <w:rsid w:val="00612E63"/>
    <w:rsid w:val="0061516F"/>
    <w:rsid w:val="006158A0"/>
    <w:rsid w:val="006159FB"/>
    <w:rsid w:val="00615A6C"/>
    <w:rsid w:val="00615CE0"/>
    <w:rsid w:val="00615F61"/>
    <w:rsid w:val="0061699E"/>
    <w:rsid w:val="006179D3"/>
    <w:rsid w:val="00617CF7"/>
    <w:rsid w:val="00617E98"/>
    <w:rsid w:val="00620044"/>
    <w:rsid w:val="0062023F"/>
    <w:rsid w:val="00620744"/>
    <w:rsid w:val="006211EE"/>
    <w:rsid w:val="00621AAF"/>
    <w:rsid w:val="006229CC"/>
    <w:rsid w:val="00623082"/>
    <w:rsid w:val="0062337D"/>
    <w:rsid w:val="0062354A"/>
    <w:rsid w:val="00624429"/>
    <w:rsid w:val="00624489"/>
    <w:rsid w:val="006247E2"/>
    <w:rsid w:val="00625245"/>
    <w:rsid w:val="006258C9"/>
    <w:rsid w:val="006261FE"/>
    <w:rsid w:val="006261FF"/>
    <w:rsid w:val="00626341"/>
    <w:rsid w:val="00626AA4"/>
    <w:rsid w:val="0062768E"/>
    <w:rsid w:val="006279FE"/>
    <w:rsid w:val="00627FCD"/>
    <w:rsid w:val="0063051B"/>
    <w:rsid w:val="00630647"/>
    <w:rsid w:val="00630ACD"/>
    <w:rsid w:val="00630FD9"/>
    <w:rsid w:val="0063150E"/>
    <w:rsid w:val="00631512"/>
    <w:rsid w:val="006316F1"/>
    <w:rsid w:val="006318FF"/>
    <w:rsid w:val="0063190C"/>
    <w:rsid w:val="00631A9D"/>
    <w:rsid w:val="00631C23"/>
    <w:rsid w:val="00631DBB"/>
    <w:rsid w:val="00631ECD"/>
    <w:rsid w:val="00632989"/>
    <w:rsid w:val="00632B0D"/>
    <w:rsid w:val="00632EED"/>
    <w:rsid w:val="00632F90"/>
    <w:rsid w:val="0063338F"/>
    <w:rsid w:val="006335F0"/>
    <w:rsid w:val="00633605"/>
    <w:rsid w:val="00634E0F"/>
    <w:rsid w:val="00635659"/>
    <w:rsid w:val="006357F5"/>
    <w:rsid w:val="00636504"/>
    <w:rsid w:val="006368FF"/>
    <w:rsid w:val="00636A8B"/>
    <w:rsid w:val="00637447"/>
    <w:rsid w:val="00637565"/>
    <w:rsid w:val="006376DA"/>
    <w:rsid w:val="00637703"/>
    <w:rsid w:val="00637965"/>
    <w:rsid w:val="00637A0C"/>
    <w:rsid w:val="00637B40"/>
    <w:rsid w:val="00637C55"/>
    <w:rsid w:val="00640262"/>
    <w:rsid w:val="00640FCC"/>
    <w:rsid w:val="0064106F"/>
    <w:rsid w:val="006417DE"/>
    <w:rsid w:val="006422A7"/>
    <w:rsid w:val="00642429"/>
    <w:rsid w:val="006425DB"/>
    <w:rsid w:val="0064313E"/>
    <w:rsid w:val="00643AB6"/>
    <w:rsid w:val="0064482C"/>
    <w:rsid w:val="00644B9A"/>
    <w:rsid w:val="00644C6F"/>
    <w:rsid w:val="00644D39"/>
    <w:rsid w:val="00645E99"/>
    <w:rsid w:val="00645E9A"/>
    <w:rsid w:val="006462CE"/>
    <w:rsid w:val="00646CB5"/>
    <w:rsid w:val="00647E0D"/>
    <w:rsid w:val="0065028D"/>
    <w:rsid w:val="006504C6"/>
    <w:rsid w:val="00650755"/>
    <w:rsid w:val="0065083D"/>
    <w:rsid w:val="00650A15"/>
    <w:rsid w:val="00650A94"/>
    <w:rsid w:val="00651051"/>
    <w:rsid w:val="0065117A"/>
    <w:rsid w:val="006513F8"/>
    <w:rsid w:val="0065161E"/>
    <w:rsid w:val="00652271"/>
    <w:rsid w:val="006528B5"/>
    <w:rsid w:val="00652B07"/>
    <w:rsid w:val="00652C3D"/>
    <w:rsid w:val="00652CAF"/>
    <w:rsid w:val="00652D37"/>
    <w:rsid w:val="00652D4C"/>
    <w:rsid w:val="00652EBB"/>
    <w:rsid w:val="0065315A"/>
    <w:rsid w:val="006536E3"/>
    <w:rsid w:val="006538AD"/>
    <w:rsid w:val="00653D2A"/>
    <w:rsid w:val="0065430D"/>
    <w:rsid w:val="00654487"/>
    <w:rsid w:val="006548E7"/>
    <w:rsid w:val="006549C2"/>
    <w:rsid w:val="00654E69"/>
    <w:rsid w:val="00654F2B"/>
    <w:rsid w:val="00655BF9"/>
    <w:rsid w:val="00655D27"/>
    <w:rsid w:val="006562A9"/>
    <w:rsid w:val="006562E0"/>
    <w:rsid w:val="00656EF5"/>
    <w:rsid w:val="00657940"/>
    <w:rsid w:val="00657D41"/>
    <w:rsid w:val="00660168"/>
    <w:rsid w:val="006602C0"/>
    <w:rsid w:val="006608CF"/>
    <w:rsid w:val="00660B09"/>
    <w:rsid w:val="006611D6"/>
    <w:rsid w:val="00662129"/>
    <w:rsid w:val="00662168"/>
    <w:rsid w:val="00662CE4"/>
    <w:rsid w:val="00663A82"/>
    <w:rsid w:val="006641D3"/>
    <w:rsid w:val="006642F6"/>
    <w:rsid w:val="006645A2"/>
    <w:rsid w:val="0066462B"/>
    <w:rsid w:val="006646CD"/>
    <w:rsid w:val="0066477D"/>
    <w:rsid w:val="00664B0F"/>
    <w:rsid w:val="00664F89"/>
    <w:rsid w:val="006652FF"/>
    <w:rsid w:val="0066583C"/>
    <w:rsid w:val="00665926"/>
    <w:rsid w:val="00665D5C"/>
    <w:rsid w:val="00665FAA"/>
    <w:rsid w:val="006665DD"/>
    <w:rsid w:val="00666855"/>
    <w:rsid w:val="00666AD5"/>
    <w:rsid w:val="00666ADE"/>
    <w:rsid w:val="00666C3D"/>
    <w:rsid w:val="00666F4F"/>
    <w:rsid w:val="006670A7"/>
    <w:rsid w:val="00667521"/>
    <w:rsid w:val="0066773B"/>
    <w:rsid w:val="00667A5A"/>
    <w:rsid w:val="00667C8F"/>
    <w:rsid w:val="006700BF"/>
    <w:rsid w:val="00670144"/>
    <w:rsid w:val="006706F9"/>
    <w:rsid w:val="00670712"/>
    <w:rsid w:val="006721AF"/>
    <w:rsid w:val="006722A8"/>
    <w:rsid w:val="00672A5E"/>
    <w:rsid w:val="00672C7C"/>
    <w:rsid w:val="00673329"/>
    <w:rsid w:val="00673594"/>
    <w:rsid w:val="00673CDB"/>
    <w:rsid w:val="00673F87"/>
    <w:rsid w:val="00674D2F"/>
    <w:rsid w:val="00675069"/>
    <w:rsid w:val="00675453"/>
    <w:rsid w:val="00675A7D"/>
    <w:rsid w:val="00675B5E"/>
    <w:rsid w:val="00676441"/>
    <w:rsid w:val="0067648D"/>
    <w:rsid w:val="00677E77"/>
    <w:rsid w:val="00677FA6"/>
    <w:rsid w:val="00680065"/>
    <w:rsid w:val="00680107"/>
    <w:rsid w:val="006803B9"/>
    <w:rsid w:val="006806D7"/>
    <w:rsid w:val="00680E22"/>
    <w:rsid w:val="006811BC"/>
    <w:rsid w:val="0068134E"/>
    <w:rsid w:val="006814D5"/>
    <w:rsid w:val="00681545"/>
    <w:rsid w:val="00681B6F"/>
    <w:rsid w:val="00682184"/>
    <w:rsid w:val="0068248B"/>
    <w:rsid w:val="0068292D"/>
    <w:rsid w:val="00683028"/>
    <w:rsid w:val="00683141"/>
    <w:rsid w:val="0068364F"/>
    <w:rsid w:val="00683F88"/>
    <w:rsid w:val="00684639"/>
    <w:rsid w:val="006847DA"/>
    <w:rsid w:val="006848FD"/>
    <w:rsid w:val="0068493D"/>
    <w:rsid w:val="00684972"/>
    <w:rsid w:val="00684A5C"/>
    <w:rsid w:val="00684CB8"/>
    <w:rsid w:val="00685B24"/>
    <w:rsid w:val="00685BDD"/>
    <w:rsid w:val="00686279"/>
    <w:rsid w:val="00686A7A"/>
    <w:rsid w:val="00686B3F"/>
    <w:rsid w:val="00686CB6"/>
    <w:rsid w:val="00686DBB"/>
    <w:rsid w:val="0068701F"/>
    <w:rsid w:val="00687821"/>
    <w:rsid w:val="00687E57"/>
    <w:rsid w:val="0069001B"/>
    <w:rsid w:val="00690396"/>
    <w:rsid w:val="00690623"/>
    <w:rsid w:val="00690ABA"/>
    <w:rsid w:val="00690FF0"/>
    <w:rsid w:val="00691001"/>
    <w:rsid w:val="00691299"/>
    <w:rsid w:val="006913FA"/>
    <w:rsid w:val="006919CD"/>
    <w:rsid w:val="00691FAA"/>
    <w:rsid w:val="006920BB"/>
    <w:rsid w:val="0069259E"/>
    <w:rsid w:val="0069291F"/>
    <w:rsid w:val="00692AC8"/>
    <w:rsid w:val="00692B28"/>
    <w:rsid w:val="006936B4"/>
    <w:rsid w:val="006938DB"/>
    <w:rsid w:val="00693A9C"/>
    <w:rsid w:val="006943C1"/>
    <w:rsid w:val="0069467A"/>
    <w:rsid w:val="00694958"/>
    <w:rsid w:val="00694CD7"/>
    <w:rsid w:val="00694FED"/>
    <w:rsid w:val="00695092"/>
    <w:rsid w:val="006960CB"/>
    <w:rsid w:val="0069611E"/>
    <w:rsid w:val="00696564"/>
    <w:rsid w:val="006967D9"/>
    <w:rsid w:val="00696980"/>
    <w:rsid w:val="00696BD2"/>
    <w:rsid w:val="0069728A"/>
    <w:rsid w:val="006976F8"/>
    <w:rsid w:val="00697736"/>
    <w:rsid w:val="006A02BD"/>
    <w:rsid w:val="006A0332"/>
    <w:rsid w:val="006A0A45"/>
    <w:rsid w:val="006A0C7B"/>
    <w:rsid w:val="006A0E76"/>
    <w:rsid w:val="006A139F"/>
    <w:rsid w:val="006A15BF"/>
    <w:rsid w:val="006A19E1"/>
    <w:rsid w:val="006A1D34"/>
    <w:rsid w:val="006A1D3F"/>
    <w:rsid w:val="006A26C8"/>
    <w:rsid w:val="006A281C"/>
    <w:rsid w:val="006A2DDE"/>
    <w:rsid w:val="006A2F00"/>
    <w:rsid w:val="006A3CCB"/>
    <w:rsid w:val="006A42A3"/>
    <w:rsid w:val="006A43FC"/>
    <w:rsid w:val="006A49E1"/>
    <w:rsid w:val="006A4AAB"/>
    <w:rsid w:val="006A5BE3"/>
    <w:rsid w:val="006A65D3"/>
    <w:rsid w:val="006A68BE"/>
    <w:rsid w:val="006A6B11"/>
    <w:rsid w:val="006A6D2E"/>
    <w:rsid w:val="006A72F4"/>
    <w:rsid w:val="006A74A4"/>
    <w:rsid w:val="006A77A9"/>
    <w:rsid w:val="006A7961"/>
    <w:rsid w:val="006B00CB"/>
    <w:rsid w:val="006B049B"/>
    <w:rsid w:val="006B088B"/>
    <w:rsid w:val="006B099D"/>
    <w:rsid w:val="006B0CC4"/>
    <w:rsid w:val="006B1001"/>
    <w:rsid w:val="006B10A6"/>
    <w:rsid w:val="006B12F7"/>
    <w:rsid w:val="006B26F5"/>
    <w:rsid w:val="006B29AC"/>
    <w:rsid w:val="006B2F4C"/>
    <w:rsid w:val="006B31EC"/>
    <w:rsid w:val="006B346F"/>
    <w:rsid w:val="006B4894"/>
    <w:rsid w:val="006B631F"/>
    <w:rsid w:val="006B65B3"/>
    <w:rsid w:val="006B6EF2"/>
    <w:rsid w:val="006B7587"/>
    <w:rsid w:val="006B7830"/>
    <w:rsid w:val="006C01C4"/>
    <w:rsid w:val="006C0E98"/>
    <w:rsid w:val="006C12DD"/>
    <w:rsid w:val="006C14AD"/>
    <w:rsid w:val="006C174D"/>
    <w:rsid w:val="006C195C"/>
    <w:rsid w:val="006C1ADD"/>
    <w:rsid w:val="006C1ED4"/>
    <w:rsid w:val="006C2B73"/>
    <w:rsid w:val="006C2C94"/>
    <w:rsid w:val="006C31BF"/>
    <w:rsid w:val="006C38D2"/>
    <w:rsid w:val="006C3E6C"/>
    <w:rsid w:val="006C47F8"/>
    <w:rsid w:val="006C4CEE"/>
    <w:rsid w:val="006C4D42"/>
    <w:rsid w:val="006C4DF2"/>
    <w:rsid w:val="006C4ED9"/>
    <w:rsid w:val="006C5B61"/>
    <w:rsid w:val="006C5CF8"/>
    <w:rsid w:val="006C5FCA"/>
    <w:rsid w:val="006C6404"/>
    <w:rsid w:val="006C644C"/>
    <w:rsid w:val="006C6496"/>
    <w:rsid w:val="006C650A"/>
    <w:rsid w:val="006C6655"/>
    <w:rsid w:val="006C6C01"/>
    <w:rsid w:val="006C6D68"/>
    <w:rsid w:val="006C73CD"/>
    <w:rsid w:val="006C75B0"/>
    <w:rsid w:val="006C7A6C"/>
    <w:rsid w:val="006C7B01"/>
    <w:rsid w:val="006D00B2"/>
    <w:rsid w:val="006D0264"/>
    <w:rsid w:val="006D0667"/>
    <w:rsid w:val="006D0AA9"/>
    <w:rsid w:val="006D12C9"/>
    <w:rsid w:val="006D12E0"/>
    <w:rsid w:val="006D135D"/>
    <w:rsid w:val="006D18B1"/>
    <w:rsid w:val="006D1EC1"/>
    <w:rsid w:val="006D273E"/>
    <w:rsid w:val="006D2F2B"/>
    <w:rsid w:val="006D3605"/>
    <w:rsid w:val="006D37C7"/>
    <w:rsid w:val="006D3C6B"/>
    <w:rsid w:val="006D3F4C"/>
    <w:rsid w:val="006D40F7"/>
    <w:rsid w:val="006D41FD"/>
    <w:rsid w:val="006D46AB"/>
    <w:rsid w:val="006D4A73"/>
    <w:rsid w:val="006D4C4A"/>
    <w:rsid w:val="006D4CC0"/>
    <w:rsid w:val="006D4F5C"/>
    <w:rsid w:val="006D5438"/>
    <w:rsid w:val="006D5C23"/>
    <w:rsid w:val="006D5C4B"/>
    <w:rsid w:val="006D5F99"/>
    <w:rsid w:val="006D6361"/>
    <w:rsid w:val="006D68F3"/>
    <w:rsid w:val="006D7121"/>
    <w:rsid w:val="006D7332"/>
    <w:rsid w:val="006D74CC"/>
    <w:rsid w:val="006D75BC"/>
    <w:rsid w:val="006D7936"/>
    <w:rsid w:val="006D7A7F"/>
    <w:rsid w:val="006E074C"/>
    <w:rsid w:val="006E16AC"/>
    <w:rsid w:val="006E170F"/>
    <w:rsid w:val="006E17F2"/>
    <w:rsid w:val="006E17FC"/>
    <w:rsid w:val="006E1B01"/>
    <w:rsid w:val="006E221C"/>
    <w:rsid w:val="006E245B"/>
    <w:rsid w:val="006E28B2"/>
    <w:rsid w:val="006E2A4D"/>
    <w:rsid w:val="006E2AA4"/>
    <w:rsid w:val="006E2B46"/>
    <w:rsid w:val="006E2DBA"/>
    <w:rsid w:val="006E2EA3"/>
    <w:rsid w:val="006E3CAC"/>
    <w:rsid w:val="006E5171"/>
    <w:rsid w:val="006E57F7"/>
    <w:rsid w:val="006E5CB0"/>
    <w:rsid w:val="006E603E"/>
    <w:rsid w:val="006E65EC"/>
    <w:rsid w:val="006E707D"/>
    <w:rsid w:val="006E7316"/>
    <w:rsid w:val="006E759A"/>
    <w:rsid w:val="006E7C84"/>
    <w:rsid w:val="006F0445"/>
    <w:rsid w:val="006F0767"/>
    <w:rsid w:val="006F078F"/>
    <w:rsid w:val="006F0AFE"/>
    <w:rsid w:val="006F0FA0"/>
    <w:rsid w:val="006F1175"/>
    <w:rsid w:val="006F18D1"/>
    <w:rsid w:val="006F23A8"/>
    <w:rsid w:val="006F2588"/>
    <w:rsid w:val="006F2B89"/>
    <w:rsid w:val="006F3BC4"/>
    <w:rsid w:val="006F3D04"/>
    <w:rsid w:val="006F469A"/>
    <w:rsid w:val="006F4B39"/>
    <w:rsid w:val="006F500C"/>
    <w:rsid w:val="006F522D"/>
    <w:rsid w:val="006F5E75"/>
    <w:rsid w:val="006F60D6"/>
    <w:rsid w:val="006F641E"/>
    <w:rsid w:val="006F651E"/>
    <w:rsid w:val="006F67E2"/>
    <w:rsid w:val="006F71BF"/>
    <w:rsid w:val="006F7A81"/>
    <w:rsid w:val="006F7C81"/>
    <w:rsid w:val="006F7DCB"/>
    <w:rsid w:val="006F7E57"/>
    <w:rsid w:val="006F7FD4"/>
    <w:rsid w:val="00700AFB"/>
    <w:rsid w:val="007013EC"/>
    <w:rsid w:val="007016BA"/>
    <w:rsid w:val="0070218D"/>
    <w:rsid w:val="00702235"/>
    <w:rsid w:val="00702269"/>
    <w:rsid w:val="00702D22"/>
    <w:rsid w:val="00702F92"/>
    <w:rsid w:val="00703CDD"/>
    <w:rsid w:val="00703EE6"/>
    <w:rsid w:val="00703F68"/>
    <w:rsid w:val="00704508"/>
    <w:rsid w:val="0070549D"/>
    <w:rsid w:val="00705513"/>
    <w:rsid w:val="00705717"/>
    <w:rsid w:val="00705945"/>
    <w:rsid w:val="00705A86"/>
    <w:rsid w:val="00705C04"/>
    <w:rsid w:val="00706158"/>
    <w:rsid w:val="007061C5"/>
    <w:rsid w:val="0070629F"/>
    <w:rsid w:val="0070633A"/>
    <w:rsid w:val="0070639A"/>
    <w:rsid w:val="007063EF"/>
    <w:rsid w:val="00706C00"/>
    <w:rsid w:val="00706D68"/>
    <w:rsid w:val="0070710D"/>
    <w:rsid w:val="007071FC"/>
    <w:rsid w:val="007073EF"/>
    <w:rsid w:val="007100CF"/>
    <w:rsid w:val="007100D0"/>
    <w:rsid w:val="00710166"/>
    <w:rsid w:val="00710ADD"/>
    <w:rsid w:val="00710EAB"/>
    <w:rsid w:val="00711016"/>
    <w:rsid w:val="00711A0A"/>
    <w:rsid w:val="00711A7C"/>
    <w:rsid w:val="00711AD7"/>
    <w:rsid w:val="00711B1D"/>
    <w:rsid w:val="00711B40"/>
    <w:rsid w:val="00711DA0"/>
    <w:rsid w:val="00711DA7"/>
    <w:rsid w:val="00711E8D"/>
    <w:rsid w:val="007144A0"/>
    <w:rsid w:val="0071468B"/>
    <w:rsid w:val="00714A98"/>
    <w:rsid w:val="00714B46"/>
    <w:rsid w:val="0071501A"/>
    <w:rsid w:val="007150A6"/>
    <w:rsid w:val="00715E80"/>
    <w:rsid w:val="007160F7"/>
    <w:rsid w:val="00716378"/>
    <w:rsid w:val="0071642F"/>
    <w:rsid w:val="007164F5"/>
    <w:rsid w:val="007165F4"/>
    <w:rsid w:val="00716BBD"/>
    <w:rsid w:val="00716FA6"/>
    <w:rsid w:val="0071716C"/>
    <w:rsid w:val="007173D7"/>
    <w:rsid w:val="00717652"/>
    <w:rsid w:val="00717C12"/>
    <w:rsid w:val="00717EE6"/>
    <w:rsid w:val="0072007E"/>
    <w:rsid w:val="00720390"/>
    <w:rsid w:val="007208BA"/>
    <w:rsid w:val="00720A28"/>
    <w:rsid w:val="00720D70"/>
    <w:rsid w:val="00720D81"/>
    <w:rsid w:val="00721293"/>
    <w:rsid w:val="007216E1"/>
    <w:rsid w:val="00721F6F"/>
    <w:rsid w:val="007223DE"/>
    <w:rsid w:val="00722C1C"/>
    <w:rsid w:val="00722C66"/>
    <w:rsid w:val="00722EE9"/>
    <w:rsid w:val="007244C4"/>
    <w:rsid w:val="00724925"/>
    <w:rsid w:val="00724F2F"/>
    <w:rsid w:val="007256FF"/>
    <w:rsid w:val="007259F2"/>
    <w:rsid w:val="0072637D"/>
    <w:rsid w:val="007265F9"/>
    <w:rsid w:val="00726A94"/>
    <w:rsid w:val="00726F48"/>
    <w:rsid w:val="00727B50"/>
    <w:rsid w:val="00727BDD"/>
    <w:rsid w:val="00727E62"/>
    <w:rsid w:val="0073031A"/>
    <w:rsid w:val="00730D01"/>
    <w:rsid w:val="007311D0"/>
    <w:rsid w:val="007314CD"/>
    <w:rsid w:val="00731845"/>
    <w:rsid w:val="00731A2A"/>
    <w:rsid w:val="00731E0B"/>
    <w:rsid w:val="0073204A"/>
    <w:rsid w:val="00732188"/>
    <w:rsid w:val="0073251C"/>
    <w:rsid w:val="00732793"/>
    <w:rsid w:val="0073292E"/>
    <w:rsid w:val="00732D58"/>
    <w:rsid w:val="0073395F"/>
    <w:rsid w:val="0073412E"/>
    <w:rsid w:val="00734236"/>
    <w:rsid w:val="00734AE4"/>
    <w:rsid w:val="0073503A"/>
    <w:rsid w:val="00735241"/>
    <w:rsid w:val="00735AE7"/>
    <w:rsid w:val="00735BC8"/>
    <w:rsid w:val="00736052"/>
    <w:rsid w:val="007363A5"/>
    <w:rsid w:val="007363E5"/>
    <w:rsid w:val="0073689F"/>
    <w:rsid w:val="00736E1A"/>
    <w:rsid w:val="007377B9"/>
    <w:rsid w:val="00737CC5"/>
    <w:rsid w:val="00737D2A"/>
    <w:rsid w:val="00737E6D"/>
    <w:rsid w:val="00740518"/>
    <w:rsid w:val="00740F8B"/>
    <w:rsid w:val="00741400"/>
    <w:rsid w:val="007418AE"/>
    <w:rsid w:val="00741D88"/>
    <w:rsid w:val="0074425C"/>
    <w:rsid w:val="007450DA"/>
    <w:rsid w:val="00745909"/>
    <w:rsid w:val="00745ADD"/>
    <w:rsid w:val="00745DB9"/>
    <w:rsid w:val="00745DDB"/>
    <w:rsid w:val="0074614A"/>
    <w:rsid w:val="00746C3D"/>
    <w:rsid w:val="00746E21"/>
    <w:rsid w:val="007471E3"/>
    <w:rsid w:val="00747236"/>
    <w:rsid w:val="00747963"/>
    <w:rsid w:val="00747A08"/>
    <w:rsid w:val="00747A41"/>
    <w:rsid w:val="007503CA"/>
    <w:rsid w:val="00750652"/>
    <w:rsid w:val="00750C86"/>
    <w:rsid w:val="00751041"/>
    <w:rsid w:val="007510B8"/>
    <w:rsid w:val="007513E9"/>
    <w:rsid w:val="00751DBD"/>
    <w:rsid w:val="00751FA3"/>
    <w:rsid w:val="00752836"/>
    <w:rsid w:val="007532E3"/>
    <w:rsid w:val="0075351D"/>
    <w:rsid w:val="007537BE"/>
    <w:rsid w:val="00753ED5"/>
    <w:rsid w:val="007540C7"/>
    <w:rsid w:val="007542B8"/>
    <w:rsid w:val="00755D9B"/>
    <w:rsid w:val="00755E2C"/>
    <w:rsid w:val="00755F96"/>
    <w:rsid w:val="0075649B"/>
    <w:rsid w:val="00756696"/>
    <w:rsid w:val="007569CE"/>
    <w:rsid w:val="00756CEF"/>
    <w:rsid w:val="00757596"/>
    <w:rsid w:val="0075762F"/>
    <w:rsid w:val="00757795"/>
    <w:rsid w:val="00757E87"/>
    <w:rsid w:val="007607D7"/>
    <w:rsid w:val="00761006"/>
    <w:rsid w:val="00761E1C"/>
    <w:rsid w:val="00761FAF"/>
    <w:rsid w:val="00762115"/>
    <w:rsid w:val="00762401"/>
    <w:rsid w:val="00762919"/>
    <w:rsid w:val="00762973"/>
    <w:rsid w:val="007635D5"/>
    <w:rsid w:val="007637C0"/>
    <w:rsid w:val="00764272"/>
    <w:rsid w:val="00764280"/>
    <w:rsid w:val="00764EE9"/>
    <w:rsid w:val="0076524B"/>
    <w:rsid w:val="00765355"/>
    <w:rsid w:val="00765E29"/>
    <w:rsid w:val="00765E7B"/>
    <w:rsid w:val="00765E94"/>
    <w:rsid w:val="00767376"/>
    <w:rsid w:val="007675F5"/>
    <w:rsid w:val="00767A49"/>
    <w:rsid w:val="00767F24"/>
    <w:rsid w:val="00770575"/>
    <w:rsid w:val="00770628"/>
    <w:rsid w:val="00770688"/>
    <w:rsid w:val="00770A6F"/>
    <w:rsid w:val="00770BE1"/>
    <w:rsid w:val="0077117B"/>
    <w:rsid w:val="007712B1"/>
    <w:rsid w:val="0077152C"/>
    <w:rsid w:val="00771F95"/>
    <w:rsid w:val="00772284"/>
    <w:rsid w:val="00772687"/>
    <w:rsid w:val="00773181"/>
    <w:rsid w:val="0077334E"/>
    <w:rsid w:val="007733EB"/>
    <w:rsid w:val="00773C5D"/>
    <w:rsid w:val="00774601"/>
    <w:rsid w:val="007747BC"/>
    <w:rsid w:val="00774B0A"/>
    <w:rsid w:val="0077519B"/>
    <w:rsid w:val="007756EB"/>
    <w:rsid w:val="00775A8C"/>
    <w:rsid w:val="0077641D"/>
    <w:rsid w:val="00776E9E"/>
    <w:rsid w:val="00776F6D"/>
    <w:rsid w:val="007771A1"/>
    <w:rsid w:val="007771F0"/>
    <w:rsid w:val="0077727F"/>
    <w:rsid w:val="00777280"/>
    <w:rsid w:val="00777960"/>
    <w:rsid w:val="00777DB3"/>
    <w:rsid w:val="00777DC2"/>
    <w:rsid w:val="00780AEB"/>
    <w:rsid w:val="00780F09"/>
    <w:rsid w:val="00781557"/>
    <w:rsid w:val="007816B3"/>
    <w:rsid w:val="00781708"/>
    <w:rsid w:val="00781D8A"/>
    <w:rsid w:val="00782BEB"/>
    <w:rsid w:val="00782C1D"/>
    <w:rsid w:val="00783259"/>
    <w:rsid w:val="00783524"/>
    <w:rsid w:val="007835D1"/>
    <w:rsid w:val="00783F9F"/>
    <w:rsid w:val="00784B08"/>
    <w:rsid w:val="00784D13"/>
    <w:rsid w:val="00785722"/>
    <w:rsid w:val="00785AB0"/>
    <w:rsid w:val="00785FBC"/>
    <w:rsid w:val="00786A24"/>
    <w:rsid w:val="00786AF4"/>
    <w:rsid w:val="00786EBA"/>
    <w:rsid w:val="007875F7"/>
    <w:rsid w:val="00787604"/>
    <w:rsid w:val="007876D0"/>
    <w:rsid w:val="00787BF5"/>
    <w:rsid w:val="0079041E"/>
    <w:rsid w:val="007907B0"/>
    <w:rsid w:val="0079081D"/>
    <w:rsid w:val="00790ECB"/>
    <w:rsid w:val="00791023"/>
    <w:rsid w:val="00791656"/>
    <w:rsid w:val="0079237B"/>
    <w:rsid w:val="007926EE"/>
    <w:rsid w:val="007928B6"/>
    <w:rsid w:val="00792C82"/>
    <w:rsid w:val="00792E29"/>
    <w:rsid w:val="00793086"/>
    <w:rsid w:val="007935FA"/>
    <w:rsid w:val="00793B9F"/>
    <w:rsid w:val="00793C5D"/>
    <w:rsid w:val="007944F3"/>
    <w:rsid w:val="007945C0"/>
    <w:rsid w:val="00794C6B"/>
    <w:rsid w:val="00795174"/>
    <w:rsid w:val="00795427"/>
    <w:rsid w:val="00795679"/>
    <w:rsid w:val="007959D8"/>
    <w:rsid w:val="00795FE0"/>
    <w:rsid w:val="00796058"/>
    <w:rsid w:val="0079635E"/>
    <w:rsid w:val="00796D56"/>
    <w:rsid w:val="007979DF"/>
    <w:rsid w:val="00797C3A"/>
    <w:rsid w:val="007A00A6"/>
    <w:rsid w:val="007A0A5E"/>
    <w:rsid w:val="007A1FE2"/>
    <w:rsid w:val="007A2154"/>
    <w:rsid w:val="007A22EE"/>
    <w:rsid w:val="007A235A"/>
    <w:rsid w:val="007A2BAC"/>
    <w:rsid w:val="007A2CBC"/>
    <w:rsid w:val="007A2CE2"/>
    <w:rsid w:val="007A3929"/>
    <w:rsid w:val="007A44BE"/>
    <w:rsid w:val="007A469E"/>
    <w:rsid w:val="007A4D01"/>
    <w:rsid w:val="007A4D1A"/>
    <w:rsid w:val="007A5A12"/>
    <w:rsid w:val="007A5C59"/>
    <w:rsid w:val="007A6172"/>
    <w:rsid w:val="007A63F4"/>
    <w:rsid w:val="007A663F"/>
    <w:rsid w:val="007A6C06"/>
    <w:rsid w:val="007A734E"/>
    <w:rsid w:val="007A74FC"/>
    <w:rsid w:val="007A77B0"/>
    <w:rsid w:val="007A7BA3"/>
    <w:rsid w:val="007B09A7"/>
    <w:rsid w:val="007B0B80"/>
    <w:rsid w:val="007B0BD6"/>
    <w:rsid w:val="007B10DA"/>
    <w:rsid w:val="007B13E4"/>
    <w:rsid w:val="007B1B75"/>
    <w:rsid w:val="007B1F62"/>
    <w:rsid w:val="007B20B0"/>
    <w:rsid w:val="007B25CD"/>
    <w:rsid w:val="007B29A7"/>
    <w:rsid w:val="007B29AB"/>
    <w:rsid w:val="007B2D26"/>
    <w:rsid w:val="007B2EDB"/>
    <w:rsid w:val="007B3734"/>
    <w:rsid w:val="007B3D3A"/>
    <w:rsid w:val="007B41D9"/>
    <w:rsid w:val="007B4414"/>
    <w:rsid w:val="007B4FB0"/>
    <w:rsid w:val="007B52F8"/>
    <w:rsid w:val="007B53FC"/>
    <w:rsid w:val="007B54B2"/>
    <w:rsid w:val="007B56E2"/>
    <w:rsid w:val="007B57AC"/>
    <w:rsid w:val="007B5BAB"/>
    <w:rsid w:val="007B5C1F"/>
    <w:rsid w:val="007B5F7B"/>
    <w:rsid w:val="007B6A64"/>
    <w:rsid w:val="007B771E"/>
    <w:rsid w:val="007B7C07"/>
    <w:rsid w:val="007C098F"/>
    <w:rsid w:val="007C0D2E"/>
    <w:rsid w:val="007C11A5"/>
    <w:rsid w:val="007C13D9"/>
    <w:rsid w:val="007C2509"/>
    <w:rsid w:val="007C25EC"/>
    <w:rsid w:val="007C3832"/>
    <w:rsid w:val="007C3877"/>
    <w:rsid w:val="007C3934"/>
    <w:rsid w:val="007C416C"/>
    <w:rsid w:val="007C4373"/>
    <w:rsid w:val="007C4955"/>
    <w:rsid w:val="007C4AD0"/>
    <w:rsid w:val="007C4E00"/>
    <w:rsid w:val="007C5140"/>
    <w:rsid w:val="007C5A0C"/>
    <w:rsid w:val="007C5BC8"/>
    <w:rsid w:val="007C5E29"/>
    <w:rsid w:val="007C63CF"/>
    <w:rsid w:val="007D05A1"/>
    <w:rsid w:val="007D0626"/>
    <w:rsid w:val="007D0D34"/>
    <w:rsid w:val="007D0FA1"/>
    <w:rsid w:val="007D100B"/>
    <w:rsid w:val="007D15D1"/>
    <w:rsid w:val="007D165E"/>
    <w:rsid w:val="007D1B77"/>
    <w:rsid w:val="007D27B6"/>
    <w:rsid w:val="007D2E2B"/>
    <w:rsid w:val="007D2E65"/>
    <w:rsid w:val="007D37BD"/>
    <w:rsid w:val="007D3E3A"/>
    <w:rsid w:val="007D43DA"/>
    <w:rsid w:val="007D4CA8"/>
    <w:rsid w:val="007D54DD"/>
    <w:rsid w:val="007D5B3C"/>
    <w:rsid w:val="007D5C2A"/>
    <w:rsid w:val="007D61A9"/>
    <w:rsid w:val="007D680B"/>
    <w:rsid w:val="007D76D3"/>
    <w:rsid w:val="007E037A"/>
    <w:rsid w:val="007E0455"/>
    <w:rsid w:val="007E056A"/>
    <w:rsid w:val="007E058B"/>
    <w:rsid w:val="007E0EFB"/>
    <w:rsid w:val="007E0FE3"/>
    <w:rsid w:val="007E11C9"/>
    <w:rsid w:val="007E1257"/>
    <w:rsid w:val="007E1777"/>
    <w:rsid w:val="007E1863"/>
    <w:rsid w:val="007E1897"/>
    <w:rsid w:val="007E18C6"/>
    <w:rsid w:val="007E22F1"/>
    <w:rsid w:val="007E298F"/>
    <w:rsid w:val="007E2E93"/>
    <w:rsid w:val="007E379A"/>
    <w:rsid w:val="007E4202"/>
    <w:rsid w:val="007E448B"/>
    <w:rsid w:val="007E4634"/>
    <w:rsid w:val="007E475A"/>
    <w:rsid w:val="007E4831"/>
    <w:rsid w:val="007E4AF8"/>
    <w:rsid w:val="007E51FA"/>
    <w:rsid w:val="007E547B"/>
    <w:rsid w:val="007E595D"/>
    <w:rsid w:val="007E75FB"/>
    <w:rsid w:val="007E7A5B"/>
    <w:rsid w:val="007E7E06"/>
    <w:rsid w:val="007F0188"/>
    <w:rsid w:val="007F0406"/>
    <w:rsid w:val="007F05A0"/>
    <w:rsid w:val="007F0693"/>
    <w:rsid w:val="007F0999"/>
    <w:rsid w:val="007F109D"/>
    <w:rsid w:val="007F1181"/>
    <w:rsid w:val="007F1242"/>
    <w:rsid w:val="007F133F"/>
    <w:rsid w:val="007F16F7"/>
    <w:rsid w:val="007F17F6"/>
    <w:rsid w:val="007F19E3"/>
    <w:rsid w:val="007F25F5"/>
    <w:rsid w:val="007F2C4D"/>
    <w:rsid w:val="007F3045"/>
    <w:rsid w:val="007F3554"/>
    <w:rsid w:val="007F36A9"/>
    <w:rsid w:val="007F5086"/>
    <w:rsid w:val="007F5365"/>
    <w:rsid w:val="007F5961"/>
    <w:rsid w:val="007F6228"/>
    <w:rsid w:val="007F63C5"/>
    <w:rsid w:val="007F6515"/>
    <w:rsid w:val="007F672E"/>
    <w:rsid w:val="007F72C2"/>
    <w:rsid w:val="007F74FE"/>
    <w:rsid w:val="007F7770"/>
    <w:rsid w:val="007F7B2C"/>
    <w:rsid w:val="007F7D66"/>
    <w:rsid w:val="0080117C"/>
    <w:rsid w:val="0080180F"/>
    <w:rsid w:val="0080239F"/>
    <w:rsid w:val="008024E4"/>
    <w:rsid w:val="00802599"/>
    <w:rsid w:val="00802BC5"/>
    <w:rsid w:val="00803749"/>
    <w:rsid w:val="0080383D"/>
    <w:rsid w:val="00803D46"/>
    <w:rsid w:val="00803E9F"/>
    <w:rsid w:val="008040BD"/>
    <w:rsid w:val="00804626"/>
    <w:rsid w:val="0080463C"/>
    <w:rsid w:val="008048C5"/>
    <w:rsid w:val="00804E51"/>
    <w:rsid w:val="008051B4"/>
    <w:rsid w:val="0080528E"/>
    <w:rsid w:val="0080543D"/>
    <w:rsid w:val="008058AA"/>
    <w:rsid w:val="00805F59"/>
    <w:rsid w:val="00806055"/>
    <w:rsid w:val="0080615E"/>
    <w:rsid w:val="008061EB"/>
    <w:rsid w:val="008063C9"/>
    <w:rsid w:val="008064B1"/>
    <w:rsid w:val="008065E6"/>
    <w:rsid w:val="008070A1"/>
    <w:rsid w:val="00810292"/>
    <w:rsid w:val="00810302"/>
    <w:rsid w:val="00810794"/>
    <w:rsid w:val="00810968"/>
    <w:rsid w:val="00810CA5"/>
    <w:rsid w:val="00810E8F"/>
    <w:rsid w:val="00811114"/>
    <w:rsid w:val="008113F7"/>
    <w:rsid w:val="00811640"/>
    <w:rsid w:val="00812093"/>
    <w:rsid w:val="008121B9"/>
    <w:rsid w:val="008129DD"/>
    <w:rsid w:val="00813033"/>
    <w:rsid w:val="00813762"/>
    <w:rsid w:val="00813E21"/>
    <w:rsid w:val="00814417"/>
    <w:rsid w:val="0081446C"/>
    <w:rsid w:val="00814CCB"/>
    <w:rsid w:val="00815100"/>
    <w:rsid w:val="0081530E"/>
    <w:rsid w:val="008154FA"/>
    <w:rsid w:val="00815F27"/>
    <w:rsid w:val="008174E5"/>
    <w:rsid w:val="00817D88"/>
    <w:rsid w:val="00817EF4"/>
    <w:rsid w:val="00820016"/>
    <w:rsid w:val="00820569"/>
    <w:rsid w:val="00820A2A"/>
    <w:rsid w:val="00820BBD"/>
    <w:rsid w:val="00820CB7"/>
    <w:rsid w:val="00820EF5"/>
    <w:rsid w:val="00821581"/>
    <w:rsid w:val="008215E9"/>
    <w:rsid w:val="00822156"/>
    <w:rsid w:val="00822407"/>
    <w:rsid w:val="0082296A"/>
    <w:rsid w:val="00822AD9"/>
    <w:rsid w:val="008231FC"/>
    <w:rsid w:val="00824E54"/>
    <w:rsid w:val="00824E7B"/>
    <w:rsid w:val="00825C2E"/>
    <w:rsid w:val="00826FFA"/>
    <w:rsid w:val="0083091F"/>
    <w:rsid w:val="00830F1B"/>
    <w:rsid w:val="00830F4F"/>
    <w:rsid w:val="0083184A"/>
    <w:rsid w:val="00831E7F"/>
    <w:rsid w:val="00832033"/>
    <w:rsid w:val="008320E3"/>
    <w:rsid w:val="0083218D"/>
    <w:rsid w:val="008323E8"/>
    <w:rsid w:val="0083249E"/>
    <w:rsid w:val="008326A3"/>
    <w:rsid w:val="00832A73"/>
    <w:rsid w:val="00832D5E"/>
    <w:rsid w:val="00833073"/>
    <w:rsid w:val="008336D7"/>
    <w:rsid w:val="00833F45"/>
    <w:rsid w:val="00833F86"/>
    <w:rsid w:val="00833FAD"/>
    <w:rsid w:val="008357C9"/>
    <w:rsid w:val="00835BB4"/>
    <w:rsid w:val="00835E10"/>
    <w:rsid w:val="00836088"/>
    <w:rsid w:val="00836137"/>
    <w:rsid w:val="008373D4"/>
    <w:rsid w:val="00837D1D"/>
    <w:rsid w:val="00840595"/>
    <w:rsid w:val="00840885"/>
    <w:rsid w:val="00840927"/>
    <w:rsid w:val="00841461"/>
    <w:rsid w:val="00841499"/>
    <w:rsid w:val="00841C64"/>
    <w:rsid w:val="008438A4"/>
    <w:rsid w:val="008445E1"/>
    <w:rsid w:val="00845202"/>
    <w:rsid w:val="00845798"/>
    <w:rsid w:val="00845EBE"/>
    <w:rsid w:val="00845F58"/>
    <w:rsid w:val="0084674F"/>
    <w:rsid w:val="00846D7B"/>
    <w:rsid w:val="008475C3"/>
    <w:rsid w:val="00847708"/>
    <w:rsid w:val="00847E65"/>
    <w:rsid w:val="0085013A"/>
    <w:rsid w:val="00850223"/>
    <w:rsid w:val="00850A4E"/>
    <w:rsid w:val="00850AFC"/>
    <w:rsid w:val="00850CFF"/>
    <w:rsid w:val="00851293"/>
    <w:rsid w:val="00851ABB"/>
    <w:rsid w:val="0085209E"/>
    <w:rsid w:val="00853073"/>
    <w:rsid w:val="0085475E"/>
    <w:rsid w:val="00854BD0"/>
    <w:rsid w:val="008550B6"/>
    <w:rsid w:val="0085565A"/>
    <w:rsid w:val="00855975"/>
    <w:rsid w:val="00855F40"/>
    <w:rsid w:val="00857908"/>
    <w:rsid w:val="008579CC"/>
    <w:rsid w:val="008579E3"/>
    <w:rsid w:val="00857D6F"/>
    <w:rsid w:val="00860649"/>
    <w:rsid w:val="0086088A"/>
    <w:rsid w:val="00860D4D"/>
    <w:rsid w:val="00861141"/>
    <w:rsid w:val="00861819"/>
    <w:rsid w:val="00861831"/>
    <w:rsid w:val="0086189D"/>
    <w:rsid w:val="00861D13"/>
    <w:rsid w:val="0086211B"/>
    <w:rsid w:val="00862181"/>
    <w:rsid w:val="008625A3"/>
    <w:rsid w:val="008626A2"/>
    <w:rsid w:val="00862E33"/>
    <w:rsid w:val="00863AED"/>
    <w:rsid w:val="008644B2"/>
    <w:rsid w:val="00864C88"/>
    <w:rsid w:val="00864D79"/>
    <w:rsid w:val="00864DF6"/>
    <w:rsid w:val="00865D92"/>
    <w:rsid w:val="00865E9E"/>
    <w:rsid w:val="0086625B"/>
    <w:rsid w:val="0086638A"/>
    <w:rsid w:val="00866600"/>
    <w:rsid w:val="00867080"/>
    <w:rsid w:val="00867574"/>
    <w:rsid w:val="00867A50"/>
    <w:rsid w:val="00867C49"/>
    <w:rsid w:val="00867F34"/>
    <w:rsid w:val="008703B4"/>
    <w:rsid w:val="008704ED"/>
    <w:rsid w:val="00870BC5"/>
    <w:rsid w:val="00871416"/>
    <w:rsid w:val="008716B0"/>
    <w:rsid w:val="0087173F"/>
    <w:rsid w:val="00871C00"/>
    <w:rsid w:val="00871D9A"/>
    <w:rsid w:val="00871E55"/>
    <w:rsid w:val="00872178"/>
    <w:rsid w:val="00872288"/>
    <w:rsid w:val="008725A7"/>
    <w:rsid w:val="00872862"/>
    <w:rsid w:val="008736A6"/>
    <w:rsid w:val="008740CC"/>
    <w:rsid w:val="0087478C"/>
    <w:rsid w:val="0087485C"/>
    <w:rsid w:val="0087528C"/>
    <w:rsid w:val="0087563F"/>
    <w:rsid w:val="0087564B"/>
    <w:rsid w:val="00875DE3"/>
    <w:rsid w:val="0087654A"/>
    <w:rsid w:val="00877D40"/>
    <w:rsid w:val="00877F50"/>
    <w:rsid w:val="00877F74"/>
    <w:rsid w:val="00877FDE"/>
    <w:rsid w:val="00880EB3"/>
    <w:rsid w:val="00880F2F"/>
    <w:rsid w:val="00881375"/>
    <w:rsid w:val="0088198E"/>
    <w:rsid w:val="00881CA9"/>
    <w:rsid w:val="00881D2A"/>
    <w:rsid w:val="008820C6"/>
    <w:rsid w:val="00883943"/>
    <w:rsid w:val="00883BF0"/>
    <w:rsid w:val="00883C89"/>
    <w:rsid w:val="00883E21"/>
    <w:rsid w:val="008844BD"/>
    <w:rsid w:val="0088468E"/>
    <w:rsid w:val="00884E1E"/>
    <w:rsid w:val="008853DC"/>
    <w:rsid w:val="00885548"/>
    <w:rsid w:val="0088609E"/>
    <w:rsid w:val="00886774"/>
    <w:rsid w:val="00886D9F"/>
    <w:rsid w:val="00886FF4"/>
    <w:rsid w:val="00887761"/>
    <w:rsid w:val="00887E26"/>
    <w:rsid w:val="0089017B"/>
    <w:rsid w:val="00890BFA"/>
    <w:rsid w:val="00890E73"/>
    <w:rsid w:val="00891B49"/>
    <w:rsid w:val="0089206A"/>
    <w:rsid w:val="008922EC"/>
    <w:rsid w:val="00892FD2"/>
    <w:rsid w:val="00893299"/>
    <w:rsid w:val="00893671"/>
    <w:rsid w:val="00893CD8"/>
    <w:rsid w:val="00894146"/>
    <w:rsid w:val="0089433C"/>
    <w:rsid w:val="008948B1"/>
    <w:rsid w:val="00894E9E"/>
    <w:rsid w:val="008950A8"/>
    <w:rsid w:val="00896E8F"/>
    <w:rsid w:val="00897130"/>
    <w:rsid w:val="0089724C"/>
    <w:rsid w:val="00897529"/>
    <w:rsid w:val="008A00ED"/>
    <w:rsid w:val="008A0A9E"/>
    <w:rsid w:val="008A0C08"/>
    <w:rsid w:val="008A0C4E"/>
    <w:rsid w:val="008A1ED0"/>
    <w:rsid w:val="008A2695"/>
    <w:rsid w:val="008A321D"/>
    <w:rsid w:val="008A3352"/>
    <w:rsid w:val="008A4169"/>
    <w:rsid w:val="008A4590"/>
    <w:rsid w:val="008A54EA"/>
    <w:rsid w:val="008A55F3"/>
    <w:rsid w:val="008A57AF"/>
    <w:rsid w:val="008A6288"/>
    <w:rsid w:val="008A62E0"/>
    <w:rsid w:val="008A6325"/>
    <w:rsid w:val="008A6D8D"/>
    <w:rsid w:val="008A7221"/>
    <w:rsid w:val="008A75FC"/>
    <w:rsid w:val="008A7BC1"/>
    <w:rsid w:val="008A7C75"/>
    <w:rsid w:val="008B0319"/>
    <w:rsid w:val="008B1D3F"/>
    <w:rsid w:val="008B1E3B"/>
    <w:rsid w:val="008B2547"/>
    <w:rsid w:val="008B2CCE"/>
    <w:rsid w:val="008B3CF9"/>
    <w:rsid w:val="008B4378"/>
    <w:rsid w:val="008B46E0"/>
    <w:rsid w:val="008B4C3A"/>
    <w:rsid w:val="008B4DE6"/>
    <w:rsid w:val="008B4FD1"/>
    <w:rsid w:val="008B532B"/>
    <w:rsid w:val="008B56EF"/>
    <w:rsid w:val="008B622F"/>
    <w:rsid w:val="008B669A"/>
    <w:rsid w:val="008B69CF"/>
    <w:rsid w:val="008B6B88"/>
    <w:rsid w:val="008B6F2B"/>
    <w:rsid w:val="008B7071"/>
    <w:rsid w:val="008B70C8"/>
    <w:rsid w:val="008B7A11"/>
    <w:rsid w:val="008B7D2D"/>
    <w:rsid w:val="008B7DA1"/>
    <w:rsid w:val="008C013E"/>
    <w:rsid w:val="008C0173"/>
    <w:rsid w:val="008C07E3"/>
    <w:rsid w:val="008C0F69"/>
    <w:rsid w:val="008C14FF"/>
    <w:rsid w:val="008C1627"/>
    <w:rsid w:val="008C170A"/>
    <w:rsid w:val="008C1D43"/>
    <w:rsid w:val="008C219B"/>
    <w:rsid w:val="008C2B2E"/>
    <w:rsid w:val="008C2E2D"/>
    <w:rsid w:val="008C3043"/>
    <w:rsid w:val="008C3608"/>
    <w:rsid w:val="008C38F9"/>
    <w:rsid w:val="008C3ECB"/>
    <w:rsid w:val="008C5485"/>
    <w:rsid w:val="008C5928"/>
    <w:rsid w:val="008C6307"/>
    <w:rsid w:val="008C7571"/>
    <w:rsid w:val="008C7AA5"/>
    <w:rsid w:val="008D0079"/>
    <w:rsid w:val="008D0ACA"/>
    <w:rsid w:val="008D0D5B"/>
    <w:rsid w:val="008D12D0"/>
    <w:rsid w:val="008D1398"/>
    <w:rsid w:val="008D192C"/>
    <w:rsid w:val="008D197B"/>
    <w:rsid w:val="008D1BE7"/>
    <w:rsid w:val="008D2045"/>
    <w:rsid w:val="008D2ECE"/>
    <w:rsid w:val="008D32A4"/>
    <w:rsid w:val="008D32C3"/>
    <w:rsid w:val="008D32E5"/>
    <w:rsid w:val="008D3BC4"/>
    <w:rsid w:val="008D3D18"/>
    <w:rsid w:val="008D400A"/>
    <w:rsid w:val="008D464F"/>
    <w:rsid w:val="008D4AD0"/>
    <w:rsid w:val="008D5386"/>
    <w:rsid w:val="008D5974"/>
    <w:rsid w:val="008D66A4"/>
    <w:rsid w:val="008D6B2C"/>
    <w:rsid w:val="008D6DA5"/>
    <w:rsid w:val="008D788E"/>
    <w:rsid w:val="008D7C6B"/>
    <w:rsid w:val="008D7CB1"/>
    <w:rsid w:val="008D7D82"/>
    <w:rsid w:val="008E0089"/>
    <w:rsid w:val="008E0D38"/>
    <w:rsid w:val="008E12FF"/>
    <w:rsid w:val="008E1362"/>
    <w:rsid w:val="008E219E"/>
    <w:rsid w:val="008E27C2"/>
    <w:rsid w:val="008E339B"/>
    <w:rsid w:val="008E377D"/>
    <w:rsid w:val="008E3D79"/>
    <w:rsid w:val="008E47B7"/>
    <w:rsid w:val="008E4823"/>
    <w:rsid w:val="008E4B81"/>
    <w:rsid w:val="008E5601"/>
    <w:rsid w:val="008E5B34"/>
    <w:rsid w:val="008E5B3F"/>
    <w:rsid w:val="008E5C03"/>
    <w:rsid w:val="008E5C45"/>
    <w:rsid w:val="008E6010"/>
    <w:rsid w:val="008E7266"/>
    <w:rsid w:val="008E739D"/>
    <w:rsid w:val="008E739E"/>
    <w:rsid w:val="008E75C6"/>
    <w:rsid w:val="008E78A7"/>
    <w:rsid w:val="008E7DD4"/>
    <w:rsid w:val="008F02D4"/>
    <w:rsid w:val="008F1CCC"/>
    <w:rsid w:val="008F1CCF"/>
    <w:rsid w:val="008F1F74"/>
    <w:rsid w:val="008F213B"/>
    <w:rsid w:val="008F2693"/>
    <w:rsid w:val="008F2ADD"/>
    <w:rsid w:val="008F2F02"/>
    <w:rsid w:val="008F4085"/>
    <w:rsid w:val="008F4450"/>
    <w:rsid w:val="008F4C06"/>
    <w:rsid w:val="008F598C"/>
    <w:rsid w:val="008F5A00"/>
    <w:rsid w:val="008F5A64"/>
    <w:rsid w:val="008F5E7E"/>
    <w:rsid w:val="008F6002"/>
    <w:rsid w:val="008F61EA"/>
    <w:rsid w:val="008F6E8E"/>
    <w:rsid w:val="008F7154"/>
    <w:rsid w:val="008F7273"/>
    <w:rsid w:val="008F7371"/>
    <w:rsid w:val="008F7517"/>
    <w:rsid w:val="008F7941"/>
    <w:rsid w:val="008F79C9"/>
    <w:rsid w:val="008F7DFB"/>
    <w:rsid w:val="008F7EB0"/>
    <w:rsid w:val="008F7EBC"/>
    <w:rsid w:val="009000CF"/>
    <w:rsid w:val="0090051C"/>
    <w:rsid w:val="00900DC1"/>
    <w:rsid w:val="009010EF"/>
    <w:rsid w:val="009011C2"/>
    <w:rsid w:val="00901391"/>
    <w:rsid w:val="009014DE"/>
    <w:rsid w:val="00901AE0"/>
    <w:rsid w:val="0090201B"/>
    <w:rsid w:val="00902030"/>
    <w:rsid w:val="00902300"/>
    <w:rsid w:val="00902A73"/>
    <w:rsid w:val="00902C1A"/>
    <w:rsid w:val="00903D9B"/>
    <w:rsid w:val="00904ADB"/>
    <w:rsid w:val="00905217"/>
    <w:rsid w:val="009053A6"/>
    <w:rsid w:val="00905665"/>
    <w:rsid w:val="009062A2"/>
    <w:rsid w:val="00906EAD"/>
    <w:rsid w:val="00907624"/>
    <w:rsid w:val="00910514"/>
    <w:rsid w:val="009108A7"/>
    <w:rsid w:val="009109D0"/>
    <w:rsid w:val="00911E9D"/>
    <w:rsid w:val="00912ABA"/>
    <w:rsid w:val="00912B0A"/>
    <w:rsid w:val="00912D8C"/>
    <w:rsid w:val="00913686"/>
    <w:rsid w:val="00913F5C"/>
    <w:rsid w:val="0091482D"/>
    <w:rsid w:val="009148E2"/>
    <w:rsid w:val="00915AE5"/>
    <w:rsid w:val="00915EE6"/>
    <w:rsid w:val="009163A7"/>
    <w:rsid w:val="00916AC3"/>
    <w:rsid w:val="00916F14"/>
    <w:rsid w:val="00916F5A"/>
    <w:rsid w:val="00917186"/>
    <w:rsid w:val="009175EA"/>
    <w:rsid w:val="009177EC"/>
    <w:rsid w:val="00917C2D"/>
    <w:rsid w:val="00920BB9"/>
    <w:rsid w:val="00921FEC"/>
    <w:rsid w:val="00922380"/>
    <w:rsid w:val="0092239E"/>
    <w:rsid w:val="00922872"/>
    <w:rsid w:val="00922D10"/>
    <w:rsid w:val="009238C3"/>
    <w:rsid w:val="00923915"/>
    <w:rsid w:val="00923980"/>
    <w:rsid w:val="00923E41"/>
    <w:rsid w:val="0092409C"/>
    <w:rsid w:val="009247F2"/>
    <w:rsid w:val="00924DCF"/>
    <w:rsid w:val="00925401"/>
    <w:rsid w:val="0092562C"/>
    <w:rsid w:val="009256FA"/>
    <w:rsid w:val="00925A5D"/>
    <w:rsid w:val="00925C3B"/>
    <w:rsid w:val="00925F66"/>
    <w:rsid w:val="00926019"/>
    <w:rsid w:val="00926C86"/>
    <w:rsid w:val="00926E34"/>
    <w:rsid w:val="0092712A"/>
    <w:rsid w:val="0092715B"/>
    <w:rsid w:val="0092746D"/>
    <w:rsid w:val="0092763E"/>
    <w:rsid w:val="00927CA0"/>
    <w:rsid w:val="00927DAF"/>
    <w:rsid w:val="00927EA8"/>
    <w:rsid w:val="00930550"/>
    <w:rsid w:val="009309C5"/>
    <w:rsid w:val="00930AEF"/>
    <w:rsid w:val="00930DB3"/>
    <w:rsid w:val="00930FD5"/>
    <w:rsid w:val="009310F2"/>
    <w:rsid w:val="00931DEF"/>
    <w:rsid w:val="0093215A"/>
    <w:rsid w:val="00932A80"/>
    <w:rsid w:val="00933377"/>
    <w:rsid w:val="009338B3"/>
    <w:rsid w:val="00933B90"/>
    <w:rsid w:val="00933D4B"/>
    <w:rsid w:val="00934141"/>
    <w:rsid w:val="009341A1"/>
    <w:rsid w:val="009341DA"/>
    <w:rsid w:val="00934990"/>
    <w:rsid w:val="00935202"/>
    <w:rsid w:val="0093570E"/>
    <w:rsid w:val="00936609"/>
    <w:rsid w:val="00936B33"/>
    <w:rsid w:val="00936C31"/>
    <w:rsid w:val="00936C47"/>
    <w:rsid w:val="00936FD0"/>
    <w:rsid w:val="009379D5"/>
    <w:rsid w:val="00937A71"/>
    <w:rsid w:val="009409FD"/>
    <w:rsid w:val="00940EE5"/>
    <w:rsid w:val="009411C8"/>
    <w:rsid w:val="00941904"/>
    <w:rsid w:val="00942434"/>
    <w:rsid w:val="009425E3"/>
    <w:rsid w:val="00942956"/>
    <w:rsid w:val="00942B62"/>
    <w:rsid w:val="0094331E"/>
    <w:rsid w:val="0094347F"/>
    <w:rsid w:val="00943874"/>
    <w:rsid w:val="009438AF"/>
    <w:rsid w:val="00943D8F"/>
    <w:rsid w:val="00944206"/>
    <w:rsid w:val="009442A6"/>
    <w:rsid w:val="0094435B"/>
    <w:rsid w:val="009444AB"/>
    <w:rsid w:val="009446AB"/>
    <w:rsid w:val="009457A6"/>
    <w:rsid w:val="0094649A"/>
    <w:rsid w:val="009464B2"/>
    <w:rsid w:val="0094679B"/>
    <w:rsid w:val="009467BD"/>
    <w:rsid w:val="00946804"/>
    <w:rsid w:val="009470AE"/>
    <w:rsid w:val="0094785A"/>
    <w:rsid w:val="00951698"/>
    <w:rsid w:val="009516A5"/>
    <w:rsid w:val="0095224F"/>
    <w:rsid w:val="00952AE2"/>
    <w:rsid w:val="00952DEB"/>
    <w:rsid w:val="00953BEE"/>
    <w:rsid w:val="00953CAE"/>
    <w:rsid w:val="009551D6"/>
    <w:rsid w:val="0095632A"/>
    <w:rsid w:val="00956474"/>
    <w:rsid w:val="00956D4D"/>
    <w:rsid w:val="00957865"/>
    <w:rsid w:val="00960017"/>
    <w:rsid w:val="00960C83"/>
    <w:rsid w:val="009611C9"/>
    <w:rsid w:val="009611EF"/>
    <w:rsid w:val="00961420"/>
    <w:rsid w:val="00961E30"/>
    <w:rsid w:val="00963451"/>
    <w:rsid w:val="00963B45"/>
    <w:rsid w:val="00964B27"/>
    <w:rsid w:val="00964B2B"/>
    <w:rsid w:val="00964DB5"/>
    <w:rsid w:val="009659D1"/>
    <w:rsid w:val="00965C3F"/>
    <w:rsid w:val="00966EAC"/>
    <w:rsid w:val="00966F35"/>
    <w:rsid w:val="00967224"/>
    <w:rsid w:val="00967372"/>
    <w:rsid w:val="009675DF"/>
    <w:rsid w:val="0097032B"/>
    <w:rsid w:val="00970587"/>
    <w:rsid w:val="0097095C"/>
    <w:rsid w:val="00970AE0"/>
    <w:rsid w:val="00970CF8"/>
    <w:rsid w:val="00970ECC"/>
    <w:rsid w:val="00970F52"/>
    <w:rsid w:val="00970FBA"/>
    <w:rsid w:val="009713FE"/>
    <w:rsid w:val="00971440"/>
    <w:rsid w:val="00971794"/>
    <w:rsid w:val="009717D5"/>
    <w:rsid w:val="00971878"/>
    <w:rsid w:val="009723EB"/>
    <w:rsid w:val="00972455"/>
    <w:rsid w:val="009727F0"/>
    <w:rsid w:val="00973064"/>
    <w:rsid w:val="00973304"/>
    <w:rsid w:val="00973AF8"/>
    <w:rsid w:val="009740BA"/>
    <w:rsid w:val="00974355"/>
    <w:rsid w:val="00974E45"/>
    <w:rsid w:val="00975490"/>
    <w:rsid w:val="00975646"/>
    <w:rsid w:val="0097638D"/>
    <w:rsid w:val="009764D8"/>
    <w:rsid w:val="00976775"/>
    <w:rsid w:val="00976AE3"/>
    <w:rsid w:val="00976D9F"/>
    <w:rsid w:val="00976FC2"/>
    <w:rsid w:val="00976FCA"/>
    <w:rsid w:val="00977069"/>
    <w:rsid w:val="009773B6"/>
    <w:rsid w:val="00977744"/>
    <w:rsid w:val="00977784"/>
    <w:rsid w:val="00977B6C"/>
    <w:rsid w:val="00977C0B"/>
    <w:rsid w:val="00980371"/>
    <w:rsid w:val="0098121E"/>
    <w:rsid w:val="009814A7"/>
    <w:rsid w:val="00981821"/>
    <w:rsid w:val="009818CC"/>
    <w:rsid w:val="00981D3F"/>
    <w:rsid w:val="00982B80"/>
    <w:rsid w:val="00982E85"/>
    <w:rsid w:val="00983501"/>
    <w:rsid w:val="009835A6"/>
    <w:rsid w:val="00983AF1"/>
    <w:rsid w:val="00983E2B"/>
    <w:rsid w:val="00983EC1"/>
    <w:rsid w:val="00984AA9"/>
    <w:rsid w:val="00984B04"/>
    <w:rsid w:val="00984D31"/>
    <w:rsid w:val="0098635E"/>
    <w:rsid w:val="00986EBF"/>
    <w:rsid w:val="00987515"/>
    <w:rsid w:val="009878BE"/>
    <w:rsid w:val="00987ACB"/>
    <w:rsid w:val="0099139E"/>
    <w:rsid w:val="009917AE"/>
    <w:rsid w:val="00991A78"/>
    <w:rsid w:val="00991B86"/>
    <w:rsid w:val="00991D89"/>
    <w:rsid w:val="0099243D"/>
    <w:rsid w:val="00992D0F"/>
    <w:rsid w:val="009930F9"/>
    <w:rsid w:val="00993456"/>
    <w:rsid w:val="0099379E"/>
    <w:rsid w:val="00993895"/>
    <w:rsid w:val="009942F5"/>
    <w:rsid w:val="009945F9"/>
    <w:rsid w:val="00994C28"/>
    <w:rsid w:val="00994FEE"/>
    <w:rsid w:val="00995514"/>
    <w:rsid w:val="009955AD"/>
    <w:rsid w:val="00995670"/>
    <w:rsid w:val="009957EF"/>
    <w:rsid w:val="0099597C"/>
    <w:rsid w:val="00995B3C"/>
    <w:rsid w:val="00996218"/>
    <w:rsid w:val="00996616"/>
    <w:rsid w:val="00996BAC"/>
    <w:rsid w:val="00996E0D"/>
    <w:rsid w:val="00997169"/>
    <w:rsid w:val="00997489"/>
    <w:rsid w:val="00997C34"/>
    <w:rsid w:val="009A0186"/>
    <w:rsid w:val="009A0B3E"/>
    <w:rsid w:val="009A0DF5"/>
    <w:rsid w:val="009A1FD8"/>
    <w:rsid w:val="009A238D"/>
    <w:rsid w:val="009A264A"/>
    <w:rsid w:val="009A266F"/>
    <w:rsid w:val="009A27B9"/>
    <w:rsid w:val="009A2BCE"/>
    <w:rsid w:val="009A2C18"/>
    <w:rsid w:val="009A2C2D"/>
    <w:rsid w:val="009A309A"/>
    <w:rsid w:val="009A3353"/>
    <w:rsid w:val="009A389A"/>
    <w:rsid w:val="009A3989"/>
    <w:rsid w:val="009A3AF1"/>
    <w:rsid w:val="009A3F65"/>
    <w:rsid w:val="009A4046"/>
    <w:rsid w:val="009A41DC"/>
    <w:rsid w:val="009A4757"/>
    <w:rsid w:val="009A4839"/>
    <w:rsid w:val="009A48C0"/>
    <w:rsid w:val="009A4C57"/>
    <w:rsid w:val="009A4D82"/>
    <w:rsid w:val="009A51C0"/>
    <w:rsid w:val="009A5290"/>
    <w:rsid w:val="009A5A74"/>
    <w:rsid w:val="009A672F"/>
    <w:rsid w:val="009A6B85"/>
    <w:rsid w:val="009A6FC7"/>
    <w:rsid w:val="009A6FC8"/>
    <w:rsid w:val="009A7B66"/>
    <w:rsid w:val="009A7B78"/>
    <w:rsid w:val="009A7D49"/>
    <w:rsid w:val="009A7FED"/>
    <w:rsid w:val="009B0180"/>
    <w:rsid w:val="009B01B7"/>
    <w:rsid w:val="009B05D7"/>
    <w:rsid w:val="009B0848"/>
    <w:rsid w:val="009B0E79"/>
    <w:rsid w:val="009B107A"/>
    <w:rsid w:val="009B10A0"/>
    <w:rsid w:val="009B15FD"/>
    <w:rsid w:val="009B1844"/>
    <w:rsid w:val="009B1CCF"/>
    <w:rsid w:val="009B2126"/>
    <w:rsid w:val="009B2877"/>
    <w:rsid w:val="009B29B4"/>
    <w:rsid w:val="009B3608"/>
    <w:rsid w:val="009B3696"/>
    <w:rsid w:val="009B38FB"/>
    <w:rsid w:val="009B399E"/>
    <w:rsid w:val="009B3B66"/>
    <w:rsid w:val="009B4B84"/>
    <w:rsid w:val="009B4C47"/>
    <w:rsid w:val="009B589A"/>
    <w:rsid w:val="009B5FA2"/>
    <w:rsid w:val="009B6351"/>
    <w:rsid w:val="009B6807"/>
    <w:rsid w:val="009B6B54"/>
    <w:rsid w:val="009B6E0B"/>
    <w:rsid w:val="009B746F"/>
    <w:rsid w:val="009B7597"/>
    <w:rsid w:val="009B7A57"/>
    <w:rsid w:val="009B7AE8"/>
    <w:rsid w:val="009C0369"/>
    <w:rsid w:val="009C0F9A"/>
    <w:rsid w:val="009C1AFF"/>
    <w:rsid w:val="009C2C88"/>
    <w:rsid w:val="009C2DD3"/>
    <w:rsid w:val="009C35A9"/>
    <w:rsid w:val="009C44E2"/>
    <w:rsid w:val="009C4CA9"/>
    <w:rsid w:val="009C4DB2"/>
    <w:rsid w:val="009C502A"/>
    <w:rsid w:val="009C51E3"/>
    <w:rsid w:val="009C53F0"/>
    <w:rsid w:val="009C5C93"/>
    <w:rsid w:val="009C5CFD"/>
    <w:rsid w:val="009C5EEC"/>
    <w:rsid w:val="009C667F"/>
    <w:rsid w:val="009C6EC9"/>
    <w:rsid w:val="009C7C7C"/>
    <w:rsid w:val="009D049B"/>
    <w:rsid w:val="009D06BA"/>
    <w:rsid w:val="009D0E37"/>
    <w:rsid w:val="009D1909"/>
    <w:rsid w:val="009D2396"/>
    <w:rsid w:val="009D35BA"/>
    <w:rsid w:val="009D3A8C"/>
    <w:rsid w:val="009D3B1E"/>
    <w:rsid w:val="009D3C9A"/>
    <w:rsid w:val="009D3FD3"/>
    <w:rsid w:val="009D4235"/>
    <w:rsid w:val="009D4238"/>
    <w:rsid w:val="009D45CF"/>
    <w:rsid w:val="009D45EF"/>
    <w:rsid w:val="009D4F42"/>
    <w:rsid w:val="009D56EF"/>
    <w:rsid w:val="009D5963"/>
    <w:rsid w:val="009D5C63"/>
    <w:rsid w:val="009D5DC1"/>
    <w:rsid w:val="009D60F1"/>
    <w:rsid w:val="009D6F07"/>
    <w:rsid w:val="009D77D1"/>
    <w:rsid w:val="009D7AEA"/>
    <w:rsid w:val="009E00CB"/>
    <w:rsid w:val="009E0ED7"/>
    <w:rsid w:val="009E116C"/>
    <w:rsid w:val="009E1768"/>
    <w:rsid w:val="009E1C56"/>
    <w:rsid w:val="009E2313"/>
    <w:rsid w:val="009E24A8"/>
    <w:rsid w:val="009E2FDC"/>
    <w:rsid w:val="009E30B7"/>
    <w:rsid w:val="009E342C"/>
    <w:rsid w:val="009E35DE"/>
    <w:rsid w:val="009E3933"/>
    <w:rsid w:val="009E3A6B"/>
    <w:rsid w:val="009E3F1E"/>
    <w:rsid w:val="009E4632"/>
    <w:rsid w:val="009E46A6"/>
    <w:rsid w:val="009E48E5"/>
    <w:rsid w:val="009E5A06"/>
    <w:rsid w:val="009E5D6F"/>
    <w:rsid w:val="009E6B95"/>
    <w:rsid w:val="009E785C"/>
    <w:rsid w:val="009E78DA"/>
    <w:rsid w:val="009F016F"/>
    <w:rsid w:val="009F0475"/>
    <w:rsid w:val="009F0795"/>
    <w:rsid w:val="009F0C17"/>
    <w:rsid w:val="009F0EA6"/>
    <w:rsid w:val="009F25D6"/>
    <w:rsid w:val="009F289A"/>
    <w:rsid w:val="009F2901"/>
    <w:rsid w:val="009F2C74"/>
    <w:rsid w:val="009F2FF1"/>
    <w:rsid w:val="009F31C6"/>
    <w:rsid w:val="009F3498"/>
    <w:rsid w:val="009F3998"/>
    <w:rsid w:val="009F3A60"/>
    <w:rsid w:val="009F406D"/>
    <w:rsid w:val="009F41A7"/>
    <w:rsid w:val="009F47B3"/>
    <w:rsid w:val="009F4E39"/>
    <w:rsid w:val="009F4E3E"/>
    <w:rsid w:val="009F50E3"/>
    <w:rsid w:val="009F55F6"/>
    <w:rsid w:val="009F6503"/>
    <w:rsid w:val="009F764A"/>
    <w:rsid w:val="00A00904"/>
    <w:rsid w:val="00A00BF9"/>
    <w:rsid w:val="00A00DD1"/>
    <w:rsid w:val="00A012B8"/>
    <w:rsid w:val="00A0134D"/>
    <w:rsid w:val="00A01722"/>
    <w:rsid w:val="00A01D68"/>
    <w:rsid w:val="00A01DE2"/>
    <w:rsid w:val="00A01E41"/>
    <w:rsid w:val="00A01EEB"/>
    <w:rsid w:val="00A02B84"/>
    <w:rsid w:val="00A02FA6"/>
    <w:rsid w:val="00A030B5"/>
    <w:rsid w:val="00A0310D"/>
    <w:rsid w:val="00A0338E"/>
    <w:rsid w:val="00A039CB"/>
    <w:rsid w:val="00A03BF3"/>
    <w:rsid w:val="00A03D79"/>
    <w:rsid w:val="00A048A6"/>
    <w:rsid w:val="00A04CA2"/>
    <w:rsid w:val="00A051A5"/>
    <w:rsid w:val="00A054AA"/>
    <w:rsid w:val="00A05DF6"/>
    <w:rsid w:val="00A0672A"/>
    <w:rsid w:val="00A06AC4"/>
    <w:rsid w:val="00A06C8D"/>
    <w:rsid w:val="00A070BE"/>
    <w:rsid w:val="00A0784F"/>
    <w:rsid w:val="00A07B1C"/>
    <w:rsid w:val="00A10141"/>
    <w:rsid w:val="00A10497"/>
    <w:rsid w:val="00A10A1E"/>
    <w:rsid w:val="00A10A63"/>
    <w:rsid w:val="00A11091"/>
    <w:rsid w:val="00A110BF"/>
    <w:rsid w:val="00A113CD"/>
    <w:rsid w:val="00A11418"/>
    <w:rsid w:val="00A11D06"/>
    <w:rsid w:val="00A12128"/>
    <w:rsid w:val="00A122F8"/>
    <w:rsid w:val="00A12500"/>
    <w:rsid w:val="00A12EFD"/>
    <w:rsid w:val="00A1348F"/>
    <w:rsid w:val="00A1363C"/>
    <w:rsid w:val="00A13D3A"/>
    <w:rsid w:val="00A14C97"/>
    <w:rsid w:val="00A14CD5"/>
    <w:rsid w:val="00A14D8A"/>
    <w:rsid w:val="00A15703"/>
    <w:rsid w:val="00A15806"/>
    <w:rsid w:val="00A159BD"/>
    <w:rsid w:val="00A15A04"/>
    <w:rsid w:val="00A1616A"/>
    <w:rsid w:val="00A1674F"/>
    <w:rsid w:val="00A167EB"/>
    <w:rsid w:val="00A1690E"/>
    <w:rsid w:val="00A16BAA"/>
    <w:rsid w:val="00A17799"/>
    <w:rsid w:val="00A17821"/>
    <w:rsid w:val="00A17E18"/>
    <w:rsid w:val="00A2030E"/>
    <w:rsid w:val="00A20356"/>
    <w:rsid w:val="00A205A3"/>
    <w:rsid w:val="00A2195F"/>
    <w:rsid w:val="00A21B30"/>
    <w:rsid w:val="00A21D54"/>
    <w:rsid w:val="00A224F2"/>
    <w:rsid w:val="00A225C3"/>
    <w:rsid w:val="00A226BD"/>
    <w:rsid w:val="00A22926"/>
    <w:rsid w:val="00A22E93"/>
    <w:rsid w:val="00A22F30"/>
    <w:rsid w:val="00A236CB"/>
    <w:rsid w:val="00A24396"/>
    <w:rsid w:val="00A2484F"/>
    <w:rsid w:val="00A25140"/>
    <w:rsid w:val="00A25467"/>
    <w:rsid w:val="00A2568B"/>
    <w:rsid w:val="00A25AD4"/>
    <w:rsid w:val="00A2648B"/>
    <w:rsid w:val="00A2688B"/>
    <w:rsid w:val="00A27A9F"/>
    <w:rsid w:val="00A27FF3"/>
    <w:rsid w:val="00A30A73"/>
    <w:rsid w:val="00A30C2A"/>
    <w:rsid w:val="00A31027"/>
    <w:rsid w:val="00A31268"/>
    <w:rsid w:val="00A31781"/>
    <w:rsid w:val="00A317F5"/>
    <w:rsid w:val="00A318E4"/>
    <w:rsid w:val="00A32229"/>
    <w:rsid w:val="00A32A2F"/>
    <w:rsid w:val="00A32AC1"/>
    <w:rsid w:val="00A32C0C"/>
    <w:rsid w:val="00A32C86"/>
    <w:rsid w:val="00A32F4B"/>
    <w:rsid w:val="00A3326C"/>
    <w:rsid w:val="00A33481"/>
    <w:rsid w:val="00A3378C"/>
    <w:rsid w:val="00A3381E"/>
    <w:rsid w:val="00A33ED1"/>
    <w:rsid w:val="00A33FD1"/>
    <w:rsid w:val="00A342F8"/>
    <w:rsid w:val="00A34479"/>
    <w:rsid w:val="00A34694"/>
    <w:rsid w:val="00A346ED"/>
    <w:rsid w:val="00A34DFE"/>
    <w:rsid w:val="00A34F2D"/>
    <w:rsid w:val="00A35A0E"/>
    <w:rsid w:val="00A35A11"/>
    <w:rsid w:val="00A35AD6"/>
    <w:rsid w:val="00A35B04"/>
    <w:rsid w:val="00A35D62"/>
    <w:rsid w:val="00A35DBC"/>
    <w:rsid w:val="00A35F71"/>
    <w:rsid w:val="00A3618A"/>
    <w:rsid w:val="00A36DA6"/>
    <w:rsid w:val="00A36FD6"/>
    <w:rsid w:val="00A37A98"/>
    <w:rsid w:val="00A4077F"/>
    <w:rsid w:val="00A40DE3"/>
    <w:rsid w:val="00A40DE5"/>
    <w:rsid w:val="00A41250"/>
    <w:rsid w:val="00A41271"/>
    <w:rsid w:val="00A41319"/>
    <w:rsid w:val="00A416C0"/>
    <w:rsid w:val="00A4170A"/>
    <w:rsid w:val="00A41826"/>
    <w:rsid w:val="00A41FF5"/>
    <w:rsid w:val="00A4215F"/>
    <w:rsid w:val="00A423A4"/>
    <w:rsid w:val="00A428B1"/>
    <w:rsid w:val="00A42923"/>
    <w:rsid w:val="00A43029"/>
    <w:rsid w:val="00A43E2D"/>
    <w:rsid w:val="00A44024"/>
    <w:rsid w:val="00A44783"/>
    <w:rsid w:val="00A449D8"/>
    <w:rsid w:val="00A450C2"/>
    <w:rsid w:val="00A45484"/>
    <w:rsid w:val="00A457C5"/>
    <w:rsid w:val="00A45D0F"/>
    <w:rsid w:val="00A467A2"/>
    <w:rsid w:val="00A46AF2"/>
    <w:rsid w:val="00A46FBC"/>
    <w:rsid w:val="00A46FFE"/>
    <w:rsid w:val="00A473ED"/>
    <w:rsid w:val="00A47583"/>
    <w:rsid w:val="00A47951"/>
    <w:rsid w:val="00A47CD3"/>
    <w:rsid w:val="00A5022C"/>
    <w:rsid w:val="00A50B23"/>
    <w:rsid w:val="00A50C89"/>
    <w:rsid w:val="00A51101"/>
    <w:rsid w:val="00A5124B"/>
    <w:rsid w:val="00A515C2"/>
    <w:rsid w:val="00A51946"/>
    <w:rsid w:val="00A51CE7"/>
    <w:rsid w:val="00A529D4"/>
    <w:rsid w:val="00A52C1F"/>
    <w:rsid w:val="00A53747"/>
    <w:rsid w:val="00A54069"/>
    <w:rsid w:val="00A54BE6"/>
    <w:rsid w:val="00A55EBA"/>
    <w:rsid w:val="00A560E3"/>
    <w:rsid w:val="00A56342"/>
    <w:rsid w:val="00A56745"/>
    <w:rsid w:val="00A56852"/>
    <w:rsid w:val="00A5736A"/>
    <w:rsid w:val="00A61002"/>
    <w:rsid w:val="00A61017"/>
    <w:rsid w:val="00A61DA8"/>
    <w:rsid w:val="00A61F42"/>
    <w:rsid w:val="00A620B5"/>
    <w:rsid w:val="00A6265D"/>
    <w:rsid w:val="00A627C3"/>
    <w:rsid w:val="00A62D6B"/>
    <w:rsid w:val="00A62F7D"/>
    <w:rsid w:val="00A63BFA"/>
    <w:rsid w:val="00A6402D"/>
    <w:rsid w:val="00A6440C"/>
    <w:rsid w:val="00A65052"/>
    <w:rsid w:val="00A659C2"/>
    <w:rsid w:val="00A65C35"/>
    <w:rsid w:val="00A661C5"/>
    <w:rsid w:val="00A66469"/>
    <w:rsid w:val="00A664C7"/>
    <w:rsid w:val="00A66BEC"/>
    <w:rsid w:val="00A67212"/>
    <w:rsid w:val="00A672CC"/>
    <w:rsid w:val="00A675CE"/>
    <w:rsid w:val="00A67CCD"/>
    <w:rsid w:val="00A67D69"/>
    <w:rsid w:val="00A70173"/>
    <w:rsid w:val="00A70457"/>
    <w:rsid w:val="00A70B2C"/>
    <w:rsid w:val="00A70D6C"/>
    <w:rsid w:val="00A70F1D"/>
    <w:rsid w:val="00A71096"/>
    <w:rsid w:val="00A71327"/>
    <w:rsid w:val="00A71E3E"/>
    <w:rsid w:val="00A720BF"/>
    <w:rsid w:val="00A7215A"/>
    <w:rsid w:val="00A72608"/>
    <w:rsid w:val="00A72A20"/>
    <w:rsid w:val="00A731D5"/>
    <w:rsid w:val="00A73A96"/>
    <w:rsid w:val="00A74542"/>
    <w:rsid w:val="00A75CFD"/>
    <w:rsid w:val="00A76087"/>
    <w:rsid w:val="00A765C2"/>
    <w:rsid w:val="00A768D7"/>
    <w:rsid w:val="00A769EC"/>
    <w:rsid w:val="00A771AD"/>
    <w:rsid w:val="00A772B3"/>
    <w:rsid w:val="00A77BD6"/>
    <w:rsid w:val="00A77CE3"/>
    <w:rsid w:val="00A80B9E"/>
    <w:rsid w:val="00A80C16"/>
    <w:rsid w:val="00A8105A"/>
    <w:rsid w:val="00A813AD"/>
    <w:rsid w:val="00A8164E"/>
    <w:rsid w:val="00A8192B"/>
    <w:rsid w:val="00A81B1E"/>
    <w:rsid w:val="00A82024"/>
    <w:rsid w:val="00A82B3D"/>
    <w:rsid w:val="00A834B9"/>
    <w:rsid w:val="00A8350C"/>
    <w:rsid w:val="00A83972"/>
    <w:rsid w:val="00A83E1E"/>
    <w:rsid w:val="00A84136"/>
    <w:rsid w:val="00A842E2"/>
    <w:rsid w:val="00A84715"/>
    <w:rsid w:val="00A84933"/>
    <w:rsid w:val="00A84DF7"/>
    <w:rsid w:val="00A858BC"/>
    <w:rsid w:val="00A85EF8"/>
    <w:rsid w:val="00A87497"/>
    <w:rsid w:val="00A87657"/>
    <w:rsid w:val="00A877F4"/>
    <w:rsid w:val="00A904C6"/>
    <w:rsid w:val="00A90520"/>
    <w:rsid w:val="00A9108D"/>
    <w:rsid w:val="00A910DD"/>
    <w:rsid w:val="00A91CC8"/>
    <w:rsid w:val="00A9204C"/>
    <w:rsid w:val="00A92869"/>
    <w:rsid w:val="00A92B16"/>
    <w:rsid w:val="00A93415"/>
    <w:rsid w:val="00A94007"/>
    <w:rsid w:val="00A94094"/>
    <w:rsid w:val="00A940DA"/>
    <w:rsid w:val="00A94B6F"/>
    <w:rsid w:val="00A94D4D"/>
    <w:rsid w:val="00A95A9A"/>
    <w:rsid w:val="00A95E60"/>
    <w:rsid w:val="00A963BE"/>
    <w:rsid w:val="00A96A2A"/>
    <w:rsid w:val="00A9795B"/>
    <w:rsid w:val="00A97D33"/>
    <w:rsid w:val="00AA1BA5"/>
    <w:rsid w:val="00AA233F"/>
    <w:rsid w:val="00AA23D9"/>
    <w:rsid w:val="00AA2E70"/>
    <w:rsid w:val="00AA2EFD"/>
    <w:rsid w:val="00AA3030"/>
    <w:rsid w:val="00AA3736"/>
    <w:rsid w:val="00AA37C4"/>
    <w:rsid w:val="00AA4B23"/>
    <w:rsid w:val="00AA5222"/>
    <w:rsid w:val="00AA53BF"/>
    <w:rsid w:val="00AA55A0"/>
    <w:rsid w:val="00AA5B8F"/>
    <w:rsid w:val="00AA5ECA"/>
    <w:rsid w:val="00AA6659"/>
    <w:rsid w:val="00AA6CA5"/>
    <w:rsid w:val="00AA6D83"/>
    <w:rsid w:val="00AA6DED"/>
    <w:rsid w:val="00AA714E"/>
    <w:rsid w:val="00AA72CE"/>
    <w:rsid w:val="00AA7863"/>
    <w:rsid w:val="00AA795E"/>
    <w:rsid w:val="00AB0077"/>
    <w:rsid w:val="00AB0454"/>
    <w:rsid w:val="00AB05B3"/>
    <w:rsid w:val="00AB0EFA"/>
    <w:rsid w:val="00AB15DC"/>
    <w:rsid w:val="00AB19C9"/>
    <w:rsid w:val="00AB23D1"/>
    <w:rsid w:val="00AB2702"/>
    <w:rsid w:val="00AB2CB8"/>
    <w:rsid w:val="00AB3C0E"/>
    <w:rsid w:val="00AB3DEF"/>
    <w:rsid w:val="00AB42F8"/>
    <w:rsid w:val="00AB44BC"/>
    <w:rsid w:val="00AB44C7"/>
    <w:rsid w:val="00AB4C93"/>
    <w:rsid w:val="00AB4D8D"/>
    <w:rsid w:val="00AB5A13"/>
    <w:rsid w:val="00AB5D48"/>
    <w:rsid w:val="00AB5D4E"/>
    <w:rsid w:val="00AB5F10"/>
    <w:rsid w:val="00AB77EC"/>
    <w:rsid w:val="00AB7A1F"/>
    <w:rsid w:val="00AB7B91"/>
    <w:rsid w:val="00AB7BF2"/>
    <w:rsid w:val="00AB7FF3"/>
    <w:rsid w:val="00AC022A"/>
    <w:rsid w:val="00AC0EE5"/>
    <w:rsid w:val="00AC0F2E"/>
    <w:rsid w:val="00AC18BB"/>
    <w:rsid w:val="00AC19AC"/>
    <w:rsid w:val="00AC23D7"/>
    <w:rsid w:val="00AC2555"/>
    <w:rsid w:val="00AC2B9C"/>
    <w:rsid w:val="00AC2D2A"/>
    <w:rsid w:val="00AC31A5"/>
    <w:rsid w:val="00AC3643"/>
    <w:rsid w:val="00AC3C7E"/>
    <w:rsid w:val="00AC54A7"/>
    <w:rsid w:val="00AC65BE"/>
    <w:rsid w:val="00AC6A3D"/>
    <w:rsid w:val="00AD03C5"/>
    <w:rsid w:val="00AD04A7"/>
    <w:rsid w:val="00AD0A0E"/>
    <w:rsid w:val="00AD0AAA"/>
    <w:rsid w:val="00AD10F9"/>
    <w:rsid w:val="00AD1AA8"/>
    <w:rsid w:val="00AD1D3A"/>
    <w:rsid w:val="00AD1E34"/>
    <w:rsid w:val="00AD2621"/>
    <w:rsid w:val="00AD2866"/>
    <w:rsid w:val="00AD301C"/>
    <w:rsid w:val="00AD3244"/>
    <w:rsid w:val="00AD3CEB"/>
    <w:rsid w:val="00AD3FA5"/>
    <w:rsid w:val="00AD497D"/>
    <w:rsid w:val="00AD4B51"/>
    <w:rsid w:val="00AD4CF7"/>
    <w:rsid w:val="00AD4DB1"/>
    <w:rsid w:val="00AD51C5"/>
    <w:rsid w:val="00AD52D2"/>
    <w:rsid w:val="00AD5CD6"/>
    <w:rsid w:val="00AD5CEB"/>
    <w:rsid w:val="00AD5DC9"/>
    <w:rsid w:val="00AD5F51"/>
    <w:rsid w:val="00AD6F59"/>
    <w:rsid w:val="00AD71D6"/>
    <w:rsid w:val="00AD729B"/>
    <w:rsid w:val="00AD7395"/>
    <w:rsid w:val="00AD7FDC"/>
    <w:rsid w:val="00AE073D"/>
    <w:rsid w:val="00AE11CC"/>
    <w:rsid w:val="00AE1730"/>
    <w:rsid w:val="00AE1AD0"/>
    <w:rsid w:val="00AE2491"/>
    <w:rsid w:val="00AE24F7"/>
    <w:rsid w:val="00AE25DD"/>
    <w:rsid w:val="00AE2AE9"/>
    <w:rsid w:val="00AE2E41"/>
    <w:rsid w:val="00AE3A9A"/>
    <w:rsid w:val="00AE3E43"/>
    <w:rsid w:val="00AE3FAC"/>
    <w:rsid w:val="00AE4075"/>
    <w:rsid w:val="00AE45A0"/>
    <w:rsid w:val="00AE48CA"/>
    <w:rsid w:val="00AE4D73"/>
    <w:rsid w:val="00AE56A4"/>
    <w:rsid w:val="00AE60F0"/>
    <w:rsid w:val="00AE681F"/>
    <w:rsid w:val="00AE6B81"/>
    <w:rsid w:val="00AE6D15"/>
    <w:rsid w:val="00AE73C7"/>
    <w:rsid w:val="00AE7427"/>
    <w:rsid w:val="00AE79BD"/>
    <w:rsid w:val="00AF0331"/>
    <w:rsid w:val="00AF0BF7"/>
    <w:rsid w:val="00AF1D16"/>
    <w:rsid w:val="00AF26B5"/>
    <w:rsid w:val="00AF4ECF"/>
    <w:rsid w:val="00AF5A24"/>
    <w:rsid w:val="00AF5A69"/>
    <w:rsid w:val="00AF5AB1"/>
    <w:rsid w:val="00AF5AF6"/>
    <w:rsid w:val="00AF5E52"/>
    <w:rsid w:val="00AF6010"/>
    <w:rsid w:val="00AF61F5"/>
    <w:rsid w:val="00AF64DE"/>
    <w:rsid w:val="00AF6694"/>
    <w:rsid w:val="00AF6A92"/>
    <w:rsid w:val="00AF71D8"/>
    <w:rsid w:val="00AF75F9"/>
    <w:rsid w:val="00AF7F3B"/>
    <w:rsid w:val="00B00227"/>
    <w:rsid w:val="00B00476"/>
    <w:rsid w:val="00B0050C"/>
    <w:rsid w:val="00B01508"/>
    <w:rsid w:val="00B01BA0"/>
    <w:rsid w:val="00B029C9"/>
    <w:rsid w:val="00B0343A"/>
    <w:rsid w:val="00B03616"/>
    <w:rsid w:val="00B03F87"/>
    <w:rsid w:val="00B05083"/>
    <w:rsid w:val="00B05287"/>
    <w:rsid w:val="00B052F7"/>
    <w:rsid w:val="00B05E9C"/>
    <w:rsid w:val="00B0632F"/>
    <w:rsid w:val="00B0697C"/>
    <w:rsid w:val="00B0750A"/>
    <w:rsid w:val="00B07CDA"/>
    <w:rsid w:val="00B1050C"/>
    <w:rsid w:val="00B1069D"/>
    <w:rsid w:val="00B10E0D"/>
    <w:rsid w:val="00B10E9B"/>
    <w:rsid w:val="00B1113A"/>
    <w:rsid w:val="00B1128F"/>
    <w:rsid w:val="00B112E4"/>
    <w:rsid w:val="00B11451"/>
    <w:rsid w:val="00B11B16"/>
    <w:rsid w:val="00B11B99"/>
    <w:rsid w:val="00B129EB"/>
    <w:rsid w:val="00B12AB7"/>
    <w:rsid w:val="00B12F96"/>
    <w:rsid w:val="00B1313A"/>
    <w:rsid w:val="00B131CD"/>
    <w:rsid w:val="00B138C6"/>
    <w:rsid w:val="00B13F0D"/>
    <w:rsid w:val="00B14EE0"/>
    <w:rsid w:val="00B14F92"/>
    <w:rsid w:val="00B1564B"/>
    <w:rsid w:val="00B1570C"/>
    <w:rsid w:val="00B15C42"/>
    <w:rsid w:val="00B15DAC"/>
    <w:rsid w:val="00B16094"/>
    <w:rsid w:val="00B16996"/>
    <w:rsid w:val="00B17039"/>
    <w:rsid w:val="00B171E4"/>
    <w:rsid w:val="00B1721A"/>
    <w:rsid w:val="00B17822"/>
    <w:rsid w:val="00B17961"/>
    <w:rsid w:val="00B200FE"/>
    <w:rsid w:val="00B20496"/>
    <w:rsid w:val="00B209CE"/>
    <w:rsid w:val="00B20DFA"/>
    <w:rsid w:val="00B2131D"/>
    <w:rsid w:val="00B2187A"/>
    <w:rsid w:val="00B21974"/>
    <w:rsid w:val="00B224BC"/>
    <w:rsid w:val="00B22747"/>
    <w:rsid w:val="00B23048"/>
    <w:rsid w:val="00B230EC"/>
    <w:rsid w:val="00B239FC"/>
    <w:rsid w:val="00B2440E"/>
    <w:rsid w:val="00B24987"/>
    <w:rsid w:val="00B24A28"/>
    <w:rsid w:val="00B253DE"/>
    <w:rsid w:val="00B253FE"/>
    <w:rsid w:val="00B2570A"/>
    <w:rsid w:val="00B259B8"/>
    <w:rsid w:val="00B26224"/>
    <w:rsid w:val="00B263BB"/>
    <w:rsid w:val="00B26BAD"/>
    <w:rsid w:val="00B2724C"/>
    <w:rsid w:val="00B27317"/>
    <w:rsid w:val="00B27B2D"/>
    <w:rsid w:val="00B27DA5"/>
    <w:rsid w:val="00B30E86"/>
    <w:rsid w:val="00B31221"/>
    <w:rsid w:val="00B313B3"/>
    <w:rsid w:val="00B31BAA"/>
    <w:rsid w:val="00B32226"/>
    <w:rsid w:val="00B32968"/>
    <w:rsid w:val="00B32A9A"/>
    <w:rsid w:val="00B3390C"/>
    <w:rsid w:val="00B3397D"/>
    <w:rsid w:val="00B33C16"/>
    <w:rsid w:val="00B33D5D"/>
    <w:rsid w:val="00B349B5"/>
    <w:rsid w:val="00B358C7"/>
    <w:rsid w:val="00B374CC"/>
    <w:rsid w:val="00B37A51"/>
    <w:rsid w:val="00B37C59"/>
    <w:rsid w:val="00B4054C"/>
    <w:rsid w:val="00B414C8"/>
    <w:rsid w:val="00B41C71"/>
    <w:rsid w:val="00B41DFE"/>
    <w:rsid w:val="00B41E13"/>
    <w:rsid w:val="00B42073"/>
    <w:rsid w:val="00B42561"/>
    <w:rsid w:val="00B4261D"/>
    <w:rsid w:val="00B43672"/>
    <w:rsid w:val="00B44211"/>
    <w:rsid w:val="00B44A72"/>
    <w:rsid w:val="00B44C94"/>
    <w:rsid w:val="00B4512D"/>
    <w:rsid w:val="00B456FB"/>
    <w:rsid w:val="00B45959"/>
    <w:rsid w:val="00B459F4"/>
    <w:rsid w:val="00B45B96"/>
    <w:rsid w:val="00B45F40"/>
    <w:rsid w:val="00B4640E"/>
    <w:rsid w:val="00B467FF"/>
    <w:rsid w:val="00B46898"/>
    <w:rsid w:val="00B46B34"/>
    <w:rsid w:val="00B46C44"/>
    <w:rsid w:val="00B47638"/>
    <w:rsid w:val="00B47A8A"/>
    <w:rsid w:val="00B5010A"/>
    <w:rsid w:val="00B506D3"/>
    <w:rsid w:val="00B5077A"/>
    <w:rsid w:val="00B50914"/>
    <w:rsid w:val="00B50AA9"/>
    <w:rsid w:val="00B50E4B"/>
    <w:rsid w:val="00B514CF"/>
    <w:rsid w:val="00B5172E"/>
    <w:rsid w:val="00B524EC"/>
    <w:rsid w:val="00B52BB4"/>
    <w:rsid w:val="00B52C46"/>
    <w:rsid w:val="00B533BB"/>
    <w:rsid w:val="00B533C6"/>
    <w:rsid w:val="00B534DD"/>
    <w:rsid w:val="00B53572"/>
    <w:rsid w:val="00B539C3"/>
    <w:rsid w:val="00B539FF"/>
    <w:rsid w:val="00B53E4E"/>
    <w:rsid w:val="00B53F52"/>
    <w:rsid w:val="00B548CA"/>
    <w:rsid w:val="00B55689"/>
    <w:rsid w:val="00B56313"/>
    <w:rsid w:val="00B56457"/>
    <w:rsid w:val="00B56A98"/>
    <w:rsid w:val="00B603F9"/>
    <w:rsid w:val="00B61017"/>
    <w:rsid w:val="00B61195"/>
    <w:rsid w:val="00B61529"/>
    <w:rsid w:val="00B62583"/>
    <w:rsid w:val="00B62D61"/>
    <w:rsid w:val="00B63160"/>
    <w:rsid w:val="00B6359B"/>
    <w:rsid w:val="00B635F0"/>
    <w:rsid w:val="00B63C68"/>
    <w:rsid w:val="00B646CA"/>
    <w:rsid w:val="00B64E88"/>
    <w:rsid w:val="00B652DC"/>
    <w:rsid w:val="00B66654"/>
    <w:rsid w:val="00B67D6D"/>
    <w:rsid w:val="00B70003"/>
    <w:rsid w:val="00B701FE"/>
    <w:rsid w:val="00B702B5"/>
    <w:rsid w:val="00B711D6"/>
    <w:rsid w:val="00B71D2E"/>
    <w:rsid w:val="00B722AE"/>
    <w:rsid w:val="00B724CC"/>
    <w:rsid w:val="00B7281B"/>
    <w:rsid w:val="00B72A5A"/>
    <w:rsid w:val="00B72FB6"/>
    <w:rsid w:val="00B7342E"/>
    <w:rsid w:val="00B73C46"/>
    <w:rsid w:val="00B741AA"/>
    <w:rsid w:val="00B75145"/>
    <w:rsid w:val="00B7563D"/>
    <w:rsid w:val="00B75795"/>
    <w:rsid w:val="00B758DE"/>
    <w:rsid w:val="00B75995"/>
    <w:rsid w:val="00B75EC1"/>
    <w:rsid w:val="00B75F3A"/>
    <w:rsid w:val="00B76CA3"/>
    <w:rsid w:val="00B773CF"/>
    <w:rsid w:val="00B7789F"/>
    <w:rsid w:val="00B77AF4"/>
    <w:rsid w:val="00B8070B"/>
    <w:rsid w:val="00B809FE"/>
    <w:rsid w:val="00B81081"/>
    <w:rsid w:val="00B812F6"/>
    <w:rsid w:val="00B8131F"/>
    <w:rsid w:val="00B81C43"/>
    <w:rsid w:val="00B81EBD"/>
    <w:rsid w:val="00B824D2"/>
    <w:rsid w:val="00B829D3"/>
    <w:rsid w:val="00B83060"/>
    <w:rsid w:val="00B832D2"/>
    <w:rsid w:val="00B8349A"/>
    <w:rsid w:val="00B838BC"/>
    <w:rsid w:val="00B8397F"/>
    <w:rsid w:val="00B83A6F"/>
    <w:rsid w:val="00B83E42"/>
    <w:rsid w:val="00B842B5"/>
    <w:rsid w:val="00B842CC"/>
    <w:rsid w:val="00B848E3"/>
    <w:rsid w:val="00B84ED2"/>
    <w:rsid w:val="00B84EF1"/>
    <w:rsid w:val="00B84F3A"/>
    <w:rsid w:val="00B85B78"/>
    <w:rsid w:val="00B8655C"/>
    <w:rsid w:val="00B865D9"/>
    <w:rsid w:val="00B86734"/>
    <w:rsid w:val="00B86E49"/>
    <w:rsid w:val="00B87134"/>
    <w:rsid w:val="00B874D3"/>
    <w:rsid w:val="00B879DB"/>
    <w:rsid w:val="00B90115"/>
    <w:rsid w:val="00B9056E"/>
    <w:rsid w:val="00B908C1"/>
    <w:rsid w:val="00B90A72"/>
    <w:rsid w:val="00B90B97"/>
    <w:rsid w:val="00B911BB"/>
    <w:rsid w:val="00B91B85"/>
    <w:rsid w:val="00B92166"/>
    <w:rsid w:val="00B92216"/>
    <w:rsid w:val="00B924C7"/>
    <w:rsid w:val="00B92CAA"/>
    <w:rsid w:val="00B92D67"/>
    <w:rsid w:val="00B93051"/>
    <w:rsid w:val="00B9363E"/>
    <w:rsid w:val="00B93C92"/>
    <w:rsid w:val="00B94062"/>
    <w:rsid w:val="00B94508"/>
    <w:rsid w:val="00B95905"/>
    <w:rsid w:val="00B96019"/>
    <w:rsid w:val="00B96BFC"/>
    <w:rsid w:val="00B97205"/>
    <w:rsid w:val="00B972B4"/>
    <w:rsid w:val="00B97DA5"/>
    <w:rsid w:val="00BA0D4C"/>
    <w:rsid w:val="00BA0D87"/>
    <w:rsid w:val="00BA0DA7"/>
    <w:rsid w:val="00BA16B3"/>
    <w:rsid w:val="00BA20DE"/>
    <w:rsid w:val="00BA4247"/>
    <w:rsid w:val="00BA4DBC"/>
    <w:rsid w:val="00BA51E8"/>
    <w:rsid w:val="00BA58FF"/>
    <w:rsid w:val="00BA5983"/>
    <w:rsid w:val="00BA5DD1"/>
    <w:rsid w:val="00BA6613"/>
    <w:rsid w:val="00BA6FE6"/>
    <w:rsid w:val="00BA7343"/>
    <w:rsid w:val="00BA788F"/>
    <w:rsid w:val="00BA7F3D"/>
    <w:rsid w:val="00BA7F75"/>
    <w:rsid w:val="00BB043F"/>
    <w:rsid w:val="00BB0623"/>
    <w:rsid w:val="00BB0EC9"/>
    <w:rsid w:val="00BB0F3D"/>
    <w:rsid w:val="00BB1275"/>
    <w:rsid w:val="00BB1395"/>
    <w:rsid w:val="00BB14E4"/>
    <w:rsid w:val="00BB196D"/>
    <w:rsid w:val="00BB1A9D"/>
    <w:rsid w:val="00BB1AF2"/>
    <w:rsid w:val="00BB1EF7"/>
    <w:rsid w:val="00BB23AC"/>
    <w:rsid w:val="00BB27FE"/>
    <w:rsid w:val="00BB28F4"/>
    <w:rsid w:val="00BB29F5"/>
    <w:rsid w:val="00BB2A29"/>
    <w:rsid w:val="00BB2DE0"/>
    <w:rsid w:val="00BB33D9"/>
    <w:rsid w:val="00BB3628"/>
    <w:rsid w:val="00BB3B7D"/>
    <w:rsid w:val="00BB4099"/>
    <w:rsid w:val="00BB47CC"/>
    <w:rsid w:val="00BB4B8D"/>
    <w:rsid w:val="00BB4C77"/>
    <w:rsid w:val="00BB4F0F"/>
    <w:rsid w:val="00BB549F"/>
    <w:rsid w:val="00BB562F"/>
    <w:rsid w:val="00BB69E4"/>
    <w:rsid w:val="00BB6B4E"/>
    <w:rsid w:val="00BB6D55"/>
    <w:rsid w:val="00BB6F6A"/>
    <w:rsid w:val="00BB7230"/>
    <w:rsid w:val="00BB73D9"/>
    <w:rsid w:val="00BB7714"/>
    <w:rsid w:val="00BB7928"/>
    <w:rsid w:val="00BB7D2F"/>
    <w:rsid w:val="00BC059C"/>
    <w:rsid w:val="00BC0B5B"/>
    <w:rsid w:val="00BC0BD3"/>
    <w:rsid w:val="00BC0F75"/>
    <w:rsid w:val="00BC2034"/>
    <w:rsid w:val="00BC2640"/>
    <w:rsid w:val="00BC29A2"/>
    <w:rsid w:val="00BC3318"/>
    <w:rsid w:val="00BC3BCA"/>
    <w:rsid w:val="00BC3C6E"/>
    <w:rsid w:val="00BC45D1"/>
    <w:rsid w:val="00BC4D34"/>
    <w:rsid w:val="00BC4E51"/>
    <w:rsid w:val="00BC5321"/>
    <w:rsid w:val="00BC5522"/>
    <w:rsid w:val="00BC573A"/>
    <w:rsid w:val="00BC5F09"/>
    <w:rsid w:val="00BC6F70"/>
    <w:rsid w:val="00BC735C"/>
    <w:rsid w:val="00BC7371"/>
    <w:rsid w:val="00BC7BB3"/>
    <w:rsid w:val="00BC7E77"/>
    <w:rsid w:val="00BD09D9"/>
    <w:rsid w:val="00BD0D4A"/>
    <w:rsid w:val="00BD0F35"/>
    <w:rsid w:val="00BD0FEE"/>
    <w:rsid w:val="00BD1871"/>
    <w:rsid w:val="00BD19C5"/>
    <w:rsid w:val="00BD1B90"/>
    <w:rsid w:val="00BD2442"/>
    <w:rsid w:val="00BD31E2"/>
    <w:rsid w:val="00BD35B8"/>
    <w:rsid w:val="00BD39FC"/>
    <w:rsid w:val="00BD3A4B"/>
    <w:rsid w:val="00BD41E0"/>
    <w:rsid w:val="00BD42BA"/>
    <w:rsid w:val="00BD4926"/>
    <w:rsid w:val="00BD49D5"/>
    <w:rsid w:val="00BD53FC"/>
    <w:rsid w:val="00BD5B7A"/>
    <w:rsid w:val="00BD5E7C"/>
    <w:rsid w:val="00BD5FB3"/>
    <w:rsid w:val="00BD602A"/>
    <w:rsid w:val="00BD6528"/>
    <w:rsid w:val="00BD6A84"/>
    <w:rsid w:val="00BD6AA6"/>
    <w:rsid w:val="00BD6DC2"/>
    <w:rsid w:val="00BD729B"/>
    <w:rsid w:val="00BD79E2"/>
    <w:rsid w:val="00BD7A7D"/>
    <w:rsid w:val="00BE00B8"/>
    <w:rsid w:val="00BE02A9"/>
    <w:rsid w:val="00BE03DF"/>
    <w:rsid w:val="00BE106C"/>
    <w:rsid w:val="00BE1322"/>
    <w:rsid w:val="00BE1616"/>
    <w:rsid w:val="00BE1772"/>
    <w:rsid w:val="00BE1785"/>
    <w:rsid w:val="00BE1B6D"/>
    <w:rsid w:val="00BE1F0F"/>
    <w:rsid w:val="00BE22D8"/>
    <w:rsid w:val="00BE253F"/>
    <w:rsid w:val="00BE2643"/>
    <w:rsid w:val="00BE2852"/>
    <w:rsid w:val="00BE2EB3"/>
    <w:rsid w:val="00BE305F"/>
    <w:rsid w:val="00BE35A0"/>
    <w:rsid w:val="00BE508F"/>
    <w:rsid w:val="00BE57EF"/>
    <w:rsid w:val="00BE59AE"/>
    <w:rsid w:val="00BE5FA5"/>
    <w:rsid w:val="00BE6211"/>
    <w:rsid w:val="00BE6297"/>
    <w:rsid w:val="00BE664B"/>
    <w:rsid w:val="00BE6652"/>
    <w:rsid w:val="00BE6875"/>
    <w:rsid w:val="00BE7866"/>
    <w:rsid w:val="00BE7D03"/>
    <w:rsid w:val="00BE7D45"/>
    <w:rsid w:val="00BF0A4E"/>
    <w:rsid w:val="00BF0D2A"/>
    <w:rsid w:val="00BF13D6"/>
    <w:rsid w:val="00BF16F4"/>
    <w:rsid w:val="00BF17D6"/>
    <w:rsid w:val="00BF1907"/>
    <w:rsid w:val="00BF1AED"/>
    <w:rsid w:val="00BF1CBD"/>
    <w:rsid w:val="00BF1F2E"/>
    <w:rsid w:val="00BF1F90"/>
    <w:rsid w:val="00BF221E"/>
    <w:rsid w:val="00BF2745"/>
    <w:rsid w:val="00BF2E66"/>
    <w:rsid w:val="00BF3707"/>
    <w:rsid w:val="00BF3898"/>
    <w:rsid w:val="00BF39EC"/>
    <w:rsid w:val="00BF3CB6"/>
    <w:rsid w:val="00BF4156"/>
    <w:rsid w:val="00BF486B"/>
    <w:rsid w:val="00BF5845"/>
    <w:rsid w:val="00BF5CC7"/>
    <w:rsid w:val="00BF5ED7"/>
    <w:rsid w:val="00BF6250"/>
    <w:rsid w:val="00BF64E7"/>
    <w:rsid w:val="00BF733B"/>
    <w:rsid w:val="00C00024"/>
    <w:rsid w:val="00C000AE"/>
    <w:rsid w:val="00C00EB0"/>
    <w:rsid w:val="00C0144B"/>
    <w:rsid w:val="00C014CA"/>
    <w:rsid w:val="00C01685"/>
    <w:rsid w:val="00C0174B"/>
    <w:rsid w:val="00C01CA0"/>
    <w:rsid w:val="00C02230"/>
    <w:rsid w:val="00C02303"/>
    <w:rsid w:val="00C026DD"/>
    <w:rsid w:val="00C031A0"/>
    <w:rsid w:val="00C03A72"/>
    <w:rsid w:val="00C03B1A"/>
    <w:rsid w:val="00C04288"/>
    <w:rsid w:val="00C048C3"/>
    <w:rsid w:val="00C049FE"/>
    <w:rsid w:val="00C05095"/>
    <w:rsid w:val="00C0532A"/>
    <w:rsid w:val="00C0535C"/>
    <w:rsid w:val="00C0578A"/>
    <w:rsid w:val="00C0597B"/>
    <w:rsid w:val="00C06731"/>
    <w:rsid w:val="00C06A80"/>
    <w:rsid w:val="00C06B9C"/>
    <w:rsid w:val="00C07793"/>
    <w:rsid w:val="00C077B2"/>
    <w:rsid w:val="00C10150"/>
    <w:rsid w:val="00C11DDE"/>
    <w:rsid w:val="00C12107"/>
    <w:rsid w:val="00C1212D"/>
    <w:rsid w:val="00C122F9"/>
    <w:rsid w:val="00C12344"/>
    <w:rsid w:val="00C126DB"/>
    <w:rsid w:val="00C130E6"/>
    <w:rsid w:val="00C134B1"/>
    <w:rsid w:val="00C136CA"/>
    <w:rsid w:val="00C13747"/>
    <w:rsid w:val="00C13B06"/>
    <w:rsid w:val="00C13D73"/>
    <w:rsid w:val="00C14536"/>
    <w:rsid w:val="00C1460B"/>
    <w:rsid w:val="00C14CAC"/>
    <w:rsid w:val="00C14FED"/>
    <w:rsid w:val="00C152F3"/>
    <w:rsid w:val="00C16090"/>
    <w:rsid w:val="00C16866"/>
    <w:rsid w:val="00C16F19"/>
    <w:rsid w:val="00C1715D"/>
    <w:rsid w:val="00C17485"/>
    <w:rsid w:val="00C17E7F"/>
    <w:rsid w:val="00C17F73"/>
    <w:rsid w:val="00C20C62"/>
    <w:rsid w:val="00C21092"/>
    <w:rsid w:val="00C21314"/>
    <w:rsid w:val="00C213A0"/>
    <w:rsid w:val="00C213F7"/>
    <w:rsid w:val="00C21511"/>
    <w:rsid w:val="00C22644"/>
    <w:rsid w:val="00C22683"/>
    <w:rsid w:val="00C22712"/>
    <w:rsid w:val="00C22B6D"/>
    <w:rsid w:val="00C22F38"/>
    <w:rsid w:val="00C22F42"/>
    <w:rsid w:val="00C22FA8"/>
    <w:rsid w:val="00C23123"/>
    <w:rsid w:val="00C23CE9"/>
    <w:rsid w:val="00C24294"/>
    <w:rsid w:val="00C243EE"/>
    <w:rsid w:val="00C253D7"/>
    <w:rsid w:val="00C25560"/>
    <w:rsid w:val="00C259C4"/>
    <w:rsid w:val="00C25B78"/>
    <w:rsid w:val="00C25C70"/>
    <w:rsid w:val="00C26839"/>
    <w:rsid w:val="00C26C47"/>
    <w:rsid w:val="00C26D15"/>
    <w:rsid w:val="00C26E50"/>
    <w:rsid w:val="00C26F81"/>
    <w:rsid w:val="00C27096"/>
    <w:rsid w:val="00C277AC"/>
    <w:rsid w:val="00C277CA"/>
    <w:rsid w:val="00C27B25"/>
    <w:rsid w:val="00C300CF"/>
    <w:rsid w:val="00C30780"/>
    <w:rsid w:val="00C30DEE"/>
    <w:rsid w:val="00C31582"/>
    <w:rsid w:val="00C31585"/>
    <w:rsid w:val="00C315B6"/>
    <w:rsid w:val="00C31966"/>
    <w:rsid w:val="00C31A7B"/>
    <w:rsid w:val="00C32A24"/>
    <w:rsid w:val="00C32C8D"/>
    <w:rsid w:val="00C33490"/>
    <w:rsid w:val="00C34154"/>
    <w:rsid w:val="00C341DE"/>
    <w:rsid w:val="00C343BF"/>
    <w:rsid w:val="00C345E1"/>
    <w:rsid w:val="00C346BC"/>
    <w:rsid w:val="00C34D54"/>
    <w:rsid w:val="00C34DF5"/>
    <w:rsid w:val="00C3568B"/>
    <w:rsid w:val="00C358D1"/>
    <w:rsid w:val="00C35AAD"/>
    <w:rsid w:val="00C35DD2"/>
    <w:rsid w:val="00C360EE"/>
    <w:rsid w:val="00C3637F"/>
    <w:rsid w:val="00C37772"/>
    <w:rsid w:val="00C37CA8"/>
    <w:rsid w:val="00C40304"/>
    <w:rsid w:val="00C40504"/>
    <w:rsid w:val="00C40A4A"/>
    <w:rsid w:val="00C41688"/>
    <w:rsid w:val="00C417C9"/>
    <w:rsid w:val="00C41A2A"/>
    <w:rsid w:val="00C41FA7"/>
    <w:rsid w:val="00C420D3"/>
    <w:rsid w:val="00C429EF"/>
    <w:rsid w:val="00C42AEE"/>
    <w:rsid w:val="00C431DF"/>
    <w:rsid w:val="00C43294"/>
    <w:rsid w:val="00C43838"/>
    <w:rsid w:val="00C438D4"/>
    <w:rsid w:val="00C43CF2"/>
    <w:rsid w:val="00C44ACA"/>
    <w:rsid w:val="00C44E95"/>
    <w:rsid w:val="00C452A5"/>
    <w:rsid w:val="00C453B4"/>
    <w:rsid w:val="00C45A15"/>
    <w:rsid w:val="00C45E11"/>
    <w:rsid w:val="00C46769"/>
    <w:rsid w:val="00C46F9E"/>
    <w:rsid w:val="00C470C8"/>
    <w:rsid w:val="00C4724B"/>
    <w:rsid w:val="00C47CC9"/>
    <w:rsid w:val="00C47FE7"/>
    <w:rsid w:val="00C50E96"/>
    <w:rsid w:val="00C51059"/>
    <w:rsid w:val="00C513AF"/>
    <w:rsid w:val="00C51D12"/>
    <w:rsid w:val="00C51E5A"/>
    <w:rsid w:val="00C5200C"/>
    <w:rsid w:val="00C5227E"/>
    <w:rsid w:val="00C522AA"/>
    <w:rsid w:val="00C522FB"/>
    <w:rsid w:val="00C528F7"/>
    <w:rsid w:val="00C532B8"/>
    <w:rsid w:val="00C53318"/>
    <w:rsid w:val="00C53373"/>
    <w:rsid w:val="00C533DD"/>
    <w:rsid w:val="00C53A88"/>
    <w:rsid w:val="00C5466B"/>
    <w:rsid w:val="00C54845"/>
    <w:rsid w:val="00C54A78"/>
    <w:rsid w:val="00C54ACA"/>
    <w:rsid w:val="00C54B6A"/>
    <w:rsid w:val="00C54BBC"/>
    <w:rsid w:val="00C54E51"/>
    <w:rsid w:val="00C55051"/>
    <w:rsid w:val="00C555E4"/>
    <w:rsid w:val="00C56A92"/>
    <w:rsid w:val="00C56EA8"/>
    <w:rsid w:val="00C571BC"/>
    <w:rsid w:val="00C57610"/>
    <w:rsid w:val="00C578BB"/>
    <w:rsid w:val="00C57A6B"/>
    <w:rsid w:val="00C57AB9"/>
    <w:rsid w:val="00C60000"/>
    <w:rsid w:val="00C60AB6"/>
    <w:rsid w:val="00C60B03"/>
    <w:rsid w:val="00C61C89"/>
    <w:rsid w:val="00C61F37"/>
    <w:rsid w:val="00C62370"/>
    <w:rsid w:val="00C624E7"/>
    <w:rsid w:val="00C62D31"/>
    <w:rsid w:val="00C62FE7"/>
    <w:rsid w:val="00C6329C"/>
    <w:rsid w:val="00C6354D"/>
    <w:rsid w:val="00C63BC8"/>
    <w:rsid w:val="00C64234"/>
    <w:rsid w:val="00C6488A"/>
    <w:rsid w:val="00C64D8E"/>
    <w:rsid w:val="00C6500F"/>
    <w:rsid w:val="00C6569C"/>
    <w:rsid w:val="00C656F9"/>
    <w:rsid w:val="00C6595A"/>
    <w:rsid w:val="00C66462"/>
    <w:rsid w:val="00C66D0B"/>
    <w:rsid w:val="00C66DD8"/>
    <w:rsid w:val="00C6790B"/>
    <w:rsid w:val="00C67CE9"/>
    <w:rsid w:val="00C67E16"/>
    <w:rsid w:val="00C70402"/>
    <w:rsid w:val="00C70556"/>
    <w:rsid w:val="00C70AE6"/>
    <w:rsid w:val="00C71290"/>
    <w:rsid w:val="00C713D4"/>
    <w:rsid w:val="00C720AC"/>
    <w:rsid w:val="00C73331"/>
    <w:rsid w:val="00C73798"/>
    <w:rsid w:val="00C73854"/>
    <w:rsid w:val="00C73B23"/>
    <w:rsid w:val="00C73E68"/>
    <w:rsid w:val="00C74403"/>
    <w:rsid w:val="00C74594"/>
    <w:rsid w:val="00C74CA2"/>
    <w:rsid w:val="00C75922"/>
    <w:rsid w:val="00C75A07"/>
    <w:rsid w:val="00C7686A"/>
    <w:rsid w:val="00C76D7E"/>
    <w:rsid w:val="00C771F8"/>
    <w:rsid w:val="00C77454"/>
    <w:rsid w:val="00C807DF"/>
    <w:rsid w:val="00C80888"/>
    <w:rsid w:val="00C80AE0"/>
    <w:rsid w:val="00C814B8"/>
    <w:rsid w:val="00C81D14"/>
    <w:rsid w:val="00C82149"/>
    <w:rsid w:val="00C82204"/>
    <w:rsid w:val="00C82271"/>
    <w:rsid w:val="00C8340C"/>
    <w:rsid w:val="00C83C56"/>
    <w:rsid w:val="00C83CB1"/>
    <w:rsid w:val="00C83E26"/>
    <w:rsid w:val="00C84A41"/>
    <w:rsid w:val="00C84B0B"/>
    <w:rsid w:val="00C84D15"/>
    <w:rsid w:val="00C84D8F"/>
    <w:rsid w:val="00C855D1"/>
    <w:rsid w:val="00C8573B"/>
    <w:rsid w:val="00C85A54"/>
    <w:rsid w:val="00C85A95"/>
    <w:rsid w:val="00C86096"/>
    <w:rsid w:val="00C863C1"/>
    <w:rsid w:val="00C86697"/>
    <w:rsid w:val="00C8720F"/>
    <w:rsid w:val="00C87328"/>
    <w:rsid w:val="00C874B4"/>
    <w:rsid w:val="00C878F3"/>
    <w:rsid w:val="00C87937"/>
    <w:rsid w:val="00C87F35"/>
    <w:rsid w:val="00C90024"/>
    <w:rsid w:val="00C90C62"/>
    <w:rsid w:val="00C90D3F"/>
    <w:rsid w:val="00C90F08"/>
    <w:rsid w:val="00C916E2"/>
    <w:rsid w:val="00C9182C"/>
    <w:rsid w:val="00C91E9A"/>
    <w:rsid w:val="00C92909"/>
    <w:rsid w:val="00C92D4B"/>
    <w:rsid w:val="00C93306"/>
    <w:rsid w:val="00C9352A"/>
    <w:rsid w:val="00C936F1"/>
    <w:rsid w:val="00C93A54"/>
    <w:rsid w:val="00C93F47"/>
    <w:rsid w:val="00C9491A"/>
    <w:rsid w:val="00C94FAD"/>
    <w:rsid w:val="00C94FEB"/>
    <w:rsid w:val="00C9533E"/>
    <w:rsid w:val="00C953EB"/>
    <w:rsid w:val="00C9793F"/>
    <w:rsid w:val="00C97C48"/>
    <w:rsid w:val="00CA0039"/>
    <w:rsid w:val="00CA052C"/>
    <w:rsid w:val="00CA089E"/>
    <w:rsid w:val="00CA08E0"/>
    <w:rsid w:val="00CA0E94"/>
    <w:rsid w:val="00CA2619"/>
    <w:rsid w:val="00CA2CFA"/>
    <w:rsid w:val="00CA2E15"/>
    <w:rsid w:val="00CA3003"/>
    <w:rsid w:val="00CA3509"/>
    <w:rsid w:val="00CA3C98"/>
    <w:rsid w:val="00CA40DF"/>
    <w:rsid w:val="00CA45F6"/>
    <w:rsid w:val="00CA695E"/>
    <w:rsid w:val="00CA6D99"/>
    <w:rsid w:val="00CA73E9"/>
    <w:rsid w:val="00CA74BE"/>
    <w:rsid w:val="00CA7945"/>
    <w:rsid w:val="00CA7D93"/>
    <w:rsid w:val="00CA7E83"/>
    <w:rsid w:val="00CB0253"/>
    <w:rsid w:val="00CB0773"/>
    <w:rsid w:val="00CB14F2"/>
    <w:rsid w:val="00CB1547"/>
    <w:rsid w:val="00CB17F7"/>
    <w:rsid w:val="00CB189F"/>
    <w:rsid w:val="00CB2567"/>
    <w:rsid w:val="00CB2959"/>
    <w:rsid w:val="00CB3D6C"/>
    <w:rsid w:val="00CB457A"/>
    <w:rsid w:val="00CB4659"/>
    <w:rsid w:val="00CB48D0"/>
    <w:rsid w:val="00CB490E"/>
    <w:rsid w:val="00CB4B18"/>
    <w:rsid w:val="00CB50A5"/>
    <w:rsid w:val="00CB5161"/>
    <w:rsid w:val="00CB5925"/>
    <w:rsid w:val="00CB5A68"/>
    <w:rsid w:val="00CB5C5D"/>
    <w:rsid w:val="00CB5E03"/>
    <w:rsid w:val="00CB5F25"/>
    <w:rsid w:val="00CB61B6"/>
    <w:rsid w:val="00CB6706"/>
    <w:rsid w:val="00CB6BDF"/>
    <w:rsid w:val="00CB6ED6"/>
    <w:rsid w:val="00CB6F3E"/>
    <w:rsid w:val="00CB703F"/>
    <w:rsid w:val="00CB7734"/>
    <w:rsid w:val="00CB7958"/>
    <w:rsid w:val="00CB7E8A"/>
    <w:rsid w:val="00CB7FE8"/>
    <w:rsid w:val="00CC0071"/>
    <w:rsid w:val="00CC0642"/>
    <w:rsid w:val="00CC06DB"/>
    <w:rsid w:val="00CC0F9F"/>
    <w:rsid w:val="00CC156B"/>
    <w:rsid w:val="00CC1A3C"/>
    <w:rsid w:val="00CC1C48"/>
    <w:rsid w:val="00CC1DBB"/>
    <w:rsid w:val="00CC23D3"/>
    <w:rsid w:val="00CC24F2"/>
    <w:rsid w:val="00CC28B7"/>
    <w:rsid w:val="00CC379F"/>
    <w:rsid w:val="00CC3922"/>
    <w:rsid w:val="00CC3D4E"/>
    <w:rsid w:val="00CC3EAA"/>
    <w:rsid w:val="00CC45CA"/>
    <w:rsid w:val="00CC5379"/>
    <w:rsid w:val="00CC5B04"/>
    <w:rsid w:val="00CC5C10"/>
    <w:rsid w:val="00CC5C72"/>
    <w:rsid w:val="00CC5F7A"/>
    <w:rsid w:val="00CC6B05"/>
    <w:rsid w:val="00CC6C19"/>
    <w:rsid w:val="00CC6CB9"/>
    <w:rsid w:val="00CC7477"/>
    <w:rsid w:val="00CC7625"/>
    <w:rsid w:val="00CC7908"/>
    <w:rsid w:val="00CC7A0B"/>
    <w:rsid w:val="00CC7ACE"/>
    <w:rsid w:val="00CC7BB8"/>
    <w:rsid w:val="00CD0E5C"/>
    <w:rsid w:val="00CD187C"/>
    <w:rsid w:val="00CD22A3"/>
    <w:rsid w:val="00CD2973"/>
    <w:rsid w:val="00CD2B15"/>
    <w:rsid w:val="00CD2CFE"/>
    <w:rsid w:val="00CD2EA6"/>
    <w:rsid w:val="00CD2FFF"/>
    <w:rsid w:val="00CD3138"/>
    <w:rsid w:val="00CD37D8"/>
    <w:rsid w:val="00CD447C"/>
    <w:rsid w:val="00CD4AF0"/>
    <w:rsid w:val="00CD5594"/>
    <w:rsid w:val="00CD6487"/>
    <w:rsid w:val="00CD701E"/>
    <w:rsid w:val="00CE00BD"/>
    <w:rsid w:val="00CE0BFC"/>
    <w:rsid w:val="00CE16B5"/>
    <w:rsid w:val="00CE1C0B"/>
    <w:rsid w:val="00CE1F3E"/>
    <w:rsid w:val="00CE2053"/>
    <w:rsid w:val="00CE2811"/>
    <w:rsid w:val="00CE2B4F"/>
    <w:rsid w:val="00CE2DF8"/>
    <w:rsid w:val="00CE32BC"/>
    <w:rsid w:val="00CE4460"/>
    <w:rsid w:val="00CE47CE"/>
    <w:rsid w:val="00CE54AA"/>
    <w:rsid w:val="00CE561B"/>
    <w:rsid w:val="00CE57C1"/>
    <w:rsid w:val="00CE5923"/>
    <w:rsid w:val="00CE5EE6"/>
    <w:rsid w:val="00CE5F2A"/>
    <w:rsid w:val="00CE6460"/>
    <w:rsid w:val="00CE669C"/>
    <w:rsid w:val="00CE6754"/>
    <w:rsid w:val="00CE69F8"/>
    <w:rsid w:val="00CE702C"/>
    <w:rsid w:val="00CE7464"/>
    <w:rsid w:val="00CE7653"/>
    <w:rsid w:val="00CE76A7"/>
    <w:rsid w:val="00CF11B0"/>
    <w:rsid w:val="00CF1588"/>
    <w:rsid w:val="00CF1984"/>
    <w:rsid w:val="00CF1F0A"/>
    <w:rsid w:val="00CF207A"/>
    <w:rsid w:val="00CF2448"/>
    <w:rsid w:val="00CF2E02"/>
    <w:rsid w:val="00CF2E68"/>
    <w:rsid w:val="00CF2FA2"/>
    <w:rsid w:val="00CF312C"/>
    <w:rsid w:val="00CF35FE"/>
    <w:rsid w:val="00CF38BA"/>
    <w:rsid w:val="00CF4115"/>
    <w:rsid w:val="00CF4186"/>
    <w:rsid w:val="00CF41A1"/>
    <w:rsid w:val="00CF42ED"/>
    <w:rsid w:val="00CF47B3"/>
    <w:rsid w:val="00CF4828"/>
    <w:rsid w:val="00CF4CDB"/>
    <w:rsid w:val="00CF5868"/>
    <w:rsid w:val="00CF5F38"/>
    <w:rsid w:val="00CF5F9C"/>
    <w:rsid w:val="00CF5FAD"/>
    <w:rsid w:val="00CF6112"/>
    <w:rsid w:val="00CF673D"/>
    <w:rsid w:val="00CF6A54"/>
    <w:rsid w:val="00CF711A"/>
    <w:rsid w:val="00CF73B0"/>
    <w:rsid w:val="00CF75A3"/>
    <w:rsid w:val="00CF793B"/>
    <w:rsid w:val="00D0063A"/>
    <w:rsid w:val="00D008CA"/>
    <w:rsid w:val="00D00AF7"/>
    <w:rsid w:val="00D012D1"/>
    <w:rsid w:val="00D0172B"/>
    <w:rsid w:val="00D01F70"/>
    <w:rsid w:val="00D0202E"/>
    <w:rsid w:val="00D02C17"/>
    <w:rsid w:val="00D02CD7"/>
    <w:rsid w:val="00D02CE9"/>
    <w:rsid w:val="00D02E91"/>
    <w:rsid w:val="00D02F7F"/>
    <w:rsid w:val="00D0359B"/>
    <w:rsid w:val="00D03B48"/>
    <w:rsid w:val="00D04220"/>
    <w:rsid w:val="00D046DE"/>
    <w:rsid w:val="00D049CF"/>
    <w:rsid w:val="00D057BC"/>
    <w:rsid w:val="00D05935"/>
    <w:rsid w:val="00D05CA6"/>
    <w:rsid w:val="00D06449"/>
    <w:rsid w:val="00D0648A"/>
    <w:rsid w:val="00D06EC0"/>
    <w:rsid w:val="00D07254"/>
    <w:rsid w:val="00D0743B"/>
    <w:rsid w:val="00D0755F"/>
    <w:rsid w:val="00D10116"/>
    <w:rsid w:val="00D10356"/>
    <w:rsid w:val="00D104DD"/>
    <w:rsid w:val="00D108EB"/>
    <w:rsid w:val="00D10917"/>
    <w:rsid w:val="00D10940"/>
    <w:rsid w:val="00D10D48"/>
    <w:rsid w:val="00D114F3"/>
    <w:rsid w:val="00D11776"/>
    <w:rsid w:val="00D11A02"/>
    <w:rsid w:val="00D121C3"/>
    <w:rsid w:val="00D125F6"/>
    <w:rsid w:val="00D1265F"/>
    <w:rsid w:val="00D127CD"/>
    <w:rsid w:val="00D12B06"/>
    <w:rsid w:val="00D13098"/>
    <w:rsid w:val="00D132D0"/>
    <w:rsid w:val="00D13631"/>
    <w:rsid w:val="00D13EE8"/>
    <w:rsid w:val="00D144CB"/>
    <w:rsid w:val="00D1456E"/>
    <w:rsid w:val="00D145AC"/>
    <w:rsid w:val="00D14C6C"/>
    <w:rsid w:val="00D15342"/>
    <w:rsid w:val="00D15630"/>
    <w:rsid w:val="00D15913"/>
    <w:rsid w:val="00D159D9"/>
    <w:rsid w:val="00D15CB3"/>
    <w:rsid w:val="00D15F97"/>
    <w:rsid w:val="00D16036"/>
    <w:rsid w:val="00D1605E"/>
    <w:rsid w:val="00D168D8"/>
    <w:rsid w:val="00D16EC7"/>
    <w:rsid w:val="00D176B6"/>
    <w:rsid w:val="00D177C3"/>
    <w:rsid w:val="00D1797A"/>
    <w:rsid w:val="00D20927"/>
    <w:rsid w:val="00D20DFB"/>
    <w:rsid w:val="00D218AA"/>
    <w:rsid w:val="00D2199E"/>
    <w:rsid w:val="00D21D89"/>
    <w:rsid w:val="00D21F32"/>
    <w:rsid w:val="00D22852"/>
    <w:rsid w:val="00D22853"/>
    <w:rsid w:val="00D22D9F"/>
    <w:rsid w:val="00D23021"/>
    <w:rsid w:val="00D23093"/>
    <w:rsid w:val="00D234AB"/>
    <w:rsid w:val="00D23590"/>
    <w:rsid w:val="00D235B8"/>
    <w:rsid w:val="00D23F93"/>
    <w:rsid w:val="00D2427A"/>
    <w:rsid w:val="00D24729"/>
    <w:rsid w:val="00D248C2"/>
    <w:rsid w:val="00D24C43"/>
    <w:rsid w:val="00D24D77"/>
    <w:rsid w:val="00D2510A"/>
    <w:rsid w:val="00D266CE"/>
    <w:rsid w:val="00D26866"/>
    <w:rsid w:val="00D26F05"/>
    <w:rsid w:val="00D26F66"/>
    <w:rsid w:val="00D27D0A"/>
    <w:rsid w:val="00D3022C"/>
    <w:rsid w:val="00D30587"/>
    <w:rsid w:val="00D308DC"/>
    <w:rsid w:val="00D3099D"/>
    <w:rsid w:val="00D30C6D"/>
    <w:rsid w:val="00D3146B"/>
    <w:rsid w:val="00D318A4"/>
    <w:rsid w:val="00D31E58"/>
    <w:rsid w:val="00D31E9C"/>
    <w:rsid w:val="00D320ED"/>
    <w:rsid w:val="00D32216"/>
    <w:rsid w:val="00D33372"/>
    <w:rsid w:val="00D33652"/>
    <w:rsid w:val="00D33799"/>
    <w:rsid w:val="00D33A2B"/>
    <w:rsid w:val="00D340A1"/>
    <w:rsid w:val="00D3438D"/>
    <w:rsid w:val="00D3451B"/>
    <w:rsid w:val="00D34765"/>
    <w:rsid w:val="00D34B24"/>
    <w:rsid w:val="00D34C84"/>
    <w:rsid w:val="00D34CDB"/>
    <w:rsid w:val="00D3514E"/>
    <w:rsid w:val="00D35EEC"/>
    <w:rsid w:val="00D36F95"/>
    <w:rsid w:val="00D3728C"/>
    <w:rsid w:val="00D377CC"/>
    <w:rsid w:val="00D379C1"/>
    <w:rsid w:val="00D404AF"/>
    <w:rsid w:val="00D4256A"/>
    <w:rsid w:val="00D42C43"/>
    <w:rsid w:val="00D42CF9"/>
    <w:rsid w:val="00D42F0D"/>
    <w:rsid w:val="00D430A0"/>
    <w:rsid w:val="00D43304"/>
    <w:rsid w:val="00D43523"/>
    <w:rsid w:val="00D44006"/>
    <w:rsid w:val="00D4400A"/>
    <w:rsid w:val="00D44738"/>
    <w:rsid w:val="00D4476B"/>
    <w:rsid w:val="00D44931"/>
    <w:rsid w:val="00D44DC5"/>
    <w:rsid w:val="00D45625"/>
    <w:rsid w:val="00D45D09"/>
    <w:rsid w:val="00D4644F"/>
    <w:rsid w:val="00D47585"/>
    <w:rsid w:val="00D476F6"/>
    <w:rsid w:val="00D47B7F"/>
    <w:rsid w:val="00D50291"/>
    <w:rsid w:val="00D506C7"/>
    <w:rsid w:val="00D50B63"/>
    <w:rsid w:val="00D50DD3"/>
    <w:rsid w:val="00D51542"/>
    <w:rsid w:val="00D51DB2"/>
    <w:rsid w:val="00D5202F"/>
    <w:rsid w:val="00D523F8"/>
    <w:rsid w:val="00D52736"/>
    <w:rsid w:val="00D52A65"/>
    <w:rsid w:val="00D52CF4"/>
    <w:rsid w:val="00D53E78"/>
    <w:rsid w:val="00D5402E"/>
    <w:rsid w:val="00D543EF"/>
    <w:rsid w:val="00D54451"/>
    <w:rsid w:val="00D549FA"/>
    <w:rsid w:val="00D54D6D"/>
    <w:rsid w:val="00D55313"/>
    <w:rsid w:val="00D5552B"/>
    <w:rsid w:val="00D55ABE"/>
    <w:rsid w:val="00D560F6"/>
    <w:rsid w:val="00D569E7"/>
    <w:rsid w:val="00D569F9"/>
    <w:rsid w:val="00D5723F"/>
    <w:rsid w:val="00D57D46"/>
    <w:rsid w:val="00D602D8"/>
    <w:rsid w:val="00D603E6"/>
    <w:rsid w:val="00D60842"/>
    <w:rsid w:val="00D60B82"/>
    <w:rsid w:val="00D61C91"/>
    <w:rsid w:val="00D6226F"/>
    <w:rsid w:val="00D622B3"/>
    <w:rsid w:val="00D62867"/>
    <w:rsid w:val="00D63135"/>
    <w:rsid w:val="00D64AA5"/>
    <w:rsid w:val="00D64B33"/>
    <w:rsid w:val="00D6531F"/>
    <w:rsid w:val="00D653B8"/>
    <w:rsid w:val="00D653C9"/>
    <w:rsid w:val="00D65AB4"/>
    <w:rsid w:val="00D6619C"/>
    <w:rsid w:val="00D666E5"/>
    <w:rsid w:val="00D66C8B"/>
    <w:rsid w:val="00D66DBA"/>
    <w:rsid w:val="00D6722B"/>
    <w:rsid w:val="00D67330"/>
    <w:rsid w:val="00D67A3B"/>
    <w:rsid w:val="00D67B04"/>
    <w:rsid w:val="00D67F7B"/>
    <w:rsid w:val="00D70932"/>
    <w:rsid w:val="00D70E1A"/>
    <w:rsid w:val="00D7127F"/>
    <w:rsid w:val="00D713A5"/>
    <w:rsid w:val="00D72374"/>
    <w:rsid w:val="00D72794"/>
    <w:rsid w:val="00D72BF1"/>
    <w:rsid w:val="00D72DFD"/>
    <w:rsid w:val="00D73449"/>
    <w:rsid w:val="00D73D86"/>
    <w:rsid w:val="00D7422A"/>
    <w:rsid w:val="00D748FC"/>
    <w:rsid w:val="00D74BBF"/>
    <w:rsid w:val="00D74F55"/>
    <w:rsid w:val="00D751C3"/>
    <w:rsid w:val="00D756EA"/>
    <w:rsid w:val="00D758AD"/>
    <w:rsid w:val="00D75A74"/>
    <w:rsid w:val="00D75D16"/>
    <w:rsid w:val="00D77026"/>
    <w:rsid w:val="00D77258"/>
    <w:rsid w:val="00D7765E"/>
    <w:rsid w:val="00D80051"/>
    <w:rsid w:val="00D80ACB"/>
    <w:rsid w:val="00D80C72"/>
    <w:rsid w:val="00D81A93"/>
    <w:rsid w:val="00D81EE7"/>
    <w:rsid w:val="00D83148"/>
    <w:rsid w:val="00D83328"/>
    <w:rsid w:val="00D838BC"/>
    <w:rsid w:val="00D83C3D"/>
    <w:rsid w:val="00D83E63"/>
    <w:rsid w:val="00D849AE"/>
    <w:rsid w:val="00D84BA6"/>
    <w:rsid w:val="00D84C47"/>
    <w:rsid w:val="00D84EDE"/>
    <w:rsid w:val="00D851D1"/>
    <w:rsid w:val="00D858E4"/>
    <w:rsid w:val="00D85D30"/>
    <w:rsid w:val="00D8708C"/>
    <w:rsid w:val="00D874CC"/>
    <w:rsid w:val="00D876E6"/>
    <w:rsid w:val="00D8797F"/>
    <w:rsid w:val="00D87A02"/>
    <w:rsid w:val="00D87C33"/>
    <w:rsid w:val="00D87C9E"/>
    <w:rsid w:val="00D87D64"/>
    <w:rsid w:val="00D87FF7"/>
    <w:rsid w:val="00D906DD"/>
    <w:rsid w:val="00D9086B"/>
    <w:rsid w:val="00D90E59"/>
    <w:rsid w:val="00D91006"/>
    <w:rsid w:val="00D9100A"/>
    <w:rsid w:val="00D911DE"/>
    <w:rsid w:val="00D92219"/>
    <w:rsid w:val="00D93EB8"/>
    <w:rsid w:val="00D94125"/>
    <w:rsid w:val="00D942B6"/>
    <w:rsid w:val="00D94E4B"/>
    <w:rsid w:val="00D9532C"/>
    <w:rsid w:val="00D95607"/>
    <w:rsid w:val="00D95945"/>
    <w:rsid w:val="00D95F84"/>
    <w:rsid w:val="00D962AE"/>
    <w:rsid w:val="00D96327"/>
    <w:rsid w:val="00D9676F"/>
    <w:rsid w:val="00D968DA"/>
    <w:rsid w:val="00D96922"/>
    <w:rsid w:val="00D96C6E"/>
    <w:rsid w:val="00D96F66"/>
    <w:rsid w:val="00D97DCF"/>
    <w:rsid w:val="00DA0AF9"/>
    <w:rsid w:val="00DA0CDE"/>
    <w:rsid w:val="00DA0E31"/>
    <w:rsid w:val="00DA10D6"/>
    <w:rsid w:val="00DA13A5"/>
    <w:rsid w:val="00DA197C"/>
    <w:rsid w:val="00DA296B"/>
    <w:rsid w:val="00DA2CDD"/>
    <w:rsid w:val="00DA305F"/>
    <w:rsid w:val="00DA387A"/>
    <w:rsid w:val="00DA4027"/>
    <w:rsid w:val="00DA473E"/>
    <w:rsid w:val="00DA485D"/>
    <w:rsid w:val="00DA4AA9"/>
    <w:rsid w:val="00DA4F06"/>
    <w:rsid w:val="00DA5008"/>
    <w:rsid w:val="00DA55D6"/>
    <w:rsid w:val="00DA5F9B"/>
    <w:rsid w:val="00DA6032"/>
    <w:rsid w:val="00DA612F"/>
    <w:rsid w:val="00DA62FF"/>
    <w:rsid w:val="00DA6445"/>
    <w:rsid w:val="00DA6E90"/>
    <w:rsid w:val="00DB011B"/>
    <w:rsid w:val="00DB081C"/>
    <w:rsid w:val="00DB0AA7"/>
    <w:rsid w:val="00DB120A"/>
    <w:rsid w:val="00DB1C4E"/>
    <w:rsid w:val="00DB1D35"/>
    <w:rsid w:val="00DB21E3"/>
    <w:rsid w:val="00DB2DCA"/>
    <w:rsid w:val="00DB2E58"/>
    <w:rsid w:val="00DB2F72"/>
    <w:rsid w:val="00DB3C21"/>
    <w:rsid w:val="00DB3C22"/>
    <w:rsid w:val="00DB41BA"/>
    <w:rsid w:val="00DB45F6"/>
    <w:rsid w:val="00DB49FD"/>
    <w:rsid w:val="00DB50BB"/>
    <w:rsid w:val="00DB5983"/>
    <w:rsid w:val="00DB5B6F"/>
    <w:rsid w:val="00DB5DA8"/>
    <w:rsid w:val="00DB6E2C"/>
    <w:rsid w:val="00DB6E7A"/>
    <w:rsid w:val="00DC03D2"/>
    <w:rsid w:val="00DC071C"/>
    <w:rsid w:val="00DC0A66"/>
    <w:rsid w:val="00DC0C65"/>
    <w:rsid w:val="00DC0CE0"/>
    <w:rsid w:val="00DC12AE"/>
    <w:rsid w:val="00DC13C7"/>
    <w:rsid w:val="00DC1601"/>
    <w:rsid w:val="00DC17A4"/>
    <w:rsid w:val="00DC19D7"/>
    <w:rsid w:val="00DC1C89"/>
    <w:rsid w:val="00DC1FE0"/>
    <w:rsid w:val="00DC2327"/>
    <w:rsid w:val="00DC257A"/>
    <w:rsid w:val="00DC2CFE"/>
    <w:rsid w:val="00DC3082"/>
    <w:rsid w:val="00DC364C"/>
    <w:rsid w:val="00DC372C"/>
    <w:rsid w:val="00DC3C51"/>
    <w:rsid w:val="00DC472C"/>
    <w:rsid w:val="00DC4822"/>
    <w:rsid w:val="00DC4F34"/>
    <w:rsid w:val="00DC500E"/>
    <w:rsid w:val="00DC5680"/>
    <w:rsid w:val="00DC6007"/>
    <w:rsid w:val="00DC6040"/>
    <w:rsid w:val="00DC6268"/>
    <w:rsid w:val="00DC7411"/>
    <w:rsid w:val="00DC797D"/>
    <w:rsid w:val="00DD00C8"/>
    <w:rsid w:val="00DD0E87"/>
    <w:rsid w:val="00DD0F1B"/>
    <w:rsid w:val="00DD2B34"/>
    <w:rsid w:val="00DD2D08"/>
    <w:rsid w:val="00DD31EA"/>
    <w:rsid w:val="00DD32F5"/>
    <w:rsid w:val="00DD3AC6"/>
    <w:rsid w:val="00DD3FEC"/>
    <w:rsid w:val="00DD46E3"/>
    <w:rsid w:val="00DD4C52"/>
    <w:rsid w:val="00DD4C8C"/>
    <w:rsid w:val="00DD4D90"/>
    <w:rsid w:val="00DD5316"/>
    <w:rsid w:val="00DD5708"/>
    <w:rsid w:val="00DD5DDD"/>
    <w:rsid w:val="00DD6941"/>
    <w:rsid w:val="00DD707E"/>
    <w:rsid w:val="00DD7622"/>
    <w:rsid w:val="00DD79D8"/>
    <w:rsid w:val="00DD7BEE"/>
    <w:rsid w:val="00DD7D58"/>
    <w:rsid w:val="00DE1125"/>
    <w:rsid w:val="00DE12D5"/>
    <w:rsid w:val="00DE2358"/>
    <w:rsid w:val="00DE2710"/>
    <w:rsid w:val="00DE2AB0"/>
    <w:rsid w:val="00DE2F92"/>
    <w:rsid w:val="00DE2FFC"/>
    <w:rsid w:val="00DE36F7"/>
    <w:rsid w:val="00DE451D"/>
    <w:rsid w:val="00DE455E"/>
    <w:rsid w:val="00DE4720"/>
    <w:rsid w:val="00DE4AA1"/>
    <w:rsid w:val="00DE52C1"/>
    <w:rsid w:val="00DE553F"/>
    <w:rsid w:val="00DE6477"/>
    <w:rsid w:val="00DE6787"/>
    <w:rsid w:val="00DE6C09"/>
    <w:rsid w:val="00DE7E6D"/>
    <w:rsid w:val="00DF0514"/>
    <w:rsid w:val="00DF05F0"/>
    <w:rsid w:val="00DF1886"/>
    <w:rsid w:val="00DF19AB"/>
    <w:rsid w:val="00DF1CA6"/>
    <w:rsid w:val="00DF2953"/>
    <w:rsid w:val="00DF3071"/>
    <w:rsid w:val="00DF32C6"/>
    <w:rsid w:val="00DF3375"/>
    <w:rsid w:val="00DF3568"/>
    <w:rsid w:val="00DF39B1"/>
    <w:rsid w:val="00DF39C3"/>
    <w:rsid w:val="00DF413C"/>
    <w:rsid w:val="00DF41D6"/>
    <w:rsid w:val="00DF521E"/>
    <w:rsid w:val="00DF5352"/>
    <w:rsid w:val="00DF549E"/>
    <w:rsid w:val="00DF5833"/>
    <w:rsid w:val="00DF5DD6"/>
    <w:rsid w:val="00DF5DDA"/>
    <w:rsid w:val="00DF5F95"/>
    <w:rsid w:val="00DF605F"/>
    <w:rsid w:val="00DF628E"/>
    <w:rsid w:val="00DF659A"/>
    <w:rsid w:val="00DF6E9C"/>
    <w:rsid w:val="00DF725C"/>
    <w:rsid w:val="00DF754A"/>
    <w:rsid w:val="00DF76B6"/>
    <w:rsid w:val="00DF7A30"/>
    <w:rsid w:val="00DF7C97"/>
    <w:rsid w:val="00DF7D85"/>
    <w:rsid w:val="00DF7E52"/>
    <w:rsid w:val="00E00286"/>
    <w:rsid w:val="00E002B2"/>
    <w:rsid w:val="00E00E63"/>
    <w:rsid w:val="00E015B4"/>
    <w:rsid w:val="00E01667"/>
    <w:rsid w:val="00E01BC5"/>
    <w:rsid w:val="00E01ECA"/>
    <w:rsid w:val="00E02FF6"/>
    <w:rsid w:val="00E032BC"/>
    <w:rsid w:val="00E0336E"/>
    <w:rsid w:val="00E0347B"/>
    <w:rsid w:val="00E0372D"/>
    <w:rsid w:val="00E0392D"/>
    <w:rsid w:val="00E039CA"/>
    <w:rsid w:val="00E049BD"/>
    <w:rsid w:val="00E04AFF"/>
    <w:rsid w:val="00E05515"/>
    <w:rsid w:val="00E0601E"/>
    <w:rsid w:val="00E0696D"/>
    <w:rsid w:val="00E06BB8"/>
    <w:rsid w:val="00E06CE2"/>
    <w:rsid w:val="00E06D57"/>
    <w:rsid w:val="00E0718B"/>
    <w:rsid w:val="00E07E9F"/>
    <w:rsid w:val="00E10010"/>
    <w:rsid w:val="00E1013E"/>
    <w:rsid w:val="00E1030B"/>
    <w:rsid w:val="00E10E2A"/>
    <w:rsid w:val="00E10FFD"/>
    <w:rsid w:val="00E1147F"/>
    <w:rsid w:val="00E133B2"/>
    <w:rsid w:val="00E137AE"/>
    <w:rsid w:val="00E14074"/>
    <w:rsid w:val="00E140AC"/>
    <w:rsid w:val="00E1434B"/>
    <w:rsid w:val="00E14351"/>
    <w:rsid w:val="00E1439C"/>
    <w:rsid w:val="00E14AC1"/>
    <w:rsid w:val="00E14BA3"/>
    <w:rsid w:val="00E14DB8"/>
    <w:rsid w:val="00E150E4"/>
    <w:rsid w:val="00E1530D"/>
    <w:rsid w:val="00E15C47"/>
    <w:rsid w:val="00E15EAC"/>
    <w:rsid w:val="00E16065"/>
    <w:rsid w:val="00E16071"/>
    <w:rsid w:val="00E162B7"/>
    <w:rsid w:val="00E16658"/>
    <w:rsid w:val="00E166CC"/>
    <w:rsid w:val="00E16C96"/>
    <w:rsid w:val="00E1788D"/>
    <w:rsid w:val="00E2007C"/>
    <w:rsid w:val="00E20354"/>
    <w:rsid w:val="00E20AB0"/>
    <w:rsid w:val="00E21A47"/>
    <w:rsid w:val="00E2278F"/>
    <w:rsid w:val="00E22AD8"/>
    <w:rsid w:val="00E237B3"/>
    <w:rsid w:val="00E23F5E"/>
    <w:rsid w:val="00E25A01"/>
    <w:rsid w:val="00E25A1C"/>
    <w:rsid w:val="00E25EDB"/>
    <w:rsid w:val="00E2601D"/>
    <w:rsid w:val="00E264A6"/>
    <w:rsid w:val="00E266F4"/>
    <w:rsid w:val="00E26740"/>
    <w:rsid w:val="00E2694B"/>
    <w:rsid w:val="00E269E9"/>
    <w:rsid w:val="00E26BA4"/>
    <w:rsid w:val="00E2787B"/>
    <w:rsid w:val="00E27A17"/>
    <w:rsid w:val="00E27B0E"/>
    <w:rsid w:val="00E27CBF"/>
    <w:rsid w:val="00E304E7"/>
    <w:rsid w:val="00E3063F"/>
    <w:rsid w:val="00E306C3"/>
    <w:rsid w:val="00E310DC"/>
    <w:rsid w:val="00E3153C"/>
    <w:rsid w:val="00E32426"/>
    <w:rsid w:val="00E32AAC"/>
    <w:rsid w:val="00E32EA3"/>
    <w:rsid w:val="00E339A2"/>
    <w:rsid w:val="00E344DE"/>
    <w:rsid w:val="00E34554"/>
    <w:rsid w:val="00E34E72"/>
    <w:rsid w:val="00E35046"/>
    <w:rsid w:val="00E35491"/>
    <w:rsid w:val="00E3596A"/>
    <w:rsid w:val="00E35CAC"/>
    <w:rsid w:val="00E36074"/>
    <w:rsid w:val="00E3617F"/>
    <w:rsid w:val="00E36348"/>
    <w:rsid w:val="00E3659F"/>
    <w:rsid w:val="00E3714D"/>
    <w:rsid w:val="00E37669"/>
    <w:rsid w:val="00E37A6E"/>
    <w:rsid w:val="00E37B58"/>
    <w:rsid w:val="00E40355"/>
    <w:rsid w:val="00E406AF"/>
    <w:rsid w:val="00E40E73"/>
    <w:rsid w:val="00E410B6"/>
    <w:rsid w:val="00E411CF"/>
    <w:rsid w:val="00E41610"/>
    <w:rsid w:val="00E4193C"/>
    <w:rsid w:val="00E419E1"/>
    <w:rsid w:val="00E42828"/>
    <w:rsid w:val="00E440CD"/>
    <w:rsid w:val="00E44274"/>
    <w:rsid w:val="00E44A07"/>
    <w:rsid w:val="00E44E11"/>
    <w:rsid w:val="00E45195"/>
    <w:rsid w:val="00E455BE"/>
    <w:rsid w:val="00E45BB3"/>
    <w:rsid w:val="00E46165"/>
    <w:rsid w:val="00E462A4"/>
    <w:rsid w:val="00E46F1B"/>
    <w:rsid w:val="00E476EF"/>
    <w:rsid w:val="00E501C5"/>
    <w:rsid w:val="00E50421"/>
    <w:rsid w:val="00E5075F"/>
    <w:rsid w:val="00E50A59"/>
    <w:rsid w:val="00E50B72"/>
    <w:rsid w:val="00E51134"/>
    <w:rsid w:val="00E51823"/>
    <w:rsid w:val="00E519C7"/>
    <w:rsid w:val="00E52013"/>
    <w:rsid w:val="00E52221"/>
    <w:rsid w:val="00E5286F"/>
    <w:rsid w:val="00E52CDB"/>
    <w:rsid w:val="00E53804"/>
    <w:rsid w:val="00E5387B"/>
    <w:rsid w:val="00E53BE5"/>
    <w:rsid w:val="00E5419E"/>
    <w:rsid w:val="00E54FCA"/>
    <w:rsid w:val="00E55684"/>
    <w:rsid w:val="00E557E4"/>
    <w:rsid w:val="00E55E84"/>
    <w:rsid w:val="00E56622"/>
    <w:rsid w:val="00E56BCE"/>
    <w:rsid w:val="00E56CD5"/>
    <w:rsid w:val="00E56D1A"/>
    <w:rsid w:val="00E56EF9"/>
    <w:rsid w:val="00E57382"/>
    <w:rsid w:val="00E574BF"/>
    <w:rsid w:val="00E57641"/>
    <w:rsid w:val="00E57791"/>
    <w:rsid w:val="00E609D9"/>
    <w:rsid w:val="00E60F09"/>
    <w:rsid w:val="00E62D16"/>
    <w:rsid w:val="00E6358C"/>
    <w:rsid w:val="00E640FD"/>
    <w:rsid w:val="00E64987"/>
    <w:rsid w:val="00E64B87"/>
    <w:rsid w:val="00E64D22"/>
    <w:rsid w:val="00E64DE1"/>
    <w:rsid w:val="00E64F7C"/>
    <w:rsid w:val="00E65334"/>
    <w:rsid w:val="00E654CF"/>
    <w:rsid w:val="00E65B5D"/>
    <w:rsid w:val="00E65FD0"/>
    <w:rsid w:val="00E66007"/>
    <w:rsid w:val="00E6760A"/>
    <w:rsid w:val="00E67C3E"/>
    <w:rsid w:val="00E67FC3"/>
    <w:rsid w:val="00E70498"/>
    <w:rsid w:val="00E7063B"/>
    <w:rsid w:val="00E70F38"/>
    <w:rsid w:val="00E71109"/>
    <w:rsid w:val="00E7177B"/>
    <w:rsid w:val="00E72795"/>
    <w:rsid w:val="00E72CDB"/>
    <w:rsid w:val="00E7301C"/>
    <w:rsid w:val="00E73030"/>
    <w:rsid w:val="00E7397F"/>
    <w:rsid w:val="00E74A70"/>
    <w:rsid w:val="00E752A3"/>
    <w:rsid w:val="00E7539B"/>
    <w:rsid w:val="00E75B59"/>
    <w:rsid w:val="00E76155"/>
    <w:rsid w:val="00E76BF0"/>
    <w:rsid w:val="00E76C10"/>
    <w:rsid w:val="00E76C3E"/>
    <w:rsid w:val="00E77DDD"/>
    <w:rsid w:val="00E800DF"/>
    <w:rsid w:val="00E80B2E"/>
    <w:rsid w:val="00E81918"/>
    <w:rsid w:val="00E81B02"/>
    <w:rsid w:val="00E81B0A"/>
    <w:rsid w:val="00E81C94"/>
    <w:rsid w:val="00E81E0C"/>
    <w:rsid w:val="00E81F5E"/>
    <w:rsid w:val="00E8227D"/>
    <w:rsid w:val="00E8290B"/>
    <w:rsid w:val="00E834A8"/>
    <w:rsid w:val="00E846DE"/>
    <w:rsid w:val="00E84C69"/>
    <w:rsid w:val="00E84C93"/>
    <w:rsid w:val="00E85016"/>
    <w:rsid w:val="00E872A8"/>
    <w:rsid w:val="00E87E8B"/>
    <w:rsid w:val="00E90551"/>
    <w:rsid w:val="00E90A53"/>
    <w:rsid w:val="00E90A60"/>
    <w:rsid w:val="00E911E4"/>
    <w:rsid w:val="00E913E1"/>
    <w:rsid w:val="00E915E5"/>
    <w:rsid w:val="00E917D3"/>
    <w:rsid w:val="00E92163"/>
    <w:rsid w:val="00E927B4"/>
    <w:rsid w:val="00E92D93"/>
    <w:rsid w:val="00E933A2"/>
    <w:rsid w:val="00E93504"/>
    <w:rsid w:val="00E93D8F"/>
    <w:rsid w:val="00E93E53"/>
    <w:rsid w:val="00E94D52"/>
    <w:rsid w:val="00E94EAE"/>
    <w:rsid w:val="00E94FEF"/>
    <w:rsid w:val="00E95282"/>
    <w:rsid w:val="00E9536A"/>
    <w:rsid w:val="00E954F0"/>
    <w:rsid w:val="00E95546"/>
    <w:rsid w:val="00E95B2B"/>
    <w:rsid w:val="00E96185"/>
    <w:rsid w:val="00E96659"/>
    <w:rsid w:val="00E96713"/>
    <w:rsid w:val="00E96F16"/>
    <w:rsid w:val="00E9732A"/>
    <w:rsid w:val="00E97B28"/>
    <w:rsid w:val="00EA0589"/>
    <w:rsid w:val="00EA068A"/>
    <w:rsid w:val="00EA09D1"/>
    <w:rsid w:val="00EA0BA8"/>
    <w:rsid w:val="00EA0C3D"/>
    <w:rsid w:val="00EA0ECB"/>
    <w:rsid w:val="00EA0FD5"/>
    <w:rsid w:val="00EA149E"/>
    <w:rsid w:val="00EA1571"/>
    <w:rsid w:val="00EA157A"/>
    <w:rsid w:val="00EA1B24"/>
    <w:rsid w:val="00EA35D1"/>
    <w:rsid w:val="00EA3A36"/>
    <w:rsid w:val="00EA440F"/>
    <w:rsid w:val="00EA45A0"/>
    <w:rsid w:val="00EA4981"/>
    <w:rsid w:val="00EA60BE"/>
    <w:rsid w:val="00EA6295"/>
    <w:rsid w:val="00EA68C9"/>
    <w:rsid w:val="00EA6C11"/>
    <w:rsid w:val="00EB009F"/>
    <w:rsid w:val="00EB00B3"/>
    <w:rsid w:val="00EB03FC"/>
    <w:rsid w:val="00EB04FF"/>
    <w:rsid w:val="00EB08A6"/>
    <w:rsid w:val="00EB0E90"/>
    <w:rsid w:val="00EB0EBB"/>
    <w:rsid w:val="00EB1016"/>
    <w:rsid w:val="00EB11D1"/>
    <w:rsid w:val="00EB13F7"/>
    <w:rsid w:val="00EB19DB"/>
    <w:rsid w:val="00EB26C2"/>
    <w:rsid w:val="00EB273C"/>
    <w:rsid w:val="00EB29DC"/>
    <w:rsid w:val="00EB343B"/>
    <w:rsid w:val="00EB3C56"/>
    <w:rsid w:val="00EB3DE1"/>
    <w:rsid w:val="00EB4887"/>
    <w:rsid w:val="00EB4F00"/>
    <w:rsid w:val="00EB5C8A"/>
    <w:rsid w:val="00EB5D1C"/>
    <w:rsid w:val="00EB6167"/>
    <w:rsid w:val="00EB61DD"/>
    <w:rsid w:val="00EB6546"/>
    <w:rsid w:val="00EB7770"/>
    <w:rsid w:val="00EC0232"/>
    <w:rsid w:val="00EC11E4"/>
    <w:rsid w:val="00EC15FE"/>
    <w:rsid w:val="00EC1E1D"/>
    <w:rsid w:val="00EC26D2"/>
    <w:rsid w:val="00EC283F"/>
    <w:rsid w:val="00EC351B"/>
    <w:rsid w:val="00EC36F8"/>
    <w:rsid w:val="00EC3932"/>
    <w:rsid w:val="00EC3EA6"/>
    <w:rsid w:val="00EC3FF8"/>
    <w:rsid w:val="00EC43C3"/>
    <w:rsid w:val="00EC4ACD"/>
    <w:rsid w:val="00EC4C08"/>
    <w:rsid w:val="00EC4C63"/>
    <w:rsid w:val="00EC5790"/>
    <w:rsid w:val="00EC59CD"/>
    <w:rsid w:val="00EC5CB5"/>
    <w:rsid w:val="00EC6C91"/>
    <w:rsid w:val="00EC72DF"/>
    <w:rsid w:val="00ED023D"/>
    <w:rsid w:val="00ED0298"/>
    <w:rsid w:val="00ED02A5"/>
    <w:rsid w:val="00ED0559"/>
    <w:rsid w:val="00ED0688"/>
    <w:rsid w:val="00ED091F"/>
    <w:rsid w:val="00ED15CE"/>
    <w:rsid w:val="00ED2178"/>
    <w:rsid w:val="00ED232C"/>
    <w:rsid w:val="00ED25A1"/>
    <w:rsid w:val="00ED2672"/>
    <w:rsid w:val="00ED3B98"/>
    <w:rsid w:val="00ED3E55"/>
    <w:rsid w:val="00ED4238"/>
    <w:rsid w:val="00ED4242"/>
    <w:rsid w:val="00ED4620"/>
    <w:rsid w:val="00ED53C3"/>
    <w:rsid w:val="00ED54BC"/>
    <w:rsid w:val="00ED59FD"/>
    <w:rsid w:val="00ED5D92"/>
    <w:rsid w:val="00ED5DFE"/>
    <w:rsid w:val="00ED6008"/>
    <w:rsid w:val="00ED6A35"/>
    <w:rsid w:val="00ED6ED3"/>
    <w:rsid w:val="00ED7507"/>
    <w:rsid w:val="00ED771A"/>
    <w:rsid w:val="00ED7A5C"/>
    <w:rsid w:val="00ED7CCC"/>
    <w:rsid w:val="00EE0076"/>
    <w:rsid w:val="00EE01FD"/>
    <w:rsid w:val="00EE0217"/>
    <w:rsid w:val="00EE0292"/>
    <w:rsid w:val="00EE0C78"/>
    <w:rsid w:val="00EE10D0"/>
    <w:rsid w:val="00EE1589"/>
    <w:rsid w:val="00EE168D"/>
    <w:rsid w:val="00EE236B"/>
    <w:rsid w:val="00EE2E3D"/>
    <w:rsid w:val="00EE30F1"/>
    <w:rsid w:val="00EE3116"/>
    <w:rsid w:val="00EE3350"/>
    <w:rsid w:val="00EE3CA2"/>
    <w:rsid w:val="00EE3D8B"/>
    <w:rsid w:val="00EE3F04"/>
    <w:rsid w:val="00EE414A"/>
    <w:rsid w:val="00EE4768"/>
    <w:rsid w:val="00EE48EC"/>
    <w:rsid w:val="00EE492D"/>
    <w:rsid w:val="00EE49F8"/>
    <w:rsid w:val="00EE4AA7"/>
    <w:rsid w:val="00EE4CC1"/>
    <w:rsid w:val="00EE5548"/>
    <w:rsid w:val="00EE5575"/>
    <w:rsid w:val="00EE56C9"/>
    <w:rsid w:val="00EE651D"/>
    <w:rsid w:val="00EE6867"/>
    <w:rsid w:val="00EE6B06"/>
    <w:rsid w:val="00EE7BA8"/>
    <w:rsid w:val="00EE7C26"/>
    <w:rsid w:val="00EF008C"/>
    <w:rsid w:val="00EF07B9"/>
    <w:rsid w:val="00EF0976"/>
    <w:rsid w:val="00EF10E5"/>
    <w:rsid w:val="00EF1244"/>
    <w:rsid w:val="00EF1E79"/>
    <w:rsid w:val="00EF253B"/>
    <w:rsid w:val="00EF2A06"/>
    <w:rsid w:val="00EF2EA9"/>
    <w:rsid w:val="00EF3A35"/>
    <w:rsid w:val="00EF3A7D"/>
    <w:rsid w:val="00EF41DD"/>
    <w:rsid w:val="00EF4976"/>
    <w:rsid w:val="00EF5650"/>
    <w:rsid w:val="00EF58AC"/>
    <w:rsid w:val="00EF6C49"/>
    <w:rsid w:val="00EF723A"/>
    <w:rsid w:val="00EF75BF"/>
    <w:rsid w:val="00F000C9"/>
    <w:rsid w:val="00F004CE"/>
    <w:rsid w:val="00F00563"/>
    <w:rsid w:val="00F00967"/>
    <w:rsid w:val="00F00AC9"/>
    <w:rsid w:val="00F00C4F"/>
    <w:rsid w:val="00F00CD4"/>
    <w:rsid w:val="00F013B1"/>
    <w:rsid w:val="00F0144C"/>
    <w:rsid w:val="00F01554"/>
    <w:rsid w:val="00F018EF"/>
    <w:rsid w:val="00F019EA"/>
    <w:rsid w:val="00F02835"/>
    <w:rsid w:val="00F02BF7"/>
    <w:rsid w:val="00F02D4E"/>
    <w:rsid w:val="00F032B3"/>
    <w:rsid w:val="00F03529"/>
    <w:rsid w:val="00F037C5"/>
    <w:rsid w:val="00F03FE2"/>
    <w:rsid w:val="00F04784"/>
    <w:rsid w:val="00F04A61"/>
    <w:rsid w:val="00F04B44"/>
    <w:rsid w:val="00F059AE"/>
    <w:rsid w:val="00F05B09"/>
    <w:rsid w:val="00F06186"/>
    <w:rsid w:val="00F0674E"/>
    <w:rsid w:val="00F06EBA"/>
    <w:rsid w:val="00F06F99"/>
    <w:rsid w:val="00F07036"/>
    <w:rsid w:val="00F078DA"/>
    <w:rsid w:val="00F1025F"/>
    <w:rsid w:val="00F106A2"/>
    <w:rsid w:val="00F106A9"/>
    <w:rsid w:val="00F11060"/>
    <w:rsid w:val="00F110A1"/>
    <w:rsid w:val="00F11276"/>
    <w:rsid w:val="00F11323"/>
    <w:rsid w:val="00F113AB"/>
    <w:rsid w:val="00F114A1"/>
    <w:rsid w:val="00F11773"/>
    <w:rsid w:val="00F11799"/>
    <w:rsid w:val="00F11975"/>
    <w:rsid w:val="00F11A71"/>
    <w:rsid w:val="00F11FC0"/>
    <w:rsid w:val="00F122E8"/>
    <w:rsid w:val="00F133A5"/>
    <w:rsid w:val="00F13F80"/>
    <w:rsid w:val="00F14C18"/>
    <w:rsid w:val="00F14E2E"/>
    <w:rsid w:val="00F155E6"/>
    <w:rsid w:val="00F15824"/>
    <w:rsid w:val="00F1582C"/>
    <w:rsid w:val="00F159A5"/>
    <w:rsid w:val="00F15ACB"/>
    <w:rsid w:val="00F15B01"/>
    <w:rsid w:val="00F15B2A"/>
    <w:rsid w:val="00F15F12"/>
    <w:rsid w:val="00F16975"/>
    <w:rsid w:val="00F16D37"/>
    <w:rsid w:val="00F16D3A"/>
    <w:rsid w:val="00F16FC0"/>
    <w:rsid w:val="00F17ABE"/>
    <w:rsid w:val="00F20026"/>
    <w:rsid w:val="00F20469"/>
    <w:rsid w:val="00F20B81"/>
    <w:rsid w:val="00F20BC0"/>
    <w:rsid w:val="00F20BE1"/>
    <w:rsid w:val="00F2147C"/>
    <w:rsid w:val="00F21788"/>
    <w:rsid w:val="00F21B4B"/>
    <w:rsid w:val="00F22728"/>
    <w:rsid w:val="00F22876"/>
    <w:rsid w:val="00F22B65"/>
    <w:rsid w:val="00F22CCD"/>
    <w:rsid w:val="00F22D7F"/>
    <w:rsid w:val="00F230CF"/>
    <w:rsid w:val="00F2361D"/>
    <w:rsid w:val="00F23902"/>
    <w:rsid w:val="00F23B15"/>
    <w:rsid w:val="00F2460F"/>
    <w:rsid w:val="00F25022"/>
    <w:rsid w:val="00F2510E"/>
    <w:rsid w:val="00F254C5"/>
    <w:rsid w:val="00F25BC3"/>
    <w:rsid w:val="00F25D50"/>
    <w:rsid w:val="00F26974"/>
    <w:rsid w:val="00F26D50"/>
    <w:rsid w:val="00F26F97"/>
    <w:rsid w:val="00F278F3"/>
    <w:rsid w:val="00F303E6"/>
    <w:rsid w:val="00F30998"/>
    <w:rsid w:val="00F30B96"/>
    <w:rsid w:val="00F318DB"/>
    <w:rsid w:val="00F31F0B"/>
    <w:rsid w:val="00F321BA"/>
    <w:rsid w:val="00F325D9"/>
    <w:rsid w:val="00F32B05"/>
    <w:rsid w:val="00F335AB"/>
    <w:rsid w:val="00F3498A"/>
    <w:rsid w:val="00F34F00"/>
    <w:rsid w:val="00F35492"/>
    <w:rsid w:val="00F35F72"/>
    <w:rsid w:val="00F36509"/>
    <w:rsid w:val="00F3682F"/>
    <w:rsid w:val="00F368EE"/>
    <w:rsid w:val="00F4001B"/>
    <w:rsid w:val="00F4028B"/>
    <w:rsid w:val="00F40489"/>
    <w:rsid w:val="00F41724"/>
    <w:rsid w:val="00F41B73"/>
    <w:rsid w:val="00F41DC4"/>
    <w:rsid w:val="00F42541"/>
    <w:rsid w:val="00F43081"/>
    <w:rsid w:val="00F4334E"/>
    <w:rsid w:val="00F43A98"/>
    <w:rsid w:val="00F4414F"/>
    <w:rsid w:val="00F44505"/>
    <w:rsid w:val="00F4523F"/>
    <w:rsid w:val="00F457E6"/>
    <w:rsid w:val="00F47107"/>
    <w:rsid w:val="00F47D6D"/>
    <w:rsid w:val="00F5023A"/>
    <w:rsid w:val="00F5029D"/>
    <w:rsid w:val="00F50318"/>
    <w:rsid w:val="00F50338"/>
    <w:rsid w:val="00F503C7"/>
    <w:rsid w:val="00F503FF"/>
    <w:rsid w:val="00F50ADD"/>
    <w:rsid w:val="00F50D3A"/>
    <w:rsid w:val="00F517E4"/>
    <w:rsid w:val="00F51944"/>
    <w:rsid w:val="00F52024"/>
    <w:rsid w:val="00F52A01"/>
    <w:rsid w:val="00F542D3"/>
    <w:rsid w:val="00F5453B"/>
    <w:rsid w:val="00F5473F"/>
    <w:rsid w:val="00F54D98"/>
    <w:rsid w:val="00F54E1B"/>
    <w:rsid w:val="00F55E22"/>
    <w:rsid w:val="00F55E25"/>
    <w:rsid w:val="00F562B5"/>
    <w:rsid w:val="00F56F5A"/>
    <w:rsid w:val="00F5706D"/>
    <w:rsid w:val="00F57317"/>
    <w:rsid w:val="00F5781D"/>
    <w:rsid w:val="00F604AF"/>
    <w:rsid w:val="00F6058C"/>
    <w:rsid w:val="00F61169"/>
    <w:rsid w:val="00F620B2"/>
    <w:rsid w:val="00F62254"/>
    <w:rsid w:val="00F626E2"/>
    <w:rsid w:val="00F6290E"/>
    <w:rsid w:val="00F63C63"/>
    <w:rsid w:val="00F6423C"/>
    <w:rsid w:val="00F64BA5"/>
    <w:rsid w:val="00F65352"/>
    <w:rsid w:val="00F65818"/>
    <w:rsid w:val="00F65A4A"/>
    <w:rsid w:val="00F65BB4"/>
    <w:rsid w:val="00F65C05"/>
    <w:rsid w:val="00F65DD9"/>
    <w:rsid w:val="00F65E0D"/>
    <w:rsid w:val="00F66474"/>
    <w:rsid w:val="00F66C3E"/>
    <w:rsid w:val="00F675B9"/>
    <w:rsid w:val="00F67AEC"/>
    <w:rsid w:val="00F67C57"/>
    <w:rsid w:val="00F67F03"/>
    <w:rsid w:val="00F70005"/>
    <w:rsid w:val="00F70C6E"/>
    <w:rsid w:val="00F70E11"/>
    <w:rsid w:val="00F710D6"/>
    <w:rsid w:val="00F71C03"/>
    <w:rsid w:val="00F72C23"/>
    <w:rsid w:val="00F7352E"/>
    <w:rsid w:val="00F73E59"/>
    <w:rsid w:val="00F74324"/>
    <w:rsid w:val="00F744A6"/>
    <w:rsid w:val="00F7454D"/>
    <w:rsid w:val="00F7478B"/>
    <w:rsid w:val="00F748E5"/>
    <w:rsid w:val="00F74A0C"/>
    <w:rsid w:val="00F74BF8"/>
    <w:rsid w:val="00F75456"/>
    <w:rsid w:val="00F75D63"/>
    <w:rsid w:val="00F767CB"/>
    <w:rsid w:val="00F76D86"/>
    <w:rsid w:val="00F76EA8"/>
    <w:rsid w:val="00F77194"/>
    <w:rsid w:val="00F77BD3"/>
    <w:rsid w:val="00F77FAB"/>
    <w:rsid w:val="00F80AF7"/>
    <w:rsid w:val="00F80DE3"/>
    <w:rsid w:val="00F80EEF"/>
    <w:rsid w:val="00F811CC"/>
    <w:rsid w:val="00F816DA"/>
    <w:rsid w:val="00F819BC"/>
    <w:rsid w:val="00F81CC6"/>
    <w:rsid w:val="00F82F5F"/>
    <w:rsid w:val="00F83227"/>
    <w:rsid w:val="00F839E6"/>
    <w:rsid w:val="00F84D47"/>
    <w:rsid w:val="00F851F9"/>
    <w:rsid w:val="00F85717"/>
    <w:rsid w:val="00F8580F"/>
    <w:rsid w:val="00F8623B"/>
    <w:rsid w:val="00F86246"/>
    <w:rsid w:val="00F863E1"/>
    <w:rsid w:val="00F86878"/>
    <w:rsid w:val="00F86A17"/>
    <w:rsid w:val="00F87331"/>
    <w:rsid w:val="00F87B52"/>
    <w:rsid w:val="00F87C1A"/>
    <w:rsid w:val="00F87E59"/>
    <w:rsid w:val="00F900AA"/>
    <w:rsid w:val="00F902FB"/>
    <w:rsid w:val="00F90314"/>
    <w:rsid w:val="00F90517"/>
    <w:rsid w:val="00F91FDE"/>
    <w:rsid w:val="00F9229B"/>
    <w:rsid w:val="00F92797"/>
    <w:rsid w:val="00F929E1"/>
    <w:rsid w:val="00F92E97"/>
    <w:rsid w:val="00F930AB"/>
    <w:rsid w:val="00F934BF"/>
    <w:rsid w:val="00F94D3E"/>
    <w:rsid w:val="00F95278"/>
    <w:rsid w:val="00F96292"/>
    <w:rsid w:val="00F96736"/>
    <w:rsid w:val="00F967CE"/>
    <w:rsid w:val="00F96F8B"/>
    <w:rsid w:val="00F96FB2"/>
    <w:rsid w:val="00F97244"/>
    <w:rsid w:val="00F972EA"/>
    <w:rsid w:val="00F977B2"/>
    <w:rsid w:val="00FA0215"/>
    <w:rsid w:val="00FA024A"/>
    <w:rsid w:val="00FA031F"/>
    <w:rsid w:val="00FA0451"/>
    <w:rsid w:val="00FA07EE"/>
    <w:rsid w:val="00FA08C3"/>
    <w:rsid w:val="00FA0E49"/>
    <w:rsid w:val="00FA0ED8"/>
    <w:rsid w:val="00FA173E"/>
    <w:rsid w:val="00FA1B25"/>
    <w:rsid w:val="00FA207F"/>
    <w:rsid w:val="00FA24B2"/>
    <w:rsid w:val="00FA297C"/>
    <w:rsid w:val="00FA29D9"/>
    <w:rsid w:val="00FA429C"/>
    <w:rsid w:val="00FA46EE"/>
    <w:rsid w:val="00FA478A"/>
    <w:rsid w:val="00FA48D7"/>
    <w:rsid w:val="00FA4C58"/>
    <w:rsid w:val="00FA5270"/>
    <w:rsid w:val="00FA55E2"/>
    <w:rsid w:val="00FA5C45"/>
    <w:rsid w:val="00FA6890"/>
    <w:rsid w:val="00FA6C61"/>
    <w:rsid w:val="00FA7956"/>
    <w:rsid w:val="00FB0994"/>
    <w:rsid w:val="00FB0D9E"/>
    <w:rsid w:val="00FB0EDD"/>
    <w:rsid w:val="00FB12D4"/>
    <w:rsid w:val="00FB131E"/>
    <w:rsid w:val="00FB1821"/>
    <w:rsid w:val="00FB1930"/>
    <w:rsid w:val="00FB1E69"/>
    <w:rsid w:val="00FB2597"/>
    <w:rsid w:val="00FB28F2"/>
    <w:rsid w:val="00FB2CE6"/>
    <w:rsid w:val="00FB2DC4"/>
    <w:rsid w:val="00FB2F76"/>
    <w:rsid w:val="00FB320F"/>
    <w:rsid w:val="00FB37B9"/>
    <w:rsid w:val="00FB3B39"/>
    <w:rsid w:val="00FB3E5F"/>
    <w:rsid w:val="00FB4218"/>
    <w:rsid w:val="00FB435B"/>
    <w:rsid w:val="00FB467B"/>
    <w:rsid w:val="00FB5130"/>
    <w:rsid w:val="00FB5178"/>
    <w:rsid w:val="00FB54B2"/>
    <w:rsid w:val="00FB5EE9"/>
    <w:rsid w:val="00FB5FC2"/>
    <w:rsid w:val="00FB647F"/>
    <w:rsid w:val="00FB65D9"/>
    <w:rsid w:val="00FB6A03"/>
    <w:rsid w:val="00FB6E3B"/>
    <w:rsid w:val="00FB7729"/>
    <w:rsid w:val="00FB777D"/>
    <w:rsid w:val="00FB7A5D"/>
    <w:rsid w:val="00FB7DC3"/>
    <w:rsid w:val="00FC05E7"/>
    <w:rsid w:val="00FC0CFB"/>
    <w:rsid w:val="00FC12E3"/>
    <w:rsid w:val="00FC167B"/>
    <w:rsid w:val="00FC1CBA"/>
    <w:rsid w:val="00FC1E84"/>
    <w:rsid w:val="00FC204A"/>
    <w:rsid w:val="00FC2B92"/>
    <w:rsid w:val="00FC32F8"/>
    <w:rsid w:val="00FC3690"/>
    <w:rsid w:val="00FC3947"/>
    <w:rsid w:val="00FC3B17"/>
    <w:rsid w:val="00FC3E79"/>
    <w:rsid w:val="00FC48EA"/>
    <w:rsid w:val="00FC492E"/>
    <w:rsid w:val="00FC4E0F"/>
    <w:rsid w:val="00FC4E3F"/>
    <w:rsid w:val="00FC4E54"/>
    <w:rsid w:val="00FC53A1"/>
    <w:rsid w:val="00FC560F"/>
    <w:rsid w:val="00FC58CB"/>
    <w:rsid w:val="00FC645A"/>
    <w:rsid w:val="00FC6891"/>
    <w:rsid w:val="00FC69FF"/>
    <w:rsid w:val="00FC6FC3"/>
    <w:rsid w:val="00FC700B"/>
    <w:rsid w:val="00FC75E6"/>
    <w:rsid w:val="00FC7B0E"/>
    <w:rsid w:val="00FD050C"/>
    <w:rsid w:val="00FD09C1"/>
    <w:rsid w:val="00FD09C9"/>
    <w:rsid w:val="00FD1462"/>
    <w:rsid w:val="00FD15EF"/>
    <w:rsid w:val="00FD175A"/>
    <w:rsid w:val="00FD2108"/>
    <w:rsid w:val="00FD29CA"/>
    <w:rsid w:val="00FD2B38"/>
    <w:rsid w:val="00FD2BF7"/>
    <w:rsid w:val="00FD2D83"/>
    <w:rsid w:val="00FD5721"/>
    <w:rsid w:val="00FD62CD"/>
    <w:rsid w:val="00FD64AA"/>
    <w:rsid w:val="00FD67EF"/>
    <w:rsid w:val="00FD698A"/>
    <w:rsid w:val="00FD6DD7"/>
    <w:rsid w:val="00FD7B3F"/>
    <w:rsid w:val="00FE0059"/>
    <w:rsid w:val="00FE04F5"/>
    <w:rsid w:val="00FE0B7B"/>
    <w:rsid w:val="00FE0C49"/>
    <w:rsid w:val="00FE1060"/>
    <w:rsid w:val="00FE160F"/>
    <w:rsid w:val="00FE231F"/>
    <w:rsid w:val="00FE2496"/>
    <w:rsid w:val="00FE29D8"/>
    <w:rsid w:val="00FE32D3"/>
    <w:rsid w:val="00FE3303"/>
    <w:rsid w:val="00FE34C9"/>
    <w:rsid w:val="00FE3A78"/>
    <w:rsid w:val="00FE3B1E"/>
    <w:rsid w:val="00FE3E13"/>
    <w:rsid w:val="00FE4212"/>
    <w:rsid w:val="00FE485A"/>
    <w:rsid w:val="00FE4D50"/>
    <w:rsid w:val="00FE503F"/>
    <w:rsid w:val="00FE522F"/>
    <w:rsid w:val="00FE560D"/>
    <w:rsid w:val="00FE60A1"/>
    <w:rsid w:val="00FE6212"/>
    <w:rsid w:val="00FE656F"/>
    <w:rsid w:val="00FE65AC"/>
    <w:rsid w:val="00FE755A"/>
    <w:rsid w:val="00FE78DD"/>
    <w:rsid w:val="00FE7C76"/>
    <w:rsid w:val="00FF096B"/>
    <w:rsid w:val="00FF0A19"/>
    <w:rsid w:val="00FF0DA4"/>
    <w:rsid w:val="00FF191C"/>
    <w:rsid w:val="00FF2FB6"/>
    <w:rsid w:val="00FF3E70"/>
    <w:rsid w:val="00FF4BCB"/>
    <w:rsid w:val="00FF55BF"/>
    <w:rsid w:val="00FF6EE0"/>
    <w:rsid w:val="00FF7C7F"/>
    <w:rsid w:val="29F465D8"/>
    <w:rsid w:val="3D965DF7"/>
    <w:rsid w:val="45EE06A6"/>
    <w:rsid w:val="51670D86"/>
    <w:rsid w:val="7A516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qFormat="1" w:unhideWhenUsed="0" w:uiPriority="39" w:semiHidden="0"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33"/>
    <w:qFormat/>
    <w:uiPriority w:val="9"/>
    <w:pPr>
      <w:keepNext/>
      <w:keepLines/>
      <w:numPr>
        <w:ilvl w:val="0"/>
        <w:numId w:val="1"/>
      </w:numPr>
      <w:ind w:firstLine="0" w:firstLineChars="0"/>
      <w:jc w:val="center"/>
      <w:outlineLvl w:val="0"/>
    </w:pPr>
    <w:rPr>
      <w:b/>
      <w:bCs/>
      <w:kern w:val="44"/>
      <w:sz w:val="36"/>
      <w:szCs w:val="44"/>
    </w:rPr>
  </w:style>
  <w:style w:type="paragraph" w:styleId="3">
    <w:name w:val="heading 2"/>
    <w:basedOn w:val="1"/>
    <w:next w:val="1"/>
    <w:link w:val="34"/>
    <w:unhideWhenUsed/>
    <w:qFormat/>
    <w:uiPriority w:val="9"/>
    <w:pPr>
      <w:keepNext/>
      <w:keepLines/>
      <w:numPr>
        <w:ilvl w:val="1"/>
        <w:numId w:val="1"/>
      </w:numPr>
      <w:ind w:left="0" w:firstLineChars="0"/>
      <w:outlineLvl w:val="1"/>
    </w:pPr>
    <w:rPr>
      <w:b/>
      <w:bCs/>
      <w:sz w:val="32"/>
      <w:szCs w:val="32"/>
    </w:rPr>
  </w:style>
  <w:style w:type="paragraph" w:styleId="4">
    <w:name w:val="heading 3"/>
    <w:basedOn w:val="1"/>
    <w:next w:val="1"/>
    <w:link w:val="35"/>
    <w:unhideWhenUsed/>
    <w:qFormat/>
    <w:uiPriority w:val="9"/>
    <w:pPr>
      <w:keepNext/>
      <w:keepLines/>
      <w:numPr>
        <w:ilvl w:val="2"/>
        <w:numId w:val="1"/>
      </w:numPr>
      <w:ind w:left="0" w:firstLineChars="0"/>
      <w:outlineLvl w:val="2"/>
    </w:pPr>
    <w:rPr>
      <w:b/>
      <w:bCs/>
      <w:sz w:val="28"/>
      <w:szCs w:val="32"/>
    </w:rPr>
  </w:style>
  <w:style w:type="paragraph" w:styleId="5">
    <w:name w:val="heading 4"/>
    <w:basedOn w:val="1"/>
    <w:next w:val="1"/>
    <w:link w:val="36"/>
    <w:unhideWhenUsed/>
    <w:qFormat/>
    <w:uiPriority w:val="9"/>
    <w:pPr>
      <w:keepNext/>
      <w:keepLines/>
      <w:numPr>
        <w:ilvl w:val="3"/>
        <w:numId w:val="1"/>
      </w:numPr>
      <w:ind w:left="0" w:firstLineChars="0"/>
      <w:outlineLvl w:val="3"/>
    </w:pPr>
    <w:rPr>
      <w:b/>
      <w:bCs/>
      <w:sz w:val="28"/>
      <w:szCs w:val="28"/>
    </w:rPr>
  </w:style>
  <w:style w:type="paragraph" w:styleId="6">
    <w:name w:val="heading 5"/>
    <w:basedOn w:val="1"/>
    <w:next w:val="1"/>
    <w:link w:val="37"/>
    <w:unhideWhenUsed/>
    <w:qFormat/>
    <w:uiPriority w:val="9"/>
    <w:pPr>
      <w:keepNext/>
      <w:keepLines/>
      <w:numPr>
        <w:ilvl w:val="4"/>
        <w:numId w:val="1"/>
      </w:numPr>
      <w:ind w:firstLineChars="0"/>
      <w:outlineLvl w:val="4"/>
    </w:pPr>
    <w:rPr>
      <w:b/>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Layout w:type="fixed"/>
      <w:tblCellMar>
        <w:top w:w="0" w:type="dxa"/>
        <w:left w:w="108" w:type="dxa"/>
        <w:bottom w:w="0" w:type="dxa"/>
        <w:right w:w="108" w:type="dxa"/>
      </w:tblCellMar>
    </w:tblPr>
  </w:style>
  <w:style w:type="paragraph" w:styleId="7">
    <w:name w:val="Normal Indent"/>
    <w:basedOn w:val="1"/>
    <w:qFormat/>
    <w:uiPriority w:val="0"/>
    <w:pPr>
      <w:spacing w:line="240" w:lineRule="auto"/>
      <w:ind w:firstLine="420" w:firstLineChars="0"/>
    </w:pPr>
    <w:rPr>
      <w:sz w:val="21"/>
      <w:szCs w:val="21"/>
    </w:r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Document Map"/>
    <w:basedOn w:val="1"/>
    <w:link w:val="42"/>
    <w:semiHidden/>
    <w:unhideWhenUsed/>
    <w:qFormat/>
    <w:uiPriority w:val="99"/>
    <w:rPr>
      <w:rFonts w:ascii="宋体"/>
      <w:sz w:val="18"/>
      <w:szCs w:val="18"/>
    </w:rPr>
  </w:style>
  <w:style w:type="paragraph" w:styleId="10">
    <w:name w:val="annotation text"/>
    <w:basedOn w:val="1"/>
    <w:link w:val="81"/>
    <w:semiHidden/>
    <w:unhideWhenUsed/>
    <w:qFormat/>
    <w:uiPriority w:val="99"/>
    <w:pPr>
      <w:jc w:val="left"/>
    </w:pPr>
  </w:style>
  <w:style w:type="paragraph" w:styleId="11">
    <w:name w:val="Body Text"/>
    <w:basedOn w:val="1"/>
    <w:link w:val="50"/>
    <w:qFormat/>
    <w:uiPriority w:val="0"/>
    <w:pPr>
      <w:spacing w:line="540" w:lineRule="exact"/>
      <w:ind w:firstLine="0" w:firstLineChars="0"/>
    </w:pPr>
    <w:rPr>
      <w:rFonts w:ascii="宋体" w:hAnsi="宋体"/>
      <w:sz w:val="28"/>
      <w:szCs w:val="24"/>
    </w:rPr>
  </w:style>
  <w:style w:type="paragraph" w:styleId="12">
    <w:name w:val="Body Text Indent"/>
    <w:basedOn w:val="1"/>
    <w:link w:val="54"/>
    <w:qFormat/>
    <w:uiPriority w:val="0"/>
    <w:pPr>
      <w:spacing w:after="120" w:line="240" w:lineRule="auto"/>
      <w:ind w:left="420" w:leftChars="200" w:firstLine="0" w:firstLineChars="0"/>
    </w:pPr>
    <w:rPr>
      <w:sz w:val="21"/>
      <w:szCs w:val="24"/>
    </w:rPr>
  </w:style>
  <w:style w:type="paragraph" w:styleId="13">
    <w:name w:val="Block Text"/>
    <w:basedOn w:val="1"/>
    <w:qFormat/>
    <w:uiPriority w:val="0"/>
    <w:pPr>
      <w:spacing w:line="420" w:lineRule="exact"/>
      <w:ind w:left="101" w:leftChars="48" w:right="149" w:rightChars="71" w:firstLine="426" w:firstLineChars="203"/>
    </w:pPr>
    <w:rPr>
      <w:sz w:val="21"/>
      <w:szCs w:val="24"/>
    </w:rPr>
  </w:style>
  <w:style w:type="paragraph" w:styleId="14">
    <w:name w:val="toc 3"/>
    <w:basedOn w:val="1"/>
    <w:next w:val="1"/>
    <w:unhideWhenUsed/>
    <w:uiPriority w:val="39"/>
    <w:pPr>
      <w:ind w:left="840" w:leftChars="400"/>
    </w:pPr>
  </w:style>
  <w:style w:type="paragraph" w:styleId="15">
    <w:name w:val="Plain Text"/>
    <w:basedOn w:val="1"/>
    <w:link w:val="55"/>
    <w:qFormat/>
    <w:uiPriority w:val="0"/>
    <w:pPr>
      <w:spacing w:line="240" w:lineRule="auto"/>
      <w:ind w:firstLine="0" w:firstLineChars="0"/>
    </w:pPr>
    <w:rPr>
      <w:rFonts w:ascii="宋体" w:hAnsi="Courier New"/>
      <w:sz w:val="21"/>
      <w:szCs w:val="20"/>
    </w:rPr>
  </w:style>
  <w:style w:type="paragraph" w:styleId="16">
    <w:name w:val="toc 8"/>
    <w:basedOn w:val="1"/>
    <w:next w:val="1"/>
    <w:qFormat/>
    <w:uiPriority w:val="39"/>
    <w:pPr>
      <w:spacing w:line="240" w:lineRule="auto"/>
      <w:ind w:left="2940" w:leftChars="1400" w:firstLine="0" w:firstLineChars="0"/>
    </w:pPr>
    <w:rPr>
      <w:sz w:val="21"/>
      <w:szCs w:val="24"/>
    </w:rPr>
  </w:style>
  <w:style w:type="paragraph" w:styleId="17">
    <w:name w:val="Body Text Indent 2"/>
    <w:basedOn w:val="1"/>
    <w:link w:val="57"/>
    <w:qFormat/>
    <w:uiPriority w:val="0"/>
    <w:pPr>
      <w:spacing w:after="120" w:line="480" w:lineRule="auto"/>
      <w:ind w:left="420" w:leftChars="200" w:firstLine="0" w:firstLineChars="0"/>
    </w:pPr>
    <w:rPr>
      <w:sz w:val="21"/>
      <w:szCs w:val="24"/>
    </w:rPr>
  </w:style>
  <w:style w:type="paragraph" w:styleId="18">
    <w:name w:val="Balloon Text"/>
    <w:basedOn w:val="1"/>
    <w:link w:val="64"/>
    <w:semiHidden/>
    <w:unhideWhenUsed/>
    <w:qFormat/>
    <w:uiPriority w:val="99"/>
    <w:pPr>
      <w:spacing w:line="240" w:lineRule="auto"/>
    </w:pPr>
    <w:rPr>
      <w:sz w:val="18"/>
      <w:szCs w:val="18"/>
    </w:rPr>
  </w:style>
  <w:style w:type="paragraph" w:styleId="19">
    <w:name w:val="footer"/>
    <w:basedOn w:val="1"/>
    <w:link w:val="39"/>
    <w:unhideWhenUsed/>
    <w:qFormat/>
    <w:uiPriority w:val="99"/>
    <w:pPr>
      <w:tabs>
        <w:tab w:val="center" w:pos="4153"/>
        <w:tab w:val="right" w:pos="8306"/>
      </w:tabs>
      <w:jc w:val="left"/>
    </w:pPr>
    <w:rPr>
      <w:sz w:val="18"/>
      <w:szCs w:val="18"/>
    </w:rPr>
  </w:style>
  <w:style w:type="paragraph" w:styleId="20">
    <w:name w:val="header"/>
    <w:basedOn w:val="1"/>
    <w:link w:val="38"/>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qFormat/>
    <w:uiPriority w:val="39"/>
    <w:pPr>
      <w:ind w:firstLine="0" w:firstLineChars="0"/>
    </w:pPr>
    <w:rPr>
      <w:szCs w:val="24"/>
    </w:rPr>
  </w:style>
  <w:style w:type="paragraph" w:styleId="22">
    <w:name w:val="Body Text Indent 3"/>
    <w:basedOn w:val="1"/>
    <w:link w:val="77"/>
    <w:qFormat/>
    <w:uiPriority w:val="0"/>
    <w:pPr>
      <w:widowControl/>
      <w:spacing w:after="120" w:line="425" w:lineRule="atLeast"/>
      <w:ind w:left="420" w:leftChars="200" w:firstLine="0" w:firstLineChars="0"/>
      <w:textAlignment w:val="baseline"/>
    </w:pPr>
    <w:rPr>
      <w:color w:val="000000"/>
      <w:kern w:val="0"/>
      <w:sz w:val="16"/>
      <w:szCs w:val="16"/>
      <w:u w:color="000000"/>
    </w:rPr>
  </w:style>
  <w:style w:type="paragraph" w:styleId="23">
    <w:name w:val="toc 2"/>
    <w:basedOn w:val="1"/>
    <w:next w:val="1"/>
    <w:unhideWhenUsed/>
    <w:qFormat/>
    <w:uiPriority w:val="39"/>
    <w:pPr>
      <w:tabs>
        <w:tab w:val="right" w:leader="dot" w:pos="8296"/>
      </w:tabs>
    </w:pPr>
  </w:style>
  <w:style w:type="paragraph" w:styleId="24">
    <w:name w:val="Normal (Web)"/>
    <w:basedOn w:val="1"/>
    <w:semiHidden/>
    <w:unhideWhenUsed/>
    <w:uiPriority w:val="99"/>
    <w:rPr>
      <w:szCs w:val="24"/>
    </w:rPr>
  </w:style>
  <w:style w:type="paragraph" w:styleId="25">
    <w:name w:val="Title"/>
    <w:basedOn w:val="1"/>
    <w:next w:val="1"/>
    <w:link w:val="92"/>
    <w:qFormat/>
    <w:uiPriority w:val="10"/>
    <w:pPr>
      <w:spacing w:before="240" w:after="60"/>
      <w:jc w:val="center"/>
      <w:outlineLvl w:val="0"/>
    </w:pPr>
    <w:rPr>
      <w:rFonts w:asciiTheme="majorHAnsi" w:hAnsiTheme="majorHAnsi" w:cstheme="majorBidi"/>
      <w:b/>
      <w:bCs/>
      <w:sz w:val="32"/>
      <w:szCs w:val="32"/>
    </w:rPr>
  </w:style>
  <w:style w:type="paragraph" w:styleId="26">
    <w:name w:val="annotation subject"/>
    <w:basedOn w:val="10"/>
    <w:next w:val="10"/>
    <w:link w:val="82"/>
    <w:semiHidden/>
    <w:unhideWhenUsed/>
    <w:qFormat/>
    <w:uiPriority w:val="99"/>
    <w:rPr>
      <w:b/>
      <w:bCs/>
    </w:rPr>
  </w:style>
  <w:style w:type="table" w:styleId="28">
    <w:name w:val="Table Grid"/>
    <w:basedOn w:val="2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Hyperlink"/>
    <w:basedOn w:val="29"/>
    <w:unhideWhenUsed/>
    <w:qFormat/>
    <w:uiPriority w:val="99"/>
    <w:rPr>
      <w:color w:val="0000FF" w:themeColor="hyperlink"/>
      <w:u w:val="single"/>
      <w14:textFill>
        <w14:solidFill>
          <w14:schemeClr w14:val="hlink"/>
        </w14:solidFill>
      </w14:textFill>
    </w:rPr>
  </w:style>
  <w:style w:type="character" w:styleId="32">
    <w:name w:val="annotation reference"/>
    <w:qFormat/>
    <w:uiPriority w:val="0"/>
    <w:rPr>
      <w:sz w:val="21"/>
      <w:szCs w:val="21"/>
    </w:rPr>
  </w:style>
  <w:style w:type="character" w:customStyle="1" w:styleId="33">
    <w:name w:val="标题 1 Char"/>
    <w:basedOn w:val="29"/>
    <w:link w:val="2"/>
    <w:qFormat/>
    <w:uiPriority w:val="9"/>
    <w:rPr>
      <w:rFonts w:ascii="Times New Roman" w:hAnsi="Times New Roman"/>
      <w:b/>
      <w:bCs/>
      <w:kern w:val="44"/>
      <w:sz w:val="36"/>
      <w:szCs w:val="44"/>
    </w:rPr>
  </w:style>
  <w:style w:type="character" w:customStyle="1" w:styleId="34">
    <w:name w:val="标题 2 Char"/>
    <w:basedOn w:val="29"/>
    <w:link w:val="3"/>
    <w:qFormat/>
    <w:uiPriority w:val="9"/>
    <w:rPr>
      <w:rFonts w:ascii="Times New Roman" w:hAnsi="Times New Roman"/>
      <w:b/>
      <w:bCs/>
      <w:kern w:val="2"/>
      <w:sz w:val="32"/>
      <w:szCs w:val="32"/>
    </w:rPr>
  </w:style>
  <w:style w:type="character" w:customStyle="1" w:styleId="35">
    <w:name w:val="标题 3 Char"/>
    <w:basedOn w:val="29"/>
    <w:link w:val="4"/>
    <w:qFormat/>
    <w:uiPriority w:val="9"/>
    <w:rPr>
      <w:rFonts w:ascii="Times New Roman" w:hAnsi="Times New Roman"/>
      <w:b/>
      <w:bCs/>
      <w:kern w:val="2"/>
      <w:sz w:val="28"/>
      <w:szCs w:val="32"/>
    </w:rPr>
  </w:style>
  <w:style w:type="character" w:customStyle="1" w:styleId="36">
    <w:name w:val="标题 4 Char"/>
    <w:basedOn w:val="29"/>
    <w:link w:val="5"/>
    <w:qFormat/>
    <w:uiPriority w:val="9"/>
    <w:rPr>
      <w:rFonts w:ascii="Times New Roman" w:hAnsi="Times New Roman"/>
      <w:b/>
      <w:bCs/>
      <w:kern w:val="2"/>
      <w:sz w:val="28"/>
      <w:szCs w:val="28"/>
    </w:rPr>
  </w:style>
  <w:style w:type="character" w:customStyle="1" w:styleId="37">
    <w:name w:val="标题 5 Char"/>
    <w:basedOn w:val="29"/>
    <w:link w:val="6"/>
    <w:qFormat/>
    <w:uiPriority w:val="9"/>
    <w:rPr>
      <w:rFonts w:ascii="Times New Roman" w:hAnsi="Times New Roman"/>
      <w:b/>
      <w:bCs/>
      <w:kern w:val="2"/>
      <w:sz w:val="24"/>
      <w:szCs w:val="28"/>
    </w:rPr>
  </w:style>
  <w:style w:type="character" w:customStyle="1" w:styleId="38">
    <w:name w:val="页眉 Char"/>
    <w:basedOn w:val="29"/>
    <w:link w:val="20"/>
    <w:qFormat/>
    <w:uiPriority w:val="99"/>
    <w:rPr>
      <w:sz w:val="18"/>
      <w:szCs w:val="18"/>
    </w:rPr>
  </w:style>
  <w:style w:type="character" w:customStyle="1" w:styleId="39">
    <w:name w:val="页脚 Char"/>
    <w:basedOn w:val="29"/>
    <w:link w:val="19"/>
    <w:qFormat/>
    <w:uiPriority w:val="99"/>
    <w:rPr>
      <w:sz w:val="18"/>
      <w:szCs w:val="18"/>
    </w:rPr>
  </w:style>
  <w:style w:type="paragraph" w:customStyle="1" w:styleId="40">
    <w:name w:val="表格文字"/>
    <w:basedOn w:val="1"/>
    <w:next w:val="1"/>
    <w:qFormat/>
    <w:uiPriority w:val="0"/>
    <w:pPr>
      <w:spacing w:line="240" w:lineRule="auto"/>
      <w:ind w:firstLine="0" w:firstLineChars="0"/>
      <w:jc w:val="center"/>
    </w:pPr>
    <w:rPr>
      <w:sz w:val="21"/>
      <w:szCs w:val="20"/>
    </w:rPr>
  </w:style>
  <w:style w:type="paragraph" w:customStyle="1" w:styleId="41">
    <w:name w:val="表头"/>
    <w:basedOn w:val="40"/>
    <w:qFormat/>
    <w:uiPriority w:val="0"/>
    <w:rPr>
      <w:rFonts w:hAnsi="黑体" w:eastAsia="Times New Roman"/>
      <w:b/>
    </w:rPr>
  </w:style>
  <w:style w:type="character" w:customStyle="1" w:styleId="42">
    <w:name w:val="文档结构图 Char"/>
    <w:basedOn w:val="29"/>
    <w:link w:val="9"/>
    <w:semiHidden/>
    <w:qFormat/>
    <w:uiPriority w:val="99"/>
    <w:rPr>
      <w:rFonts w:ascii="宋体"/>
      <w:kern w:val="2"/>
      <w:sz w:val="18"/>
      <w:szCs w:val="18"/>
    </w:rPr>
  </w:style>
  <w:style w:type="paragraph" w:customStyle="1" w:styleId="43">
    <w:name w:val="报告正文"/>
    <w:basedOn w:val="1"/>
    <w:qFormat/>
    <w:uiPriority w:val="0"/>
    <w:pPr>
      <w:autoSpaceDE w:val="0"/>
      <w:autoSpaceDN w:val="0"/>
      <w:spacing w:line="480" w:lineRule="atLeast"/>
      <w:ind w:firstLine="480"/>
      <w:textAlignment w:val="baseline"/>
    </w:pPr>
    <w:rPr>
      <w:bCs/>
      <w:kern w:val="0"/>
      <w:szCs w:val="20"/>
      <w:u w:color="000000"/>
    </w:rPr>
  </w:style>
  <w:style w:type="paragraph" w:customStyle="1" w:styleId="44">
    <w:name w:val="表头图表"/>
    <w:qFormat/>
    <w:uiPriority w:val="0"/>
    <w:pPr>
      <w:widowControl w:val="0"/>
      <w:autoSpaceDE w:val="0"/>
      <w:autoSpaceDN w:val="0"/>
      <w:adjustRightInd w:val="0"/>
      <w:snapToGrid w:val="0"/>
      <w:jc w:val="center"/>
    </w:pPr>
    <w:rPr>
      <w:rFonts w:ascii="仿宋_GB2312" w:hAnsi="仿宋_GB2312" w:eastAsia="仿宋_GB2312" w:cs="宋体"/>
      <w:color w:val="000000"/>
      <w:sz w:val="28"/>
      <w:szCs w:val="24"/>
      <w:lang w:val="en-US" w:eastAsia="zh-CN" w:bidi="ar-SA"/>
    </w:rPr>
  </w:style>
  <w:style w:type="paragraph" w:styleId="45">
    <w:name w:val="List Paragraph"/>
    <w:basedOn w:val="1"/>
    <w:qFormat/>
    <w:uiPriority w:val="34"/>
    <w:pPr>
      <w:spacing w:line="240" w:lineRule="auto"/>
      <w:ind w:firstLine="0" w:firstLineChars="0"/>
      <w:jc w:val="center"/>
    </w:pPr>
    <w:rPr>
      <w:rFonts w:ascii="仿宋_GB2312" w:hAnsi="仿宋_GB2312" w:eastAsia="仿宋_GB2312"/>
      <w:kern w:val="0"/>
      <w:sz w:val="21"/>
      <w:szCs w:val="24"/>
    </w:rPr>
  </w:style>
  <w:style w:type="paragraph" w:customStyle="1" w:styleId="46">
    <w:name w:val="Char2 Char Char Char Char Char Char Char Char Char Char Char Char"/>
    <w:basedOn w:val="1"/>
    <w:qFormat/>
    <w:uiPriority w:val="0"/>
    <w:pPr>
      <w:spacing w:line="560" w:lineRule="exact"/>
    </w:pPr>
    <w:rPr>
      <w:rFonts w:ascii="宋体" w:hAnsi="宋体" w:cs="宋体"/>
      <w:sz w:val="28"/>
      <w:szCs w:val="28"/>
    </w:rPr>
  </w:style>
  <w:style w:type="character" w:customStyle="1" w:styleId="47">
    <w:name w:val="我的正文 Char Char"/>
    <w:link w:val="48"/>
    <w:qFormat/>
    <w:uiPriority w:val="0"/>
    <w:rPr>
      <w:rFonts w:ascii="仿宋_GB2312" w:hAnsi="仿宋_GB2312" w:eastAsia="仿宋_GB2312"/>
      <w:sz w:val="28"/>
      <w:szCs w:val="24"/>
    </w:rPr>
  </w:style>
  <w:style w:type="paragraph" w:customStyle="1" w:styleId="48">
    <w:name w:val="我的正文"/>
    <w:basedOn w:val="1"/>
    <w:link w:val="47"/>
    <w:qFormat/>
    <w:uiPriority w:val="0"/>
    <w:pPr>
      <w:spacing w:line="240" w:lineRule="auto"/>
    </w:pPr>
    <w:rPr>
      <w:rFonts w:ascii="仿宋_GB2312" w:hAnsi="仿宋_GB2312" w:eastAsia="仿宋_GB2312"/>
      <w:kern w:val="0"/>
      <w:sz w:val="28"/>
      <w:szCs w:val="24"/>
    </w:rPr>
  </w:style>
  <w:style w:type="paragraph" w:customStyle="1" w:styleId="49">
    <w:name w:val="标题4"/>
    <w:basedOn w:val="1"/>
    <w:qFormat/>
    <w:uiPriority w:val="0"/>
    <w:pPr>
      <w:ind w:firstLine="0" w:firstLineChars="0"/>
    </w:pPr>
    <w:rPr>
      <w:rFonts w:eastAsia="黑体"/>
      <w:szCs w:val="24"/>
    </w:rPr>
  </w:style>
  <w:style w:type="character" w:customStyle="1" w:styleId="50">
    <w:name w:val="正文文本 Char"/>
    <w:basedOn w:val="29"/>
    <w:link w:val="11"/>
    <w:qFormat/>
    <w:uiPriority w:val="0"/>
    <w:rPr>
      <w:rFonts w:ascii="宋体" w:hAnsi="宋体"/>
      <w:kern w:val="2"/>
      <w:sz w:val="28"/>
      <w:szCs w:val="24"/>
    </w:rPr>
  </w:style>
  <w:style w:type="paragraph" w:customStyle="1" w:styleId="51">
    <w:name w:val="_Style 3"/>
    <w:basedOn w:val="1"/>
    <w:qFormat/>
    <w:uiPriority w:val="0"/>
    <w:pPr>
      <w:spacing w:line="240" w:lineRule="auto"/>
      <w:ind w:firstLine="0" w:firstLineChars="0"/>
      <w:jc w:val="center"/>
    </w:pPr>
    <w:rPr>
      <w:sz w:val="21"/>
      <w:szCs w:val="24"/>
    </w:rPr>
  </w:style>
  <w:style w:type="paragraph" w:customStyle="1" w:styleId="52">
    <w:name w:val="标准正文"/>
    <w:basedOn w:val="1"/>
    <w:qFormat/>
    <w:uiPriority w:val="0"/>
    <w:pPr>
      <w:jc w:val="left"/>
    </w:pPr>
    <w:rPr>
      <w:rFonts w:ascii="仿宋_GB2312" w:hAnsi="仿宋_GB2312" w:eastAsia="仿宋_GB2312"/>
      <w:kern w:val="0"/>
      <w:szCs w:val="20"/>
    </w:rPr>
  </w:style>
  <w:style w:type="paragraph" w:customStyle="1" w:styleId="53">
    <w:name w:val="_Style 1"/>
    <w:basedOn w:val="1"/>
    <w:qFormat/>
    <w:uiPriority w:val="0"/>
    <w:pPr>
      <w:spacing w:line="240" w:lineRule="auto"/>
      <w:ind w:firstLine="0" w:firstLineChars="0"/>
      <w:jc w:val="center"/>
    </w:pPr>
    <w:rPr>
      <w:rFonts w:ascii="仿宋_GB2312" w:hAnsi="仿宋_GB2312" w:eastAsia="仿宋_GB2312"/>
      <w:kern w:val="0"/>
      <w:sz w:val="21"/>
      <w:szCs w:val="24"/>
    </w:rPr>
  </w:style>
  <w:style w:type="character" w:customStyle="1" w:styleId="54">
    <w:name w:val="正文文本缩进 Char"/>
    <w:basedOn w:val="29"/>
    <w:link w:val="12"/>
    <w:qFormat/>
    <w:uiPriority w:val="0"/>
    <w:rPr>
      <w:kern w:val="2"/>
      <w:sz w:val="21"/>
      <w:szCs w:val="24"/>
    </w:rPr>
  </w:style>
  <w:style w:type="character" w:customStyle="1" w:styleId="55">
    <w:name w:val="纯文本 Char"/>
    <w:basedOn w:val="29"/>
    <w:link w:val="15"/>
    <w:qFormat/>
    <w:uiPriority w:val="0"/>
    <w:rPr>
      <w:rFonts w:ascii="宋体" w:hAnsi="Courier New"/>
      <w:kern w:val="2"/>
      <w:sz w:val="21"/>
    </w:rPr>
  </w:style>
  <w:style w:type="paragraph" w:customStyle="1" w:styleId="56">
    <w:name w:val="内容"/>
    <w:basedOn w:val="1"/>
    <w:qFormat/>
    <w:uiPriority w:val="0"/>
    <w:pPr>
      <w:spacing w:line="400" w:lineRule="atLeast"/>
    </w:pPr>
    <w:rPr>
      <w:spacing w:val="10"/>
      <w:szCs w:val="20"/>
    </w:rPr>
  </w:style>
  <w:style w:type="character" w:customStyle="1" w:styleId="57">
    <w:name w:val="正文文本缩进 2 Char"/>
    <w:basedOn w:val="29"/>
    <w:link w:val="17"/>
    <w:qFormat/>
    <w:uiPriority w:val="0"/>
    <w:rPr>
      <w:rFonts w:ascii="Times New Roman" w:hAnsi="Times New Roman"/>
      <w:kern w:val="2"/>
      <w:sz w:val="21"/>
      <w:szCs w:val="24"/>
    </w:rPr>
  </w:style>
  <w:style w:type="paragraph" w:customStyle="1" w:styleId="58">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表格标题"/>
    <w:basedOn w:val="1"/>
    <w:link w:val="60"/>
    <w:qFormat/>
    <w:uiPriority w:val="0"/>
    <w:pPr>
      <w:spacing w:line="400" w:lineRule="exact"/>
      <w:ind w:firstLine="0" w:firstLineChars="0"/>
      <w:jc w:val="center"/>
    </w:pPr>
    <w:rPr>
      <w:rFonts w:eastAsia="黑体"/>
      <w:szCs w:val="24"/>
    </w:rPr>
  </w:style>
  <w:style w:type="character" w:customStyle="1" w:styleId="60">
    <w:name w:val="表格标题 字符"/>
    <w:link w:val="59"/>
    <w:qFormat/>
    <w:uiPriority w:val="0"/>
    <w:rPr>
      <w:rFonts w:ascii="Times New Roman" w:hAnsi="Times New Roman" w:eastAsia="黑体"/>
      <w:kern w:val="2"/>
      <w:sz w:val="24"/>
      <w:szCs w:val="24"/>
    </w:rPr>
  </w:style>
  <w:style w:type="character" w:customStyle="1" w:styleId="61">
    <w:name w:val="表格文字11 字符"/>
    <w:link w:val="62"/>
    <w:qFormat/>
    <w:uiPriority w:val="0"/>
    <w:rPr>
      <w:rFonts w:hAnsi="宋体"/>
      <w:kern w:val="2"/>
      <w:sz w:val="21"/>
      <w:szCs w:val="21"/>
    </w:rPr>
  </w:style>
  <w:style w:type="paragraph" w:customStyle="1" w:styleId="62">
    <w:name w:val="表格文字11"/>
    <w:basedOn w:val="1"/>
    <w:link w:val="61"/>
    <w:qFormat/>
    <w:uiPriority w:val="0"/>
    <w:pPr>
      <w:spacing w:line="400" w:lineRule="exact"/>
      <w:ind w:firstLine="0" w:firstLineChars="0"/>
      <w:jc w:val="center"/>
    </w:pPr>
    <w:rPr>
      <w:rFonts w:hAnsi="宋体"/>
      <w:sz w:val="21"/>
      <w:szCs w:val="21"/>
    </w:rPr>
  </w:style>
  <w:style w:type="paragraph" w:customStyle="1" w:styleId="63">
    <w:name w:val="Char2 Char Char Char Char Char Char Char Char Char Char Char Char1"/>
    <w:basedOn w:val="1"/>
    <w:qFormat/>
    <w:uiPriority w:val="0"/>
    <w:pPr>
      <w:spacing w:line="560" w:lineRule="exact"/>
    </w:pPr>
    <w:rPr>
      <w:rFonts w:ascii="宋体" w:hAnsi="宋体" w:cs="宋体"/>
      <w:sz w:val="28"/>
      <w:szCs w:val="28"/>
    </w:rPr>
  </w:style>
  <w:style w:type="character" w:customStyle="1" w:styleId="64">
    <w:name w:val="批注框文本 Char"/>
    <w:basedOn w:val="29"/>
    <w:link w:val="18"/>
    <w:semiHidden/>
    <w:qFormat/>
    <w:uiPriority w:val="99"/>
    <w:rPr>
      <w:kern w:val="2"/>
      <w:sz w:val="18"/>
      <w:szCs w:val="18"/>
    </w:rPr>
  </w:style>
  <w:style w:type="paragraph" w:customStyle="1" w:styleId="65">
    <w:name w:val="Char2 Char Char Char Char Char Char Char Char Char Char Char Char4"/>
    <w:basedOn w:val="1"/>
    <w:qFormat/>
    <w:uiPriority w:val="0"/>
    <w:pPr>
      <w:spacing w:line="560" w:lineRule="exact"/>
    </w:pPr>
    <w:rPr>
      <w:rFonts w:ascii="宋体" w:hAnsi="宋体" w:cs="宋体"/>
      <w:sz w:val="28"/>
      <w:szCs w:val="28"/>
    </w:rPr>
  </w:style>
  <w:style w:type="paragraph" w:customStyle="1" w:styleId="66">
    <w:name w:val="Char2 Char Char Char Char Char Char Char Char Char Char Char Char3"/>
    <w:basedOn w:val="1"/>
    <w:qFormat/>
    <w:uiPriority w:val="0"/>
    <w:pPr>
      <w:spacing w:line="560" w:lineRule="exact"/>
    </w:pPr>
    <w:rPr>
      <w:rFonts w:ascii="宋体" w:hAnsi="宋体" w:cs="宋体"/>
      <w:sz w:val="28"/>
      <w:szCs w:val="28"/>
    </w:rPr>
  </w:style>
  <w:style w:type="character" w:customStyle="1" w:styleId="67">
    <w:name w:val="font21"/>
    <w:basedOn w:val="29"/>
    <w:qFormat/>
    <w:uiPriority w:val="0"/>
    <w:rPr>
      <w:rFonts w:hint="eastAsia" w:ascii="宋体" w:hAnsi="宋体" w:eastAsia="宋体" w:cs="宋体"/>
      <w:color w:val="000000"/>
      <w:sz w:val="20"/>
      <w:szCs w:val="20"/>
      <w:u w:val="none"/>
      <w:vertAlign w:val="superscript"/>
    </w:rPr>
  </w:style>
  <w:style w:type="character" w:customStyle="1" w:styleId="68">
    <w:name w:val="font31"/>
    <w:basedOn w:val="29"/>
    <w:qFormat/>
    <w:uiPriority w:val="0"/>
    <w:rPr>
      <w:rFonts w:hint="eastAsia" w:ascii="宋体" w:hAnsi="宋体" w:eastAsia="宋体" w:cs="宋体"/>
      <w:color w:val="000000"/>
      <w:sz w:val="20"/>
      <w:szCs w:val="20"/>
      <w:u w:val="none"/>
      <w:vertAlign w:val="superscript"/>
    </w:rPr>
  </w:style>
  <w:style w:type="character" w:customStyle="1" w:styleId="69">
    <w:name w:val="font11"/>
    <w:basedOn w:val="29"/>
    <w:qFormat/>
    <w:uiPriority w:val="0"/>
    <w:rPr>
      <w:rFonts w:hint="eastAsia" w:ascii="宋体" w:hAnsi="宋体" w:eastAsia="宋体" w:cs="宋体"/>
      <w:color w:val="000000"/>
      <w:sz w:val="21"/>
      <w:szCs w:val="21"/>
      <w:u w:val="none"/>
    </w:rPr>
  </w:style>
  <w:style w:type="paragraph" w:customStyle="1" w:styleId="70">
    <w:name w:val="_Style 2"/>
    <w:basedOn w:val="1"/>
    <w:qFormat/>
    <w:uiPriority w:val="0"/>
    <w:pPr>
      <w:spacing w:line="240" w:lineRule="auto"/>
      <w:ind w:firstLine="0" w:firstLineChars="0"/>
      <w:jc w:val="center"/>
    </w:pPr>
    <w:rPr>
      <w:rFonts w:ascii="仿宋_GB2312" w:hAnsi="仿宋_GB2312" w:eastAsia="仿宋_GB2312"/>
      <w:kern w:val="0"/>
      <w:sz w:val="21"/>
      <w:szCs w:val="24"/>
    </w:rPr>
  </w:style>
  <w:style w:type="paragraph" w:customStyle="1" w:styleId="71">
    <w:name w:val="Char2 Char Char Char Char Char Char Char Char Char Char Char Char2"/>
    <w:basedOn w:val="1"/>
    <w:qFormat/>
    <w:uiPriority w:val="0"/>
    <w:pPr>
      <w:spacing w:line="560" w:lineRule="exact"/>
    </w:pPr>
    <w:rPr>
      <w:rFonts w:ascii="宋体" w:hAnsi="宋体" w:cs="宋体"/>
      <w:sz w:val="28"/>
      <w:szCs w:val="28"/>
    </w:rPr>
  </w:style>
  <w:style w:type="paragraph" w:customStyle="1" w:styleId="72">
    <w:name w:val="Char2 Char Char Char Char Char Char Char Char Char Char Char Char5"/>
    <w:basedOn w:val="1"/>
    <w:qFormat/>
    <w:uiPriority w:val="0"/>
    <w:pPr>
      <w:spacing w:line="560" w:lineRule="exact"/>
    </w:pPr>
    <w:rPr>
      <w:rFonts w:ascii="宋体" w:hAnsi="宋体" w:cs="宋体"/>
      <w:sz w:val="28"/>
      <w:szCs w:val="28"/>
    </w:rPr>
  </w:style>
  <w:style w:type="character" w:customStyle="1" w:styleId="73">
    <w:name w:val="0005 Char"/>
    <w:link w:val="74"/>
    <w:qFormat/>
    <w:uiPriority w:val="0"/>
    <w:rPr>
      <w:rFonts w:ascii="Times New Roman" w:hAnsi="Times New Roman" w:eastAsia="仿宋_GB2312"/>
      <w:b/>
      <w:snapToGrid w:val="0"/>
      <w:sz w:val="28"/>
      <w:szCs w:val="24"/>
    </w:rPr>
  </w:style>
  <w:style w:type="paragraph" w:customStyle="1" w:styleId="74">
    <w:name w:val="0005"/>
    <w:basedOn w:val="1"/>
    <w:link w:val="73"/>
    <w:qFormat/>
    <w:uiPriority w:val="0"/>
    <w:pPr>
      <w:spacing w:line="460" w:lineRule="exact"/>
      <w:ind w:firstLine="640"/>
    </w:pPr>
    <w:rPr>
      <w:rFonts w:eastAsia="仿宋_GB2312"/>
      <w:b/>
      <w:snapToGrid w:val="0"/>
      <w:kern w:val="0"/>
      <w:sz w:val="28"/>
      <w:szCs w:val="24"/>
    </w:rPr>
  </w:style>
  <w:style w:type="paragraph" w:customStyle="1" w:styleId="75">
    <w:name w:val="样式 首行缩进"/>
    <w:basedOn w:val="1"/>
    <w:qFormat/>
    <w:uiPriority w:val="0"/>
    <w:rPr>
      <w:rFonts w:cs="宋体"/>
      <w:szCs w:val="20"/>
    </w:rPr>
  </w:style>
  <w:style w:type="paragraph" w:customStyle="1" w:styleId="76">
    <w:name w:val="Char2 Char Char Char Char Char Char Char Char Char Char Char Char6"/>
    <w:basedOn w:val="1"/>
    <w:qFormat/>
    <w:uiPriority w:val="0"/>
    <w:pPr>
      <w:spacing w:line="560" w:lineRule="exact"/>
    </w:pPr>
    <w:rPr>
      <w:rFonts w:ascii="宋体" w:hAnsi="宋体" w:cs="宋体"/>
      <w:sz w:val="28"/>
      <w:szCs w:val="28"/>
    </w:rPr>
  </w:style>
  <w:style w:type="character" w:customStyle="1" w:styleId="77">
    <w:name w:val="正文文本缩进 3 Char"/>
    <w:basedOn w:val="29"/>
    <w:link w:val="22"/>
    <w:qFormat/>
    <w:uiPriority w:val="0"/>
    <w:rPr>
      <w:rFonts w:ascii="Times New Roman" w:hAnsi="Times New Roman"/>
      <w:color w:val="000000"/>
      <w:sz w:val="16"/>
      <w:szCs w:val="16"/>
      <w:u w:color="000000"/>
    </w:rPr>
  </w:style>
  <w:style w:type="paragraph" w:customStyle="1" w:styleId="78">
    <w:name w:val="【正文】"/>
    <w:basedOn w:val="1"/>
    <w:qFormat/>
    <w:uiPriority w:val="0"/>
    <w:pPr>
      <w:spacing w:line="440" w:lineRule="exact"/>
      <w:ind w:firstLine="544"/>
    </w:pPr>
    <w:rPr>
      <w:sz w:val="21"/>
      <w:szCs w:val="20"/>
    </w:rPr>
  </w:style>
  <w:style w:type="paragraph" w:styleId="79">
    <w:name w:val="No Spacing"/>
    <w:link w:val="80"/>
    <w:qFormat/>
    <w:uiPriority w:val="0"/>
    <w:pPr>
      <w:widowControl w:val="0"/>
      <w:adjustRightInd w:val="0"/>
      <w:snapToGrid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character" w:customStyle="1" w:styleId="80">
    <w:name w:val="无间隔 Char"/>
    <w:link w:val="79"/>
    <w:qFormat/>
    <w:uiPriority w:val="0"/>
    <w:rPr>
      <w:rFonts w:ascii="Times New Roman" w:hAnsi="Times New Roman" w:cstheme="minorBidi"/>
      <w:kern w:val="2"/>
      <w:sz w:val="24"/>
      <w:szCs w:val="22"/>
    </w:rPr>
  </w:style>
  <w:style w:type="character" w:customStyle="1" w:styleId="81">
    <w:name w:val="批注文字 Char"/>
    <w:basedOn w:val="29"/>
    <w:link w:val="10"/>
    <w:semiHidden/>
    <w:qFormat/>
    <w:uiPriority w:val="99"/>
    <w:rPr>
      <w:rFonts w:ascii="Times New Roman" w:hAnsi="Times New Roman"/>
      <w:kern w:val="2"/>
      <w:sz w:val="24"/>
      <w:szCs w:val="22"/>
    </w:rPr>
  </w:style>
  <w:style w:type="character" w:customStyle="1" w:styleId="82">
    <w:name w:val="批注主题 Char"/>
    <w:basedOn w:val="81"/>
    <w:link w:val="26"/>
    <w:semiHidden/>
    <w:qFormat/>
    <w:uiPriority w:val="99"/>
    <w:rPr>
      <w:rFonts w:ascii="Times New Roman" w:hAnsi="Times New Roman"/>
      <w:b/>
      <w:bCs/>
      <w:kern w:val="2"/>
      <w:sz w:val="24"/>
      <w:szCs w:val="22"/>
    </w:rPr>
  </w:style>
  <w:style w:type="character" w:customStyle="1" w:styleId="83">
    <w:name w:val="表格内容 Char"/>
    <w:basedOn w:val="29"/>
    <w:link w:val="84"/>
    <w:qFormat/>
    <w:uiPriority w:val="0"/>
    <w:rPr>
      <w:rFonts w:ascii="Times New Roman" w:hAnsi="宋体"/>
      <w:sz w:val="21"/>
    </w:rPr>
  </w:style>
  <w:style w:type="paragraph" w:customStyle="1" w:styleId="84">
    <w:name w:val="表格内容"/>
    <w:basedOn w:val="1"/>
    <w:link w:val="83"/>
    <w:qFormat/>
    <w:uiPriority w:val="0"/>
    <w:pPr>
      <w:tabs>
        <w:tab w:val="left" w:pos="2340"/>
      </w:tabs>
      <w:adjustRightInd/>
      <w:spacing w:line="240" w:lineRule="auto"/>
      <w:ind w:firstLine="0" w:firstLineChars="0"/>
      <w:jc w:val="center"/>
    </w:pPr>
    <w:rPr>
      <w:rFonts w:hAnsi="宋体"/>
      <w:kern w:val="0"/>
      <w:sz w:val="21"/>
      <w:szCs w:val="20"/>
    </w:rPr>
  </w:style>
  <w:style w:type="paragraph" w:customStyle="1" w:styleId="85">
    <w:name w:val="表头2"/>
    <w:basedOn w:val="1"/>
    <w:link w:val="86"/>
    <w:qFormat/>
    <w:uiPriority w:val="0"/>
    <w:pPr>
      <w:spacing w:line="240" w:lineRule="auto"/>
      <w:ind w:firstLine="0" w:firstLineChars="0"/>
      <w:jc w:val="center"/>
    </w:pPr>
    <w:rPr>
      <w:rFonts w:hAnsi="宋体"/>
      <w:b/>
      <w:sz w:val="21"/>
      <w:szCs w:val="24"/>
    </w:rPr>
  </w:style>
  <w:style w:type="character" w:customStyle="1" w:styleId="86">
    <w:name w:val="表头2 Char"/>
    <w:link w:val="85"/>
    <w:qFormat/>
    <w:uiPriority w:val="0"/>
    <w:rPr>
      <w:rFonts w:ascii="Times New Roman" w:hAnsi="宋体"/>
      <w:b/>
      <w:kern w:val="2"/>
      <w:sz w:val="21"/>
      <w:szCs w:val="24"/>
    </w:rPr>
  </w:style>
  <w:style w:type="character" w:customStyle="1" w:styleId="87">
    <w:name w:val="!BG_正文 Char Char"/>
    <w:link w:val="88"/>
    <w:qFormat/>
    <w:locked/>
    <w:uiPriority w:val="0"/>
    <w:rPr>
      <w:rFonts w:ascii="Times New Roman" w:hAnsi="Times New Roman"/>
      <w:sz w:val="24"/>
      <w:szCs w:val="24"/>
    </w:rPr>
  </w:style>
  <w:style w:type="paragraph" w:customStyle="1" w:styleId="88">
    <w:name w:val="!BG_正文"/>
    <w:basedOn w:val="1"/>
    <w:link w:val="87"/>
    <w:qFormat/>
    <w:uiPriority w:val="0"/>
    <w:pPr>
      <w:tabs>
        <w:tab w:val="left" w:pos="360"/>
        <w:tab w:val="left" w:pos="540"/>
      </w:tabs>
      <w:adjustRightInd/>
      <w:snapToGrid/>
    </w:pPr>
    <w:rPr>
      <w:kern w:val="0"/>
      <w:szCs w:val="24"/>
    </w:rPr>
  </w:style>
  <w:style w:type="paragraph" w:customStyle="1" w:styleId="89">
    <w:name w:val="报告表格"/>
    <w:basedOn w:val="1"/>
    <w:qFormat/>
    <w:uiPriority w:val="0"/>
    <w:pPr>
      <w:autoSpaceDE w:val="0"/>
      <w:autoSpaceDN w:val="0"/>
      <w:snapToGrid/>
      <w:spacing w:line="240" w:lineRule="auto"/>
      <w:ind w:firstLine="0" w:firstLineChars="0"/>
      <w:jc w:val="center"/>
      <w:textAlignment w:val="bottom"/>
    </w:pPr>
    <w:rPr>
      <w:kern w:val="0"/>
      <w:sz w:val="21"/>
      <w:szCs w:val="20"/>
    </w:rPr>
  </w:style>
  <w:style w:type="character" w:customStyle="1" w:styleId="90">
    <w:name w:val="管线表头 Char"/>
    <w:link w:val="91"/>
    <w:qFormat/>
    <w:uiPriority w:val="0"/>
    <w:rPr>
      <w:rFonts w:ascii="Times New Roman" w:hAnsi="Times New Roman"/>
      <w:b/>
      <w:szCs w:val="21"/>
      <w:lang w:val="zh-CN"/>
    </w:rPr>
  </w:style>
  <w:style w:type="paragraph" w:customStyle="1" w:styleId="91">
    <w:name w:val="管线表头"/>
    <w:basedOn w:val="1"/>
    <w:link w:val="90"/>
    <w:qFormat/>
    <w:uiPriority w:val="0"/>
    <w:pPr>
      <w:spacing w:line="240" w:lineRule="auto"/>
      <w:ind w:firstLine="0" w:firstLineChars="0"/>
      <w:jc w:val="center"/>
    </w:pPr>
    <w:rPr>
      <w:b/>
      <w:kern w:val="0"/>
      <w:sz w:val="20"/>
      <w:szCs w:val="21"/>
      <w:lang w:val="zh-CN"/>
    </w:rPr>
  </w:style>
  <w:style w:type="character" w:customStyle="1" w:styleId="92">
    <w:name w:val="标题 Char"/>
    <w:basedOn w:val="29"/>
    <w:link w:val="25"/>
    <w:uiPriority w:val="10"/>
    <w:rPr>
      <w:rFonts w:asciiTheme="majorHAnsi" w:hAnsiTheme="majorHAnsi" w:cstheme="majorBidi"/>
      <w:b/>
      <w:bCs/>
      <w:kern w:val="2"/>
      <w:sz w:val="32"/>
      <w:szCs w:val="32"/>
    </w:rPr>
  </w:style>
  <w:style w:type="paragraph" w:customStyle="1" w:styleId="93">
    <w:name w:val="0正文"/>
    <w:basedOn w:val="1"/>
    <w:next w:val="1"/>
    <w:link w:val="94"/>
    <w:qFormat/>
    <w:uiPriority w:val="0"/>
    <w:pPr>
      <w:adjustRightInd/>
      <w:snapToGrid/>
      <w:jc w:val="left"/>
    </w:pPr>
    <w:rPr>
      <w:rFonts w:cs="宋体"/>
      <w:kern w:val="0"/>
      <w:szCs w:val="20"/>
    </w:rPr>
  </w:style>
  <w:style w:type="character" w:customStyle="1" w:styleId="94">
    <w:name w:val="0正文 Char"/>
    <w:link w:val="93"/>
    <w:uiPriority w:val="0"/>
    <w:rPr>
      <w:rFonts w:ascii="Times New Roman" w:hAnsi="Times New Roman" w:cs="宋体"/>
      <w:sz w:val="24"/>
    </w:rPr>
  </w:style>
  <w:style w:type="character" w:styleId="95">
    <w:name w:val="Placeholder Text"/>
    <w:basedOn w:val="29"/>
    <w:semiHidden/>
    <w:uiPriority w:val="99"/>
    <w:rPr>
      <w:color w:val="808080"/>
    </w:rPr>
  </w:style>
  <w:style w:type="character" w:customStyle="1" w:styleId="96">
    <w:name w:val="纯文本 Char2"/>
    <w:uiPriority w:val="0"/>
    <w:rPr>
      <w:rFonts w:ascii="宋体" w:hAnsi="Courier New" w:eastAsia="宋体"/>
      <w:kern w:val="2"/>
      <w:sz w:val="21"/>
      <w:lang w:val="en-US" w:eastAsia="zh-CN" w:bidi="ar-SA"/>
    </w:rPr>
  </w:style>
  <w:style w:type="table" w:customStyle="1" w:styleId="97">
    <w:name w:val="网格型1"/>
    <w:basedOn w:val="27"/>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8">
    <w:name w:val="网格型2"/>
    <w:basedOn w:val="27"/>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9">
    <w:name w:val="网格型3"/>
    <w:basedOn w:val="27"/>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0">
    <w:name w:val="TOC Heading"/>
    <w:basedOn w:val="2"/>
    <w:next w:val="1"/>
    <w:unhideWhenUsed/>
    <w:qFormat/>
    <w:uiPriority w:val="39"/>
    <w:pPr>
      <w:widowControl/>
      <w:numPr>
        <w:numId w:val="0"/>
      </w:numPr>
      <w:adjustRightInd/>
      <w:snapToGrid/>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01">
    <w:name w:val="默认段落字体 Para Char Char Char Char Char Char Char"/>
    <w:basedOn w:val="9"/>
    <w:qFormat/>
    <w:uiPriority w:val="99"/>
    <w:pPr>
      <w:shd w:val="clear" w:color="auto" w:fill="000080"/>
      <w:snapToGrid/>
      <w:spacing w:line="436" w:lineRule="exact"/>
      <w:ind w:left="357" w:firstLine="0" w:firstLineChars="0"/>
      <w:jc w:val="left"/>
      <w:outlineLvl w:val="3"/>
    </w:pPr>
    <w:rPr>
      <w:rFonts w:ascii="Tahoma" w:hAnsi="Tahoma"/>
      <w:b/>
      <w:sz w:val="24"/>
      <w:szCs w:val="24"/>
    </w:rPr>
  </w:style>
  <w:style w:type="paragraph" w:customStyle="1" w:styleId="102">
    <w:name w:val="图件标题"/>
    <w:basedOn w:val="1"/>
    <w:qFormat/>
    <w:uiPriority w:val="0"/>
    <w:pPr>
      <w:adjustRightInd/>
      <w:snapToGrid/>
      <w:spacing w:beforeLines="50" w:line="240" w:lineRule="exact"/>
      <w:ind w:firstLine="0" w:firstLineChars="0"/>
      <w:jc w:val="center"/>
    </w:pPr>
    <w:rPr>
      <w:rFonts w:ascii="Calibri" w:hAnsi="Calibri"/>
      <w:b/>
      <w:sz w:val="21"/>
      <w:szCs w:val="24"/>
    </w:rPr>
  </w:style>
  <w:style w:type="paragraph" w:customStyle="1" w:styleId="103">
    <w:name w:val="表格文字1"/>
    <w:basedOn w:val="1"/>
    <w:link w:val="104"/>
    <w:qFormat/>
    <w:uiPriority w:val="0"/>
    <w:pPr>
      <w:tabs>
        <w:tab w:val="left" w:pos="0"/>
      </w:tabs>
      <w:spacing w:line="240" w:lineRule="auto"/>
      <w:ind w:firstLine="0" w:firstLineChars="0"/>
      <w:jc w:val="center"/>
    </w:pPr>
    <w:rPr>
      <w:rFonts w:ascii="宋体" w:hAnsi="宋体" w:eastAsia="仿宋_GB2312" w:cs="Calibri"/>
      <w:bCs/>
      <w:snapToGrid w:val="0"/>
      <w:color w:val="000000"/>
      <w:kern w:val="0"/>
      <w:sz w:val="21"/>
      <w:szCs w:val="21"/>
    </w:rPr>
  </w:style>
  <w:style w:type="character" w:customStyle="1" w:styleId="104">
    <w:name w:val="表格文字1 Char Char"/>
    <w:link w:val="103"/>
    <w:uiPriority w:val="0"/>
    <w:rPr>
      <w:rFonts w:ascii="宋体" w:hAnsi="宋体" w:eastAsia="仿宋_GB2312" w:cs="Calibri"/>
      <w:bCs/>
      <w:snapToGrid w:val="0"/>
      <w:color w:val="000000"/>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20.wmf"/><Relationship Id="rId98" Type="http://schemas.openxmlformats.org/officeDocument/2006/relationships/oleObject" Target="embeddings/oleObject11.bin"/><Relationship Id="rId97" Type="http://schemas.openxmlformats.org/officeDocument/2006/relationships/image" Target="media/image19.wmf"/><Relationship Id="rId96" Type="http://schemas.openxmlformats.org/officeDocument/2006/relationships/oleObject" Target="embeddings/oleObject10.bin"/><Relationship Id="rId95" Type="http://schemas.openxmlformats.org/officeDocument/2006/relationships/image" Target="media/image18.wmf"/><Relationship Id="rId94" Type="http://schemas.openxmlformats.org/officeDocument/2006/relationships/oleObject" Target="embeddings/oleObject9.bin"/><Relationship Id="rId93" Type="http://schemas.openxmlformats.org/officeDocument/2006/relationships/image" Target="media/image17.wmf"/><Relationship Id="rId92" Type="http://schemas.openxmlformats.org/officeDocument/2006/relationships/oleObject" Target="embeddings/oleObject8.bin"/><Relationship Id="rId91" Type="http://schemas.openxmlformats.org/officeDocument/2006/relationships/image" Target="media/image16.wmf"/><Relationship Id="rId90" Type="http://schemas.openxmlformats.org/officeDocument/2006/relationships/oleObject" Target="embeddings/oleObject7.bin"/><Relationship Id="rId9" Type="http://schemas.openxmlformats.org/officeDocument/2006/relationships/header" Target="header4.xml"/><Relationship Id="rId89" Type="http://schemas.openxmlformats.org/officeDocument/2006/relationships/image" Target="media/image15.wmf"/><Relationship Id="rId88" Type="http://schemas.openxmlformats.org/officeDocument/2006/relationships/oleObject" Target="embeddings/oleObject6.bin"/><Relationship Id="rId87" Type="http://schemas.openxmlformats.org/officeDocument/2006/relationships/image" Target="media/image14.wmf"/><Relationship Id="rId86" Type="http://schemas.openxmlformats.org/officeDocument/2006/relationships/oleObject" Target="embeddings/oleObject5.bin"/><Relationship Id="rId85" Type="http://schemas.openxmlformats.org/officeDocument/2006/relationships/image" Target="media/image13.png"/><Relationship Id="rId84" Type="http://schemas.openxmlformats.org/officeDocument/2006/relationships/image" Target="media/image12.png"/><Relationship Id="rId83" Type="http://schemas.openxmlformats.org/officeDocument/2006/relationships/image" Target="media/image11.png"/><Relationship Id="rId82" Type="http://schemas.openxmlformats.org/officeDocument/2006/relationships/image" Target="media/image10.png"/><Relationship Id="rId81" Type="http://schemas.openxmlformats.org/officeDocument/2006/relationships/image" Target="media/image9.emf"/><Relationship Id="rId80" Type="http://schemas.openxmlformats.org/officeDocument/2006/relationships/oleObject" Target="embeddings/oleObject4.bin"/><Relationship Id="rId8" Type="http://schemas.openxmlformats.org/officeDocument/2006/relationships/footer" Target="footer3.xml"/><Relationship Id="rId79" Type="http://schemas.openxmlformats.org/officeDocument/2006/relationships/image" Target="media/image8.png"/><Relationship Id="rId78" Type="http://schemas.openxmlformats.org/officeDocument/2006/relationships/image" Target="media/image7.png"/><Relationship Id="rId77" Type="http://schemas.openxmlformats.org/officeDocument/2006/relationships/image" Target="media/image6.png"/><Relationship Id="rId76" Type="http://schemas.openxmlformats.org/officeDocument/2006/relationships/image" Target="media/image5.jpeg"/><Relationship Id="rId75" Type="http://schemas.openxmlformats.org/officeDocument/2006/relationships/image" Target="media/image4.emf"/><Relationship Id="rId74" Type="http://schemas.openxmlformats.org/officeDocument/2006/relationships/oleObject" Target="embeddings/oleObject3.bin"/><Relationship Id="rId73" Type="http://schemas.openxmlformats.org/officeDocument/2006/relationships/image" Target="media/image3.emf"/><Relationship Id="rId72" Type="http://schemas.openxmlformats.org/officeDocument/2006/relationships/oleObject" Target="embeddings/oleObject2.bin"/><Relationship Id="rId71" Type="http://schemas.openxmlformats.org/officeDocument/2006/relationships/image" Target="media/image2.png"/><Relationship Id="rId70" Type="http://schemas.openxmlformats.org/officeDocument/2006/relationships/image" Target="media/image1.emf"/><Relationship Id="rId7" Type="http://schemas.openxmlformats.org/officeDocument/2006/relationships/footer" Target="footer2.xml"/><Relationship Id="rId69" Type="http://schemas.openxmlformats.org/officeDocument/2006/relationships/oleObject" Target="embeddings/oleObject1.bin"/><Relationship Id="rId68" Type="http://schemas.openxmlformats.org/officeDocument/2006/relationships/theme" Target="theme/theme1.xml"/><Relationship Id="rId67" Type="http://schemas.openxmlformats.org/officeDocument/2006/relationships/header" Target="header56.xml"/><Relationship Id="rId66" Type="http://schemas.openxmlformats.org/officeDocument/2006/relationships/header" Target="header55.xml"/><Relationship Id="rId65" Type="http://schemas.openxmlformats.org/officeDocument/2006/relationships/header" Target="header54.xml"/><Relationship Id="rId64" Type="http://schemas.openxmlformats.org/officeDocument/2006/relationships/header" Target="header53.xml"/><Relationship Id="rId63" Type="http://schemas.openxmlformats.org/officeDocument/2006/relationships/header" Target="header52.xml"/><Relationship Id="rId62" Type="http://schemas.openxmlformats.org/officeDocument/2006/relationships/header" Target="header51.xml"/><Relationship Id="rId61" Type="http://schemas.openxmlformats.org/officeDocument/2006/relationships/header" Target="header50.xml"/><Relationship Id="rId60" Type="http://schemas.openxmlformats.org/officeDocument/2006/relationships/header" Target="header49.xml"/><Relationship Id="rId6" Type="http://schemas.openxmlformats.org/officeDocument/2006/relationships/footer" Target="footer1.xml"/><Relationship Id="rId59" Type="http://schemas.openxmlformats.org/officeDocument/2006/relationships/header" Target="header48.xml"/><Relationship Id="rId58" Type="http://schemas.openxmlformats.org/officeDocument/2006/relationships/header" Target="header47.xml"/><Relationship Id="rId57" Type="http://schemas.openxmlformats.org/officeDocument/2006/relationships/header" Target="header46.xml"/><Relationship Id="rId56" Type="http://schemas.openxmlformats.org/officeDocument/2006/relationships/header" Target="header45.xml"/><Relationship Id="rId55" Type="http://schemas.openxmlformats.org/officeDocument/2006/relationships/header" Target="header44.xml"/><Relationship Id="rId54" Type="http://schemas.openxmlformats.org/officeDocument/2006/relationships/header" Target="header43.xml"/><Relationship Id="rId53" Type="http://schemas.openxmlformats.org/officeDocument/2006/relationships/header" Target="header42.xml"/><Relationship Id="rId52" Type="http://schemas.openxmlformats.org/officeDocument/2006/relationships/header" Target="header41.xml"/><Relationship Id="rId51" Type="http://schemas.openxmlformats.org/officeDocument/2006/relationships/header" Target="header40.xml"/><Relationship Id="rId50" Type="http://schemas.openxmlformats.org/officeDocument/2006/relationships/header" Target="header39.xml"/><Relationship Id="rId5" Type="http://schemas.openxmlformats.org/officeDocument/2006/relationships/header" Target="header3.xml"/><Relationship Id="rId49" Type="http://schemas.openxmlformats.org/officeDocument/2006/relationships/header" Target="header38.xml"/><Relationship Id="rId48" Type="http://schemas.openxmlformats.org/officeDocument/2006/relationships/header" Target="header37.xml"/><Relationship Id="rId47" Type="http://schemas.openxmlformats.org/officeDocument/2006/relationships/header" Target="header36.xml"/><Relationship Id="rId46" Type="http://schemas.openxmlformats.org/officeDocument/2006/relationships/header" Target="header35.xml"/><Relationship Id="rId45" Type="http://schemas.openxmlformats.org/officeDocument/2006/relationships/header" Target="header34.xml"/><Relationship Id="rId44" Type="http://schemas.openxmlformats.org/officeDocument/2006/relationships/header" Target="header33.xml"/><Relationship Id="rId43" Type="http://schemas.openxmlformats.org/officeDocument/2006/relationships/header" Target="header32.xml"/><Relationship Id="rId42" Type="http://schemas.openxmlformats.org/officeDocument/2006/relationships/header" Target="header31.xml"/><Relationship Id="rId41" Type="http://schemas.openxmlformats.org/officeDocument/2006/relationships/header" Target="header30.xml"/><Relationship Id="rId40" Type="http://schemas.openxmlformats.org/officeDocument/2006/relationships/header" Target="header29.xml"/><Relationship Id="rId4" Type="http://schemas.openxmlformats.org/officeDocument/2006/relationships/header" Target="header2.xml"/><Relationship Id="rId39" Type="http://schemas.openxmlformats.org/officeDocument/2006/relationships/header" Target="header28.xml"/><Relationship Id="rId38" Type="http://schemas.openxmlformats.org/officeDocument/2006/relationships/header" Target="header27.xml"/><Relationship Id="rId37" Type="http://schemas.openxmlformats.org/officeDocument/2006/relationships/header" Target="header26.xml"/><Relationship Id="rId36" Type="http://schemas.openxmlformats.org/officeDocument/2006/relationships/header" Target="header25.xml"/><Relationship Id="rId35" Type="http://schemas.openxmlformats.org/officeDocument/2006/relationships/header" Target="header24.xml"/><Relationship Id="rId34" Type="http://schemas.openxmlformats.org/officeDocument/2006/relationships/header" Target="header23.xml"/><Relationship Id="rId33" Type="http://schemas.openxmlformats.org/officeDocument/2006/relationships/header" Target="header22.xml"/><Relationship Id="rId32" Type="http://schemas.openxmlformats.org/officeDocument/2006/relationships/header" Target="header21.xml"/><Relationship Id="rId31" Type="http://schemas.openxmlformats.org/officeDocument/2006/relationships/header" Target="header20.xml"/><Relationship Id="rId30" Type="http://schemas.openxmlformats.org/officeDocument/2006/relationships/header" Target="header19.xml"/><Relationship Id="rId3" Type="http://schemas.openxmlformats.org/officeDocument/2006/relationships/header" Target="header1.xml"/><Relationship Id="rId29" Type="http://schemas.openxmlformats.org/officeDocument/2006/relationships/header" Target="header18.xml"/><Relationship Id="rId28" Type="http://schemas.openxmlformats.org/officeDocument/2006/relationships/header" Target="header17.xml"/><Relationship Id="rId27" Type="http://schemas.openxmlformats.org/officeDocument/2006/relationships/header" Target="header16.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6" Type="http://schemas.openxmlformats.org/officeDocument/2006/relationships/fontTable" Target="fontTable.xml"/><Relationship Id="rId115" Type="http://schemas.openxmlformats.org/officeDocument/2006/relationships/customXml" Target="../customXml/item2.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image" Target="media/image28.png"/><Relationship Id="rId111" Type="http://schemas.openxmlformats.org/officeDocument/2006/relationships/image" Target="media/image27.png"/><Relationship Id="rId110" Type="http://schemas.openxmlformats.org/officeDocument/2006/relationships/image" Target="media/image26.jpeg"/><Relationship Id="rId11" Type="http://schemas.openxmlformats.org/officeDocument/2006/relationships/header" Target="header5.xml"/><Relationship Id="rId109" Type="http://schemas.openxmlformats.org/officeDocument/2006/relationships/image" Target="media/image25.wmf"/><Relationship Id="rId108" Type="http://schemas.openxmlformats.org/officeDocument/2006/relationships/oleObject" Target="embeddings/oleObject16.bin"/><Relationship Id="rId107" Type="http://schemas.openxmlformats.org/officeDocument/2006/relationships/image" Target="media/image24.wmf"/><Relationship Id="rId106" Type="http://schemas.openxmlformats.org/officeDocument/2006/relationships/oleObject" Target="embeddings/oleObject15.bin"/><Relationship Id="rId105" Type="http://schemas.openxmlformats.org/officeDocument/2006/relationships/image" Target="media/image23.emf"/><Relationship Id="rId104" Type="http://schemas.openxmlformats.org/officeDocument/2006/relationships/oleObject" Target="embeddings/oleObject14.bin"/><Relationship Id="rId103" Type="http://schemas.openxmlformats.org/officeDocument/2006/relationships/image" Target="media/image22.wmf"/><Relationship Id="rId102" Type="http://schemas.openxmlformats.org/officeDocument/2006/relationships/oleObject" Target="embeddings/oleObject13.bin"/><Relationship Id="rId101" Type="http://schemas.openxmlformats.org/officeDocument/2006/relationships/image" Target="media/image21.wmf"/><Relationship Id="rId100" Type="http://schemas.openxmlformats.org/officeDocument/2006/relationships/oleObject" Target="embeddings/oleObject12.bin"/><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476DD3-9F7E-41E4-8F41-F559F60E35D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178</Pages>
  <Words>21351</Words>
  <Characters>121707</Characters>
  <Lines>1014</Lines>
  <Paragraphs>285</Paragraphs>
  <TotalTime>94</TotalTime>
  <ScaleCrop>false</ScaleCrop>
  <LinksUpToDate>false</LinksUpToDate>
  <CharactersWithSpaces>142773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2022-08-30T06:43:00Z</dcterms:created>
  <dc:creator>lsl</dc:creator>
  <cp:lastModifiedBy>释然惜缘</cp:lastModifiedBy>
  <cp:lastPrinted>2022-09-23T02:19:00Z</cp:lastPrinted>
  <dcterms:modified xsi:type="dcterms:W3CDTF">2023-05-05T06:26:12Z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